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94"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As filed with the Securities and Exchange Commission on October 29, 2021</w:t>
      </w:r>
    </w:p>
    <w:p>
      <w:pPr>
        <w:ind w:left="8160"/>
        <w:spacing w:after="0" w:line="236" w:lineRule="auto"/>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16510</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45085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AND EXCHANGE COMMISSION</w:t>
      </w:r>
    </w:p>
    <w:p>
      <w:pPr>
        <w:spacing w:after="0" w:line="20" w:lineRule="exact"/>
        <w:rPr>
          <w:sz w:val="24"/>
          <w:szCs w:val="24"/>
          <w:color w:val="auto"/>
        </w:rPr>
      </w:pPr>
    </w:p>
    <w:p>
      <w:pPr>
        <w:ind w:left="50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100330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56"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FORM S-1</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REGISTRATION STATEMENT</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100965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ROIVANT SCIENCES LTD.</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44" w:lineRule="exact"/>
        <w:rPr>
          <w:sz w:val="24"/>
          <w:szCs w:val="24"/>
          <w:color w:val="auto"/>
        </w:rPr>
      </w:pPr>
    </w:p>
    <w:tbl>
      <w:tblPr>
        <w:tblLayout w:type="fixed"/>
        <w:tblInd w:w="2660" w:type="dxa"/>
        <w:tblCellMar>
          <w:top w:w="0" w:type="dxa"/>
          <w:left w:w="0" w:type="dxa"/>
          <w:bottom w:w="0" w:type="dxa"/>
          <w:right w:w="0" w:type="dxa"/>
        </w:tblCellMar>
      </w:tblPr>
      <w:tr>
        <w:trPr>
          <w:trHeight w:val="115"/>
        </w:trPr>
        <w:tc>
          <w:tcPr>
            <w:tcW w:w="1820" w:type="dxa"/>
            <w:vAlign w:val="bottom"/>
          </w:tcPr>
          <w:p>
            <w:pPr>
              <w:jc w:val="center"/>
              <w:ind w:right="656"/>
              <w:spacing w:after="0"/>
              <w:rPr>
                <w:sz w:val="20"/>
                <w:szCs w:val="20"/>
                <w:color w:val="auto"/>
              </w:rPr>
            </w:pPr>
            <w:r>
              <w:rPr>
                <w:rFonts w:ascii="Arial" w:cs="Arial" w:eastAsia="Arial" w:hAnsi="Arial"/>
                <w:sz w:val="10"/>
                <w:szCs w:val="10"/>
                <w:b w:val="1"/>
                <w:bCs w:val="1"/>
                <w:color w:val="auto"/>
                <w:w w:val="92"/>
              </w:rPr>
              <w:t>Bermuda</w:t>
            </w:r>
          </w:p>
        </w:tc>
        <w:tc>
          <w:tcPr>
            <w:tcW w:w="2500" w:type="dxa"/>
            <w:vAlign w:val="bottom"/>
          </w:tcPr>
          <w:p>
            <w:pPr>
              <w:jc w:val="center"/>
              <w:spacing w:after="0"/>
              <w:rPr>
                <w:sz w:val="20"/>
                <w:szCs w:val="20"/>
                <w:color w:val="auto"/>
              </w:rPr>
            </w:pPr>
            <w:r>
              <w:rPr>
                <w:rFonts w:ascii="Arial" w:cs="Arial" w:eastAsia="Arial" w:hAnsi="Arial"/>
                <w:sz w:val="10"/>
                <w:szCs w:val="10"/>
                <w:b w:val="1"/>
                <w:bCs w:val="1"/>
                <w:color w:val="auto"/>
                <w:w w:val="89"/>
              </w:rPr>
              <w:t>2834</w:t>
            </w:r>
          </w:p>
        </w:tc>
        <w:tc>
          <w:tcPr>
            <w:tcW w:w="1580" w:type="dxa"/>
            <w:vAlign w:val="bottom"/>
          </w:tcPr>
          <w:p>
            <w:pPr>
              <w:jc w:val="center"/>
              <w:ind w:left="716"/>
              <w:spacing w:after="0"/>
              <w:rPr>
                <w:sz w:val="20"/>
                <w:szCs w:val="20"/>
                <w:color w:val="auto"/>
              </w:rPr>
            </w:pPr>
            <w:r>
              <w:rPr>
                <w:rFonts w:ascii="Arial" w:cs="Arial" w:eastAsia="Arial" w:hAnsi="Arial"/>
                <w:sz w:val="10"/>
                <w:szCs w:val="10"/>
                <w:b w:val="1"/>
                <w:bCs w:val="1"/>
                <w:color w:val="auto"/>
                <w:w w:val="86"/>
              </w:rPr>
              <w:t>98-1173944</w:t>
            </w:r>
          </w:p>
        </w:tc>
      </w:tr>
      <w:tr>
        <w:trPr>
          <w:trHeight w:val="90"/>
        </w:trPr>
        <w:tc>
          <w:tcPr>
            <w:tcW w:w="1820" w:type="dxa"/>
            <w:vAlign w:val="bottom"/>
          </w:tcPr>
          <w:p>
            <w:pPr>
              <w:jc w:val="center"/>
              <w:ind w:right="656"/>
              <w:spacing w:after="0" w:line="90" w:lineRule="exact"/>
              <w:rPr>
                <w:sz w:val="20"/>
                <w:szCs w:val="20"/>
                <w:color w:val="auto"/>
              </w:rPr>
            </w:pPr>
            <w:r>
              <w:rPr>
                <w:rFonts w:ascii="Arial" w:cs="Arial" w:eastAsia="Arial" w:hAnsi="Arial"/>
                <w:sz w:val="8"/>
                <w:szCs w:val="8"/>
                <w:b w:val="1"/>
                <w:bCs w:val="1"/>
                <w:color w:val="auto"/>
                <w:w w:val="95"/>
              </w:rPr>
              <w:t>(State or Other Jurisdiction of</w:t>
            </w:r>
          </w:p>
        </w:tc>
        <w:tc>
          <w:tcPr>
            <w:tcW w:w="25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(Primary Standard Industrial</w:t>
            </w:r>
          </w:p>
        </w:tc>
        <w:tc>
          <w:tcPr>
            <w:tcW w:w="1580" w:type="dxa"/>
            <w:vAlign w:val="bottom"/>
          </w:tcPr>
          <w:p>
            <w:pPr>
              <w:jc w:val="center"/>
              <w:ind w:left="696"/>
              <w:spacing w:after="0" w:line="90" w:lineRule="exact"/>
              <w:rPr>
                <w:sz w:val="20"/>
                <w:szCs w:val="20"/>
                <w:color w:val="auto"/>
              </w:rPr>
            </w:pPr>
            <w:r>
              <w:rPr>
                <w:rFonts w:ascii="Arial" w:cs="Arial" w:eastAsia="Arial" w:hAnsi="Arial"/>
                <w:sz w:val="8"/>
                <w:szCs w:val="8"/>
                <w:b w:val="1"/>
                <w:bCs w:val="1"/>
                <w:color w:val="auto"/>
                <w:w w:val="97"/>
              </w:rPr>
              <w:t>(I.R.S. Employer</w:t>
            </w:r>
          </w:p>
        </w:tc>
      </w:tr>
      <w:tr>
        <w:trPr>
          <w:trHeight w:val="107"/>
        </w:trPr>
        <w:tc>
          <w:tcPr>
            <w:tcW w:w="1820" w:type="dxa"/>
            <w:vAlign w:val="bottom"/>
          </w:tcPr>
          <w:p>
            <w:pPr>
              <w:jc w:val="center"/>
              <w:ind w:right="656"/>
              <w:spacing w:after="0"/>
              <w:rPr>
                <w:sz w:val="20"/>
                <w:szCs w:val="20"/>
                <w:color w:val="auto"/>
              </w:rPr>
            </w:pPr>
            <w:r>
              <w:rPr>
                <w:rFonts w:ascii="Arial" w:cs="Arial" w:eastAsia="Arial" w:hAnsi="Arial"/>
                <w:sz w:val="8"/>
                <w:szCs w:val="8"/>
                <w:b w:val="1"/>
                <w:bCs w:val="1"/>
                <w:color w:val="auto"/>
                <w:w w:val="96"/>
              </w:rPr>
              <w:t>Incorporation or Organization)</w:t>
            </w:r>
          </w:p>
        </w:tc>
        <w:tc>
          <w:tcPr>
            <w:tcW w:w="2500" w:type="dxa"/>
            <w:vAlign w:val="bottom"/>
          </w:tcPr>
          <w:p>
            <w:pPr>
              <w:jc w:val="center"/>
              <w:spacing w:after="0"/>
              <w:rPr>
                <w:sz w:val="20"/>
                <w:szCs w:val="20"/>
                <w:color w:val="auto"/>
              </w:rPr>
            </w:pPr>
            <w:r>
              <w:rPr>
                <w:rFonts w:ascii="Arial" w:cs="Arial" w:eastAsia="Arial" w:hAnsi="Arial"/>
                <w:sz w:val="8"/>
                <w:szCs w:val="8"/>
                <w:b w:val="1"/>
                <w:bCs w:val="1"/>
                <w:color w:val="auto"/>
                <w:w w:val="95"/>
              </w:rPr>
              <w:t>Classification Code Number)</w:t>
            </w:r>
          </w:p>
        </w:tc>
        <w:tc>
          <w:tcPr>
            <w:tcW w:w="1580" w:type="dxa"/>
            <w:vAlign w:val="bottom"/>
          </w:tcPr>
          <w:p>
            <w:pPr>
              <w:jc w:val="center"/>
              <w:ind w:left="696"/>
              <w:spacing w:after="0"/>
              <w:rPr>
                <w:sz w:val="20"/>
                <w:szCs w:val="20"/>
                <w:color w:val="auto"/>
              </w:rPr>
            </w:pPr>
            <w:r>
              <w:rPr>
                <w:rFonts w:ascii="Arial" w:cs="Arial" w:eastAsia="Arial" w:hAnsi="Arial"/>
                <w:sz w:val="8"/>
                <w:szCs w:val="8"/>
                <w:b w:val="1"/>
                <w:bCs w:val="1"/>
                <w:color w:val="auto"/>
                <w:w w:val="98"/>
              </w:rPr>
              <w:t>Identification Number)</w:t>
            </w:r>
          </w:p>
        </w:tc>
      </w:tr>
    </w:tbl>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Suite 1, 3rd Floor</w:t>
      </w:r>
    </w:p>
    <w:p>
      <w:pPr>
        <w:jc w:val="center"/>
        <w:ind w:right="-1120"/>
        <w:spacing w:after="0" w:line="206" w:lineRule="auto"/>
        <w:rPr>
          <w:sz w:val="20"/>
          <w:szCs w:val="20"/>
          <w:color w:val="auto"/>
        </w:rPr>
      </w:pPr>
      <w:r>
        <w:rPr>
          <w:rFonts w:ascii="Arial" w:cs="Arial" w:eastAsia="Arial" w:hAnsi="Arial"/>
          <w:sz w:val="10"/>
          <w:szCs w:val="10"/>
          <w:b w:val="1"/>
          <w:bCs w:val="1"/>
          <w:color w:val="auto"/>
        </w:rPr>
        <w:t>11-12 St. James’s Square</w:t>
      </w:r>
    </w:p>
    <w:p>
      <w:pPr>
        <w:jc w:val="center"/>
        <w:ind w:right="-1120"/>
        <w:spacing w:after="0" w:line="207" w:lineRule="auto"/>
        <w:rPr>
          <w:sz w:val="20"/>
          <w:szCs w:val="20"/>
          <w:color w:val="auto"/>
        </w:rPr>
      </w:pPr>
      <w:r>
        <w:rPr>
          <w:rFonts w:ascii="Arial" w:cs="Arial" w:eastAsia="Arial" w:hAnsi="Arial"/>
          <w:sz w:val="10"/>
          <w:szCs w:val="10"/>
          <w:b w:val="1"/>
          <w:bCs w:val="1"/>
          <w:color w:val="auto"/>
        </w:rPr>
        <w:t>London SW1Y 4LB</w:t>
      </w:r>
    </w:p>
    <w:p>
      <w:pPr>
        <w:jc w:val="center"/>
        <w:ind w:right="-1120"/>
        <w:spacing w:after="0" w:line="206" w:lineRule="auto"/>
        <w:rPr>
          <w:sz w:val="20"/>
          <w:szCs w:val="20"/>
          <w:color w:val="auto"/>
        </w:rPr>
      </w:pPr>
      <w:r>
        <w:rPr>
          <w:rFonts w:ascii="Arial" w:cs="Arial" w:eastAsia="Arial" w:hAnsi="Arial"/>
          <w:sz w:val="10"/>
          <w:szCs w:val="10"/>
          <w:b w:val="1"/>
          <w:bCs w:val="1"/>
          <w:color w:val="auto"/>
        </w:rPr>
        <w:t>United Kingdom</w:t>
      </w:r>
    </w:p>
    <w:p>
      <w:pPr>
        <w:jc w:val="center"/>
        <w:ind w:right="-1120"/>
        <w:spacing w:after="0" w:line="210" w:lineRule="auto"/>
        <w:rPr>
          <w:sz w:val="20"/>
          <w:szCs w:val="20"/>
          <w:color w:val="auto"/>
        </w:rPr>
      </w:pPr>
      <w:r>
        <w:rPr>
          <w:rFonts w:ascii="Arial" w:cs="Arial" w:eastAsia="Arial" w:hAnsi="Arial"/>
          <w:sz w:val="10"/>
          <w:szCs w:val="10"/>
          <w:b w:val="1"/>
          <w:bCs w:val="1"/>
          <w:color w:val="auto"/>
        </w:rPr>
        <w:t>+44 207 400 3347</w:t>
      </w:r>
    </w:p>
    <w:p>
      <w:pPr>
        <w:ind w:left="3480"/>
        <w:spacing w:after="0"/>
        <w:rPr>
          <w:sz w:val="20"/>
          <w:szCs w:val="20"/>
          <w:color w:val="auto"/>
        </w:rPr>
      </w:pPr>
      <w:r>
        <w:rPr>
          <w:rFonts w:ascii="Arial" w:cs="Arial" w:eastAsia="Arial" w:hAnsi="Arial"/>
          <w:sz w:val="8"/>
          <w:szCs w:val="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97790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4"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Corporation Service Company</w:t>
      </w:r>
    </w:p>
    <w:p>
      <w:pPr>
        <w:jc w:val="center"/>
        <w:ind w:right="-1120"/>
        <w:spacing w:after="0" w:line="206" w:lineRule="auto"/>
        <w:rPr>
          <w:sz w:val="20"/>
          <w:szCs w:val="20"/>
          <w:color w:val="auto"/>
        </w:rPr>
      </w:pPr>
      <w:r>
        <w:rPr>
          <w:rFonts w:ascii="Arial" w:cs="Arial" w:eastAsia="Arial" w:hAnsi="Arial"/>
          <w:sz w:val="10"/>
          <w:szCs w:val="10"/>
          <w:b w:val="1"/>
          <w:bCs w:val="1"/>
          <w:color w:val="auto"/>
        </w:rPr>
        <w:t>251 Little Falls Drive</w:t>
      </w:r>
    </w:p>
    <w:p>
      <w:pPr>
        <w:jc w:val="center"/>
        <w:ind w:right="-1120"/>
        <w:spacing w:after="0" w:line="207" w:lineRule="auto"/>
        <w:rPr>
          <w:sz w:val="20"/>
          <w:szCs w:val="20"/>
          <w:color w:val="auto"/>
        </w:rPr>
      </w:pPr>
      <w:r>
        <w:rPr>
          <w:rFonts w:ascii="Arial" w:cs="Arial" w:eastAsia="Arial" w:hAnsi="Arial"/>
          <w:sz w:val="10"/>
          <w:szCs w:val="10"/>
          <w:b w:val="1"/>
          <w:bCs w:val="1"/>
          <w:color w:val="auto"/>
        </w:rPr>
        <w:t>Wilmington, Delaware 19808</w:t>
      </w:r>
    </w:p>
    <w:p>
      <w:pPr>
        <w:jc w:val="center"/>
        <w:ind w:right="-1120"/>
        <w:spacing w:after="0" w:line="210" w:lineRule="auto"/>
        <w:rPr>
          <w:sz w:val="20"/>
          <w:szCs w:val="20"/>
          <w:color w:val="auto"/>
        </w:rPr>
      </w:pPr>
      <w:r>
        <w:rPr>
          <w:rFonts w:ascii="Arial" w:cs="Arial" w:eastAsia="Arial" w:hAnsi="Arial"/>
          <w:sz w:val="10"/>
          <w:szCs w:val="10"/>
          <w:b w:val="1"/>
          <w:bCs w:val="1"/>
          <w:color w:val="auto"/>
        </w:rPr>
        <w:t>(800) 927-9801</w:t>
      </w:r>
    </w:p>
    <w:p>
      <w:pPr>
        <w:jc w:val="center"/>
        <w:ind w:right="-1120"/>
        <w:spacing w:after="0"/>
        <w:rPr>
          <w:sz w:val="20"/>
          <w:szCs w:val="20"/>
          <w:color w:val="auto"/>
        </w:rPr>
      </w:pPr>
      <w:r>
        <w:rPr>
          <w:rFonts w:ascii="Arial" w:cs="Arial" w:eastAsia="Arial" w:hAnsi="Arial"/>
          <w:sz w:val="8"/>
          <w:szCs w:val="8"/>
          <w:b w:val="1"/>
          <w:bCs w:val="1"/>
          <w:color w:val="auto"/>
        </w:rPr>
        <w:t>(Name, Address, Including Zip Code, and Telephone Number, Including Area Code, of Agent For Service)</w:t>
      </w:r>
    </w:p>
    <w:p>
      <w:pPr>
        <w:spacing w:after="0" w:line="60"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i w:val="1"/>
          <w:iCs w:val="1"/>
          <w:color w:val="auto"/>
        </w:rPr>
        <w:t>Copy to:</w:t>
      </w:r>
    </w:p>
    <w:p>
      <w:pPr>
        <w:spacing w:after="0" w:line="57"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Derek J. Dostal</w:t>
      </w:r>
    </w:p>
    <w:p>
      <w:pPr>
        <w:jc w:val="center"/>
        <w:ind w:right="-1120"/>
        <w:spacing w:after="0" w:line="206" w:lineRule="auto"/>
        <w:rPr>
          <w:sz w:val="20"/>
          <w:szCs w:val="20"/>
          <w:color w:val="auto"/>
        </w:rPr>
      </w:pPr>
      <w:r>
        <w:rPr>
          <w:rFonts w:ascii="Arial" w:cs="Arial" w:eastAsia="Arial" w:hAnsi="Arial"/>
          <w:sz w:val="10"/>
          <w:szCs w:val="10"/>
          <w:b w:val="1"/>
          <w:bCs w:val="1"/>
          <w:color w:val="auto"/>
        </w:rPr>
        <w:t>Davis Polk &amp; Wardwell LLP</w:t>
      </w:r>
    </w:p>
    <w:p>
      <w:pPr>
        <w:jc w:val="center"/>
        <w:ind w:right="-1120"/>
        <w:spacing w:after="0" w:line="207" w:lineRule="auto"/>
        <w:rPr>
          <w:sz w:val="20"/>
          <w:szCs w:val="20"/>
          <w:color w:val="auto"/>
        </w:rPr>
      </w:pPr>
      <w:r>
        <w:rPr>
          <w:rFonts w:ascii="Arial" w:cs="Arial" w:eastAsia="Arial" w:hAnsi="Arial"/>
          <w:sz w:val="10"/>
          <w:szCs w:val="10"/>
          <w:b w:val="1"/>
          <w:bCs w:val="1"/>
          <w:color w:val="auto"/>
        </w:rPr>
        <w:t>450 Lexington Avenue</w:t>
      </w:r>
    </w:p>
    <w:p>
      <w:pPr>
        <w:jc w:val="center"/>
        <w:ind w:right="-1120"/>
        <w:spacing w:after="0" w:line="206" w:lineRule="auto"/>
        <w:rPr>
          <w:sz w:val="20"/>
          <w:szCs w:val="20"/>
          <w:color w:val="auto"/>
        </w:rPr>
      </w:pPr>
      <w:r>
        <w:rPr>
          <w:rFonts w:ascii="Arial" w:cs="Arial" w:eastAsia="Arial" w:hAnsi="Arial"/>
          <w:sz w:val="10"/>
          <w:szCs w:val="10"/>
          <w:b w:val="1"/>
          <w:bCs w:val="1"/>
          <w:color w:val="auto"/>
        </w:rPr>
        <w:t>New York, New York 10017</w:t>
      </w:r>
    </w:p>
    <w:p>
      <w:pPr>
        <w:jc w:val="center"/>
        <w:ind w:right="-1120"/>
        <w:spacing w:after="0" w:line="237" w:lineRule="auto"/>
        <w:rPr>
          <w:sz w:val="20"/>
          <w:szCs w:val="20"/>
          <w:color w:val="auto"/>
        </w:rPr>
      </w:pPr>
      <w:r>
        <w:rPr>
          <w:rFonts w:ascii="Arial" w:cs="Arial" w:eastAsia="Arial" w:hAnsi="Arial"/>
          <w:sz w:val="10"/>
          <w:szCs w:val="10"/>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102235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54"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From time to time after the effective date of this registration statement.</w:t>
      </w:r>
    </w:p>
    <w:p>
      <w:pPr>
        <w:spacing w:after="0" w:line="58" w:lineRule="exact"/>
        <w:rPr>
          <w:sz w:val="24"/>
          <w:szCs w:val="24"/>
          <w:color w:val="auto"/>
        </w:rPr>
      </w:pPr>
    </w:p>
    <w:p>
      <w:pPr>
        <w:ind w:left="1980" w:right="1079" w:firstLine="294"/>
        <w:spacing w:after="0" w:line="120"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49" w:lineRule="exact"/>
        <w:rPr>
          <w:sz w:val="24"/>
          <w:szCs w:val="24"/>
          <w:color w:val="auto"/>
        </w:rPr>
      </w:pPr>
    </w:p>
    <w:p>
      <w:pPr>
        <w:ind w:left="1980" w:right="1059" w:firstLine="294"/>
        <w:spacing w:after="0" w:line="120" w:lineRule="exact"/>
        <w:rPr>
          <w:sz w:val="20"/>
          <w:szCs w:val="20"/>
          <w:color w:val="auto"/>
        </w:rPr>
      </w:pPr>
      <w:r>
        <w:rPr>
          <w:rFonts w:ascii="Arial" w:cs="Arial" w:eastAsia="Arial" w:hAnsi="Arial"/>
          <w:sz w:val="10"/>
          <w:szCs w:val="10"/>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49" w:lineRule="exact"/>
        <w:rPr>
          <w:sz w:val="24"/>
          <w:szCs w:val="24"/>
          <w:color w:val="auto"/>
        </w:rPr>
      </w:pPr>
    </w:p>
    <w:p>
      <w:pPr>
        <w:ind w:left="1980" w:right="939" w:firstLine="294"/>
        <w:spacing w:after="0" w:line="120"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49" w:lineRule="exact"/>
        <w:rPr>
          <w:sz w:val="24"/>
          <w:szCs w:val="24"/>
          <w:color w:val="auto"/>
        </w:rPr>
      </w:pPr>
    </w:p>
    <w:p>
      <w:pPr>
        <w:ind w:left="1980" w:right="939" w:firstLine="294"/>
        <w:spacing w:after="0" w:line="120"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49" w:lineRule="exact"/>
        <w:rPr>
          <w:sz w:val="24"/>
          <w:szCs w:val="24"/>
          <w:color w:val="auto"/>
        </w:rPr>
      </w:pPr>
    </w:p>
    <w:p>
      <w:pPr>
        <w:ind w:left="2260"/>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ind w:left="1980"/>
        <w:spacing w:after="0"/>
        <w:rPr>
          <w:sz w:val="20"/>
          <w:szCs w:val="20"/>
          <w:color w:val="auto"/>
        </w:rPr>
      </w:pPr>
      <w:r>
        <w:rPr>
          <w:rFonts w:ascii="Arial" w:cs="Arial" w:eastAsia="Arial" w:hAnsi="Arial"/>
          <w:sz w:val="10"/>
          <w:szCs w:val="10"/>
          <w:color w:val="auto"/>
        </w:rPr>
        <w:t>See the definitions of “large accelerated filer,” “accelerated filer,” “smaller reporting company” and “emerging growth company” in Rule 12b-2 of the Exchange Act.</w:t>
      </w:r>
    </w:p>
    <w:p>
      <w:pPr>
        <w:sectPr>
          <w:pgSz w:w="11900" w:h="16838" w:orient="portrait"/>
          <w:cols w:equalWidth="0" w:num="1">
            <w:col w:w="10159"/>
          </w:cols>
          <w:pgMar w:left="300" w:top="201" w:right="1440" w:bottom="1440" w:gutter="0" w:footer="0" w:header="0"/>
        </w:sectPr>
      </w:pPr>
    </w:p>
    <w:p>
      <w:pPr>
        <w:spacing w:after="0" w:line="50" w:lineRule="exact"/>
        <w:rPr>
          <w:sz w:val="24"/>
          <w:szCs w:val="24"/>
          <w:color w:val="auto"/>
        </w:rPr>
      </w:pPr>
    </w:p>
    <w:p>
      <w:pPr>
        <w:ind w:left="1980"/>
        <w:spacing w:after="0" w:line="115" w:lineRule="exact"/>
        <w:tabs>
          <w:tab w:leader="none" w:pos="2980" w:val="left"/>
          <w:tab w:leader="none" w:pos="790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8"/>
          <w:szCs w:val="8"/>
          <w:color w:val="auto"/>
        </w:rPr>
        <w:t>Accelerated filer</w:t>
      </w:r>
    </w:p>
    <w:p>
      <w:pPr>
        <w:spacing w:after="0" w:line="74" w:lineRule="exact"/>
        <w:rPr>
          <w:sz w:val="24"/>
          <w:szCs w:val="24"/>
          <w:color w:val="auto"/>
        </w:rPr>
      </w:pPr>
    </w:p>
    <w:p>
      <w:pPr>
        <w:ind w:left="1980"/>
        <w:spacing w:after="0" w:line="115" w:lineRule="exact"/>
        <w:tabs>
          <w:tab w:leader="none" w:pos="2980" w:val="left"/>
          <w:tab w:leader="none" w:pos="7900" w:val="left"/>
        </w:tabs>
        <w:rPr>
          <w:sz w:val="20"/>
          <w:szCs w:val="20"/>
          <w:color w:val="auto"/>
        </w:rPr>
      </w:pP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 xml:space="preserve">☐ </w:t>
      </w:r>
      <w:r>
        <w:rPr>
          <w:rFonts w:ascii="Arial" w:cs="Arial" w:eastAsia="Arial" w:hAnsi="Arial"/>
          <w:sz w:val="10"/>
          <w:szCs w:val="10"/>
          <w:color w:val="auto"/>
        </w:rPr>
        <w:t>(Do not check if a smaller reporting company)</w:t>
      </w:r>
      <w:r>
        <w:rPr>
          <w:sz w:val="20"/>
          <w:szCs w:val="20"/>
          <w:color w:val="auto"/>
        </w:rPr>
        <w:tab/>
      </w:r>
      <w:r>
        <w:rPr>
          <w:rFonts w:ascii="Arial" w:cs="Arial" w:eastAsia="Arial" w:hAnsi="Arial"/>
          <w:sz w:val="8"/>
          <w:szCs w:val="8"/>
          <w:color w:val="auto"/>
        </w:rPr>
        <w:t>Smaller reporting company</w:t>
      </w:r>
    </w:p>
    <w:p>
      <w:pPr>
        <w:spacing w:after="0" w:line="101" w:lineRule="exact"/>
        <w:rPr>
          <w:sz w:val="24"/>
          <w:szCs w:val="24"/>
          <w:color w:val="auto"/>
        </w:rPr>
      </w:pPr>
    </w:p>
    <w:p>
      <w:pPr>
        <w:ind w:left="7920"/>
        <w:spacing w:after="0"/>
        <w:rPr>
          <w:sz w:val="20"/>
          <w:szCs w:val="20"/>
          <w:color w:val="auto"/>
        </w:rPr>
      </w:pPr>
      <w:r>
        <w:rPr>
          <w:rFonts w:ascii="Arial" w:cs="Arial" w:eastAsia="Arial" w:hAnsi="Arial"/>
          <w:sz w:val="8"/>
          <w:szCs w:val="8"/>
          <w:color w:val="auto"/>
        </w:rPr>
        <w:t>Emerging growth company</w:t>
      </w:r>
    </w:p>
    <w:p>
      <w:pPr>
        <w:spacing w:after="0" w:line="79" w:lineRule="exact"/>
        <w:rPr>
          <w:sz w:val="24"/>
          <w:szCs w:val="24"/>
          <w:color w:val="auto"/>
        </w:rPr>
      </w:pPr>
    </w:p>
    <w:p>
      <w:pPr>
        <w:ind w:left="1980" w:right="40" w:firstLine="294"/>
        <w:spacing w:after="0" w:line="120"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45085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6" w:lineRule="exact"/>
        <w:rPr>
          <w:sz w:val="24"/>
          <w:szCs w:val="24"/>
          <w:color w:val="auto"/>
        </w:rPr>
      </w:pPr>
    </w:p>
    <w:p>
      <w:pPr>
        <w:ind w:left="4720"/>
        <w:spacing w:after="0"/>
        <w:rPr>
          <w:sz w:val="20"/>
          <w:szCs w:val="20"/>
          <w:color w:val="auto"/>
        </w:rPr>
      </w:pPr>
      <w:r>
        <w:rPr>
          <w:rFonts w:ascii="Arial" w:cs="Arial" w:eastAsia="Arial" w:hAnsi="Arial"/>
          <w:sz w:val="10"/>
          <w:szCs w:val="10"/>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95" w:lineRule="exact"/>
        <w:rPr>
          <w:sz w:val="24"/>
          <w:szCs w:val="24"/>
          <w:color w:val="auto"/>
        </w:rPr>
      </w:pPr>
    </w:p>
    <w:p>
      <w:pPr>
        <w:sectPr>
          <w:pgSz w:w="11900" w:h="16838" w:orient="portrait"/>
          <w:cols w:equalWidth="0" w:num="2">
            <w:col w:w="8960" w:space="260"/>
            <w:col w:w="939"/>
          </w:cols>
          <w:pgMar w:left="300" w:top="201" w:right="1440" w:bottom="1440" w:gutter="0" w:footer="0" w:header="0"/>
          <w:type w:val="continuous"/>
        </w:sectPr>
      </w:pPr>
    </w:p>
    <w:tbl>
      <w:tblPr>
        <w:tblLayout w:type="fixed"/>
        <w:tblInd w:w="1980" w:type="dxa"/>
        <w:tblCellMar>
          <w:top w:w="0" w:type="dxa"/>
          <w:left w:w="0" w:type="dxa"/>
          <w:bottom w:w="0" w:type="dxa"/>
          <w:right w:w="0" w:type="dxa"/>
        </w:tblCellMar>
      </w:tblPr>
      <w:tr>
        <w:trPr>
          <w:trHeight w:val="96"/>
        </w:trPr>
        <w:tc>
          <w:tcPr>
            <w:tcW w:w="32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7"/>
                <w:szCs w:val="7"/>
                <w:b w:val="1"/>
                <w:bCs w:val="1"/>
                <w:color w:val="auto"/>
              </w:rPr>
              <w:t>Title of Each Class</w:t>
            </w:r>
          </w:p>
        </w:tc>
        <w:tc>
          <w:tcPr>
            <w:tcW w:w="10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7"/>
                <w:szCs w:val="7"/>
                <w:b w:val="1"/>
                <w:bCs w:val="1"/>
                <w:color w:val="auto"/>
              </w:rPr>
              <w:t>Amount to be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7"/>
                <w:szCs w:val="7"/>
                <w:b w:val="1"/>
                <w:bCs w:val="1"/>
                <w:color w:val="auto"/>
                <w:w w:val="93"/>
              </w:rPr>
              <w:t>Proposed Maximum</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7"/>
                <w:szCs w:val="7"/>
                <w:b w:val="1"/>
                <w:bCs w:val="1"/>
                <w:color w:val="auto"/>
                <w:w w:val="93"/>
              </w:rPr>
              <w:t>Proposed Maximum</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7"/>
                <w:szCs w:val="7"/>
                <w:b w:val="1"/>
                <w:bCs w:val="1"/>
                <w:color w:val="auto"/>
                <w:w w:val="91"/>
              </w:rPr>
              <w:t>Amount of</w:t>
            </w:r>
          </w:p>
        </w:tc>
      </w:tr>
      <w:tr>
        <w:trPr>
          <w:trHeight w:val="99"/>
        </w:trPr>
        <w:tc>
          <w:tcPr>
            <w:tcW w:w="326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7"/>
                <w:szCs w:val="7"/>
                <w:b w:val="1"/>
                <w:bCs w:val="1"/>
                <w:color w:val="auto"/>
              </w:rPr>
              <w:t>of Securities to be Registered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7"/>
                <w:szCs w:val="7"/>
                <w:b w:val="1"/>
                <w:bCs w:val="1"/>
                <w:color w:val="auto"/>
                <w:w w:val="89"/>
              </w:rPr>
              <w:t>Registered(1)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7"/>
                <w:szCs w:val="7"/>
                <w:b w:val="1"/>
                <w:bCs w:val="1"/>
                <w:color w:val="auto"/>
                <w:w w:val="96"/>
              </w:rPr>
              <w:t>Offering Price Per Share(2)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7"/>
                <w:szCs w:val="7"/>
                <w:b w:val="1"/>
                <w:bCs w:val="1"/>
                <w:color w:val="auto"/>
                <w:w w:val="94"/>
              </w:rPr>
              <w:t>Aggregate Offering Price(2)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4"/>
              </w:rPr>
              <w:t>Registration Fee</w:t>
            </w:r>
          </w:p>
        </w:tc>
      </w:tr>
      <w:tr>
        <w:trPr>
          <w:trHeight w:val="88"/>
        </w:trPr>
        <w:tc>
          <w:tcPr>
            <w:tcW w:w="32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Primary Offering</w:t>
            </w:r>
          </w:p>
        </w:tc>
        <w:tc>
          <w:tcPr>
            <w:tcW w:w="10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76"/>
        </w:trPr>
        <w:tc>
          <w:tcPr>
            <w:tcW w:w="3260" w:type="dxa"/>
            <w:vAlign w:val="bottom"/>
            <w:tcBorders>
              <w:right w:val="single" w:sz="8" w:color="auto"/>
            </w:tcBorders>
          </w:tcPr>
          <w:p>
            <w:pPr>
              <w:spacing w:after="0" w:line="76" w:lineRule="exact"/>
              <w:rPr>
                <w:sz w:val="20"/>
                <w:szCs w:val="20"/>
                <w:color w:val="auto"/>
              </w:rPr>
            </w:pPr>
            <w:r>
              <w:rPr>
                <w:rFonts w:ascii="Arial" w:cs="Arial" w:eastAsia="Arial" w:hAnsi="Arial"/>
                <w:sz w:val="8"/>
                <w:szCs w:val="8"/>
                <w:color w:val="auto"/>
              </w:rPr>
              <w:t>Common Shares, par value $0.0000000341740141 per share (the “Common</w:t>
            </w:r>
          </w:p>
        </w:tc>
        <w:tc>
          <w:tcPr>
            <w:tcW w:w="10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r>
      <w:tr>
        <w:trPr>
          <w:trHeight w:val="111"/>
        </w:trPr>
        <w:tc>
          <w:tcPr>
            <w:tcW w:w="3260" w:type="dxa"/>
            <w:vAlign w:val="bottom"/>
            <w:tcBorders>
              <w:bottom w:val="single" w:sz="8" w:color="auto"/>
              <w:right w:val="single" w:sz="8" w:color="auto"/>
            </w:tcBorders>
          </w:tcPr>
          <w:p>
            <w:pPr>
              <w:ind w:left="80"/>
              <w:spacing w:after="0" w:line="112" w:lineRule="exact"/>
              <w:rPr>
                <w:sz w:val="20"/>
                <w:szCs w:val="20"/>
                <w:color w:val="auto"/>
              </w:rPr>
            </w:pPr>
            <w:r>
              <w:rPr>
                <w:rFonts w:ascii="Arial" w:cs="Arial" w:eastAsia="Arial" w:hAnsi="Arial"/>
                <w:sz w:val="10"/>
                <w:szCs w:val="10"/>
                <w:color w:val="auto"/>
              </w:rPr>
              <w:t>Shares”)</w:t>
            </w:r>
          </w:p>
        </w:tc>
        <w:tc>
          <w:tcPr>
            <w:tcW w:w="10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89"/>
              </w:rPr>
              <w:t>30,750,261(3)</w:t>
            </w:r>
          </w:p>
        </w:tc>
        <w:tc>
          <w:tcPr>
            <w:tcW w:w="1020" w:type="dxa"/>
            <w:vAlign w:val="bottom"/>
            <w:tcBorders>
              <w:bottom w:val="single" w:sz="8" w:color="auto"/>
              <w:right w:val="single" w:sz="8" w:color="auto"/>
            </w:tcBorders>
          </w:tcPr>
          <w:p>
            <w:pPr>
              <w:ind w:left="420"/>
              <w:spacing w:after="0" w:line="112" w:lineRule="exact"/>
              <w:rPr>
                <w:sz w:val="20"/>
                <w:szCs w:val="20"/>
                <w:color w:val="auto"/>
              </w:rPr>
            </w:pPr>
            <w:r>
              <w:rPr>
                <w:rFonts w:ascii="Arial" w:cs="Arial" w:eastAsia="Arial" w:hAnsi="Arial"/>
                <w:sz w:val="10"/>
                <w:szCs w:val="10"/>
                <w:color w:val="auto"/>
              </w:rPr>
              <w:t>$6.68</w:t>
            </w:r>
          </w:p>
        </w:tc>
        <w:tc>
          <w:tcPr>
            <w:tcW w:w="104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87"/>
              </w:rPr>
              <w:t>$205,257,992.18</w:t>
            </w:r>
          </w:p>
        </w:tc>
        <w:tc>
          <w:tcPr>
            <w:tcW w:w="100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7"/>
              </w:rPr>
              <w:t>$19,027.42</w:t>
            </w:r>
          </w:p>
        </w:tc>
      </w:tr>
      <w:tr>
        <w:trPr>
          <w:trHeight w:val="88"/>
        </w:trPr>
        <w:tc>
          <w:tcPr>
            <w:tcW w:w="32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b w:val="1"/>
                <w:bCs w:val="1"/>
                <w:color w:val="auto"/>
              </w:rPr>
              <w:t>Secondary Offering</w:t>
            </w:r>
          </w:p>
        </w:tc>
        <w:tc>
          <w:tcPr>
            <w:tcW w:w="10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88"/>
        </w:trPr>
        <w:tc>
          <w:tcPr>
            <w:tcW w:w="32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color w:val="auto"/>
              </w:rPr>
              <w:t>Common Shares</w:t>
            </w:r>
          </w:p>
        </w:tc>
        <w:tc>
          <w:tcPr>
            <w:tcW w:w="102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10"/>
                <w:szCs w:val="10"/>
                <w:color w:val="auto"/>
                <w:w w:val="88"/>
              </w:rPr>
              <w:t>595,134,445(4)</w:t>
            </w:r>
          </w:p>
        </w:tc>
        <w:tc>
          <w:tcPr>
            <w:tcW w:w="1020" w:type="dxa"/>
            <w:vAlign w:val="bottom"/>
            <w:tcBorders>
              <w:bottom w:val="single" w:sz="8" w:color="auto"/>
              <w:right w:val="single" w:sz="8" w:color="auto"/>
            </w:tcBorders>
          </w:tcPr>
          <w:p>
            <w:pPr>
              <w:ind w:left="420"/>
              <w:spacing w:after="0" w:line="88" w:lineRule="exact"/>
              <w:rPr>
                <w:sz w:val="20"/>
                <w:szCs w:val="20"/>
                <w:color w:val="auto"/>
              </w:rPr>
            </w:pPr>
            <w:r>
              <w:rPr>
                <w:rFonts w:ascii="Arial" w:cs="Arial" w:eastAsia="Arial" w:hAnsi="Arial"/>
                <w:sz w:val="10"/>
                <w:szCs w:val="10"/>
                <w:color w:val="auto"/>
              </w:rPr>
              <w:t>$6.68</w:t>
            </w:r>
          </w:p>
        </w:tc>
        <w:tc>
          <w:tcPr>
            <w:tcW w:w="10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10"/>
                <w:szCs w:val="10"/>
                <w:color w:val="auto"/>
                <w:w w:val="86"/>
              </w:rPr>
              <w:t>$3,972,522,420.38</w:t>
            </w:r>
          </w:p>
        </w:tc>
        <w:tc>
          <w:tcPr>
            <w:tcW w:w="10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color w:val="auto"/>
                <w:w w:val="86"/>
              </w:rPr>
              <w:t>$368,252.83</w:t>
            </w:r>
          </w:p>
        </w:tc>
      </w:tr>
      <w:tr>
        <w:trPr>
          <w:trHeight w:val="88"/>
        </w:trPr>
        <w:tc>
          <w:tcPr>
            <w:tcW w:w="32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color w:val="auto"/>
              </w:rPr>
              <w:t>Warrants to purchase Common Shares</w:t>
            </w:r>
          </w:p>
        </w:tc>
        <w:tc>
          <w:tcPr>
            <w:tcW w:w="102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10"/>
                <w:szCs w:val="10"/>
                <w:color w:val="auto"/>
                <w:w w:val="89"/>
              </w:rPr>
              <w:t>10,214,365(5)</w:t>
            </w:r>
          </w:p>
        </w:tc>
        <w:tc>
          <w:tcPr>
            <w:tcW w:w="1020" w:type="dxa"/>
            <w:vAlign w:val="bottom"/>
            <w:tcBorders>
              <w:bottom w:val="single" w:sz="8" w:color="auto"/>
              <w:right w:val="single" w:sz="8" w:color="auto"/>
            </w:tcBorders>
          </w:tcPr>
          <w:p>
            <w:pPr>
              <w:ind w:left="420"/>
              <w:spacing w:after="0" w:line="88" w:lineRule="exact"/>
              <w:rPr>
                <w:sz w:val="20"/>
                <w:szCs w:val="20"/>
                <w:color w:val="auto"/>
              </w:rPr>
            </w:pPr>
            <w:r>
              <w:rPr>
                <w:rFonts w:ascii="Arial" w:cs="Arial" w:eastAsia="Arial" w:hAnsi="Arial"/>
                <w:sz w:val="10"/>
                <w:szCs w:val="10"/>
                <w:color w:val="auto"/>
              </w:rPr>
              <w:t>$ —</w:t>
            </w:r>
          </w:p>
        </w:tc>
        <w:tc>
          <w:tcPr>
            <w:tcW w:w="1040" w:type="dxa"/>
            <w:vAlign w:val="bottom"/>
            <w:tcBorders>
              <w:bottom w:val="single" w:sz="8" w:color="auto"/>
              <w:right w:val="single" w:sz="8" w:color="auto"/>
            </w:tcBorders>
          </w:tcPr>
          <w:p>
            <w:pPr>
              <w:ind w:left="420"/>
              <w:spacing w:after="0" w:line="88" w:lineRule="exact"/>
              <w:rPr>
                <w:sz w:val="20"/>
                <w:szCs w:val="20"/>
                <w:color w:val="auto"/>
              </w:rPr>
            </w:pPr>
            <w:r>
              <w:rPr>
                <w:rFonts w:ascii="Arial" w:cs="Arial" w:eastAsia="Arial" w:hAnsi="Arial"/>
                <w:sz w:val="10"/>
                <w:szCs w:val="10"/>
                <w:color w:val="auto"/>
              </w:rPr>
              <w:t>$ —</w:t>
            </w:r>
          </w:p>
        </w:tc>
        <w:tc>
          <w:tcPr>
            <w:tcW w:w="10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color w:val="auto"/>
                <w:w w:val="95"/>
              </w:rPr>
              <w:t>$ — (6)</w:t>
            </w:r>
          </w:p>
        </w:tc>
      </w:tr>
      <w:tr>
        <w:trPr>
          <w:trHeight w:val="95"/>
        </w:trPr>
        <w:tc>
          <w:tcPr>
            <w:tcW w:w="32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b w:val="1"/>
                <w:bCs w:val="1"/>
                <w:color w:val="auto"/>
              </w:rPr>
              <w:t>Total</w:t>
            </w:r>
          </w:p>
        </w:tc>
        <w:tc>
          <w:tcPr>
            <w:tcW w:w="102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10"/>
                <w:szCs w:val="10"/>
                <w:color w:val="auto"/>
                <w:w w:val="86"/>
              </w:rPr>
              <w:t>$4,177,780,412.56</w:t>
            </w:r>
          </w:p>
        </w:tc>
        <w:tc>
          <w:tcPr>
            <w:tcW w:w="10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color w:val="auto"/>
                <w:w w:val="86"/>
              </w:rPr>
              <w:t>$387,280.25</w:t>
            </w:r>
          </w:p>
        </w:tc>
      </w:tr>
    </w:tbl>
    <w:p>
      <w:pPr>
        <w:ind w:left="2260" w:right="899" w:hanging="288"/>
        <w:spacing w:after="0" w:line="211"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Pursuant to Rule 416 under the Securities Act of 1933, as amended (the “Securities Act”), the registrant is also registering an indeterminate number of additional Common Shares that may become issuable as a result of any stock dividend, stock split, recapitalization or other similar transaction.</w:t>
      </w:r>
    </w:p>
    <w:p>
      <w:pPr>
        <w:ind w:left="2260" w:right="919" w:hanging="288"/>
        <w:spacing w:after="0" w:line="258" w:lineRule="auto"/>
        <w:tabs>
          <w:tab w:leader="none" w:pos="2260" w:val="left"/>
        </w:tabs>
        <w:numPr>
          <w:ilvl w:val="0"/>
          <w:numId w:val="1"/>
        </w:numPr>
        <w:rPr>
          <w:rFonts w:ascii="Arial" w:cs="Arial" w:eastAsia="Arial" w:hAnsi="Arial"/>
          <w:sz w:val="8"/>
          <w:szCs w:val="8"/>
          <w:color w:val="auto"/>
        </w:rPr>
      </w:pPr>
      <w:r>
        <w:rPr>
          <w:rFonts w:ascii="Arial" w:cs="Arial" w:eastAsia="Arial" w:hAnsi="Arial"/>
          <w:sz w:val="8"/>
          <w:szCs w:val="8"/>
          <w:color w:val="auto"/>
        </w:rPr>
        <w:t>Estimated solely for the purpose of calculating the registration fee in accordance with Rule 457(c) and Rule 457(g) under the Securities Act, based on the average of the high and low prices of the Common Shares on October 22, 2021 as reported on The Nasdaq Global Market, which was approximately $6.68 per share.</w:t>
      </w:r>
    </w:p>
    <w:p>
      <w:pPr>
        <w:ind w:left="2260" w:right="839" w:hanging="288"/>
        <w:spacing w:after="0" w:line="20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Consists of the primary issuance of (i) 20,535,896 Common Shares that may be issued upon exercise of the Registrant’s outstanding public warrants (the “Public Warrants”) and (ii) 10,214,365 Common Shares that may be issued upon exercise of the Registrant’s outstanding private warrants (the “Private Placement Warrants” and, collectively with the Public Warrants, the “Warrants”) following the public resale of the Private Placement Warrants. The Private Placement Warrants were sold simultaneously with the closing of the initial public offering of MAAC at a price of $1.00 to the MAAC Sponsor.</w:t>
      </w:r>
    </w:p>
    <w:p>
      <w:pPr>
        <w:spacing w:after="0" w:line="1" w:lineRule="exact"/>
        <w:rPr>
          <w:rFonts w:ascii="Arial" w:cs="Arial" w:eastAsia="Arial" w:hAnsi="Arial"/>
          <w:sz w:val="10"/>
          <w:szCs w:val="10"/>
          <w:color w:val="auto"/>
        </w:rPr>
      </w:pPr>
    </w:p>
    <w:p>
      <w:pPr>
        <w:ind w:left="2260" w:right="879" w:hanging="288"/>
        <w:spacing w:after="0" w:line="20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Consists of 595,134,445 Common Shares registered for resale by the Holders (as defined below), consisting of (i) 22,000,000 Common Shares issued in connection with the PIPE Financing (as defined below), (ii) 10,214,365 Common Shares issuable upon exercise of the Private Placement Warrants and (iii) 562,920,080 issued and outstanding Common Shares held by the Holders (including Common Shares underlying vested restricted share awards).</w:t>
      </w:r>
    </w:p>
    <w:p>
      <w:pPr>
        <w:ind w:left="2260" w:right="1119" w:hanging="288"/>
        <w:spacing w:after="0" w:line="20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Consists of the 10,214,365 outstanding Private Placement Warrants sold simultaneously with the closing of the initial public offering of MAAC at a price of $1.00 to the MAAC Sponsor.</w:t>
      </w:r>
    </w:p>
    <w:p>
      <w:pPr>
        <w:ind w:left="2260" w:hanging="288"/>
        <w:spacing w:after="0" w:line="23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No separate fee due in accordance with Rule 457(i).</w:t>
      </w:r>
    </w:p>
    <w:p>
      <w:pPr>
        <w:spacing w:after="0" w:line="48" w:lineRule="exact"/>
        <w:rPr>
          <w:sz w:val="24"/>
          <w:szCs w:val="24"/>
          <w:color w:val="auto"/>
        </w:rPr>
      </w:pPr>
    </w:p>
    <w:p>
      <w:pPr>
        <w:ind w:left="1980" w:right="1079" w:firstLine="294"/>
        <w:spacing w:after="0" w:line="299" w:lineRule="auto"/>
        <w:rPr>
          <w:sz w:val="20"/>
          <w:szCs w:val="20"/>
          <w:color w:val="auto"/>
        </w:rPr>
      </w:pPr>
      <w:r>
        <w:rPr>
          <w:rFonts w:ascii="Arial" w:cs="Arial" w:eastAsia="Arial" w:hAnsi="Arial"/>
          <w:sz w:val="8"/>
          <w:szCs w:val="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19685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48260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899"/>
        <w:spacing w:after="0" w:line="344" w:lineRule="auto"/>
        <w:rPr>
          <w:sz w:val="20"/>
          <w:szCs w:val="20"/>
          <w:color w:val="auto"/>
        </w:rPr>
      </w:pPr>
      <w:r>
        <w:rPr>
          <w:rFonts w:ascii="Arial" w:cs="Arial" w:eastAsia="Arial" w:hAnsi="Arial"/>
          <w:sz w:val="10"/>
          <w:szCs w:val="10"/>
          <w:b w:val="1"/>
          <w:bCs w:val="1"/>
          <w:color w:val="EB0029"/>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3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EB0029"/>
        </w:rPr>
        <w:t>PRELIMINARY PROSPECTUS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EB0029"/>
        </w:rPr>
        <w:t>SUBJECT TO COMPLETION, DATED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3810</wp:posOffset>
            </wp:positionV>
            <wp:extent cx="22174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74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595,134,445 Common Shares</w:t>
      </w:r>
    </w:p>
    <w:p>
      <w:pPr>
        <w:spacing w:after="0" w:line="138"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30,750,261 Common Shares Issuable Upon Exercise of Warrants</w:t>
      </w:r>
    </w:p>
    <w:p>
      <w:pPr>
        <w:spacing w:after="0" w:line="144"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10,214,365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165100</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5"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This prospectus relates to the issuance by us of up to (i) 20,535,896 common shares, $0.0000000341740141 par value per share (the “Common Shares”), that are issuable by us upon the exercise of the outstanding public warrants (the “Public Warrants”), which were previously registered, and (ii) 10,214,365 Common Shares that are issuable by us upon the exercise of the private warrants (the “Private Placement Warrants” and, collectively with the Public Warrants, the “Warrants”) originally issued in a private placement to Patient Square Capital LLC (the “MAAC Sponsor”).</w:t>
      </w:r>
    </w:p>
    <w:p>
      <w:pPr>
        <w:spacing w:after="0" w:line="9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This prospectus also relates to the potential offer and sale from time to time by the securityholders named in this prospectus or their permitted transferees (the “Holders”) of (i) up to 595,134,445 of our Common Shares, consisting of (x) 22,000,000 Common Shares issued in the PIPE Financing (as defined herein), (y) up to 10,214,365 Common Shares issuable upon exercise of the Private Placement Warrants and (z) 562,920,080 issued and outstanding Common Shares held by certain Holders (including Common Shares underlying vested restricted share awards), and (ii) the Private Placement Warrants. We will not receive any proceeds from the sale of Common Shares or Private Placement Warrants by the Holders pursuant to this prospectus.</w:t>
      </w:r>
    </w:p>
    <w:p>
      <w:pPr>
        <w:spacing w:after="0" w:line="12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Holders may offer, sell or distribute all or a portion of the securities hereby registered publicly or through private transactions at prevailing market prices or at negotiated prices. We will not receive any of the proceeds from such sales of the Common Shares or Warrants, except with respect to amounts received by us upon the exercise of the Warrants. We will bear all costs, expenses and fees in connection with the registration of these securities, including with regard to compliance with state securities or “blue sky” laws. The Holders will bear all commissions and discounts, if any, attributable to their sale of Common Shares or Warrants. See “Plan of Distribution.”</w:t>
      </w:r>
    </w:p>
    <w:p>
      <w:pPr>
        <w:spacing w:after="0" w:line="113"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Our Common Shares and Public Warrants are listed on The Nasdaq Global Market under the symbols “ROIV” and “ROIVW,” respectively. On October 28, 2021, the last reported sale price of our Common Shares was $7.96 per Common Share and the last reported sale price of our Warrants was $1.41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140335</wp:posOffset>
            </wp:positionV>
            <wp:extent cx="9829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6" w:lineRule="exact"/>
        <w:rPr>
          <w:sz w:val="20"/>
          <w:szCs w:val="20"/>
          <w:color w:val="auto"/>
        </w:rPr>
      </w:pPr>
    </w:p>
    <w:p>
      <w:pPr>
        <w:ind w:left="1980" w:right="899" w:firstLine="367"/>
        <w:spacing w:after="0" w:line="254" w:lineRule="auto"/>
        <w:rPr>
          <w:rFonts w:ascii="Arial" w:cs="Arial" w:eastAsia="Arial" w:hAnsi="Arial"/>
          <w:sz w:val="14"/>
          <w:szCs w:val="14"/>
          <w:b w:val="1"/>
          <w:bCs w:val="1"/>
          <w:color w:val="auto"/>
        </w:rPr>
      </w:pPr>
      <w:r>
        <w:rPr>
          <w:rFonts w:ascii="Arial" w:cs="Arial" w:eastAsia="Arial" w:hAnsi="Arial"/>
          <w:sz w:val="14"/>
          <w:szCs w:val="14"/>
          <w:b w:val="1"/>
          <w:bCs w:val="1"/>
          <w:color w:val="auto"/>
        </w:rPr>
        <w:t>We are an “emerging growth company” under federal securities laws and are subject to reduced public company reporting requirements. Investing in our securities involves a high degree of risk. You should review carefully the risks and uncertainties described under the heading “</w:t>
      </w:r>
      <w:hyperlink w:anchor="page1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6 of this prospectus, and under similar headings in any amendment or supplements to this prospectus.</w:t>
      </w:r>
    </w:p>
    <w:p>
      <w:pPr>
        <w:spacing w:after="0" w:line="116" w:lineRule="exact"/>
        <w:rPr>
          <w:sz w:val="20"/>
          <w:szCs w:val="20"/>
          <w:color w:val="auto"/>
        </w:rPr>
      </w:pPr>
    </w:p>
    <w:p>
      <w:pPr>
        <w:ind w:left="1980" w:right="939" w:firstLine="294"/>
        <w:spacing w:after="0" w:line="330" w:lineRule="auto"/>
        <w:rPr>
          <w:sz w:val="20"/>
          <w:szCs w:val="20"/>
          <w:color w:val="auto"/>
        </w:rPr>
      </w:pPr>
      <w:r>
        <w:rPr>
          <w:rFonts w:ascii="Arial" w:cs="Arial" w:eastAsia="Arial" w:hAnsi="Arial"/>
          <w:sz w:val="11"/>
          <w:szCs w:val="11"/>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8" w:lineRule="exact"/>
        <w:rPr>
          <w:sz w:val="20"/>
          <w:szCs w:val="20"/>
          <w:color w:val="auto"/>
        </w:rPr>
      </w:pPr>
    </w:p>
    <w:tbl>
      <w:tblPr>
        <w:tblLayout w:type="fixed"/>
        <w:tblInd w:w="4580" w:type="dxa"/>
        <w:tblCellMar>
          <w:top w:w="0" w:type="dxa"/>
          <w:left w:w="0" w:type="dxa"/>
          <w:bottom w:w="0" w:type="dxa"/>
          <w:right w:w="0" w:type="dxa"/>
        </w:tblCellMar>
      </w:tblPr>
      <w:tr>
        <w:trPr>
          <w:trHeight w:val="153"/>
        </w:trPr>
        <w:tc>
          <w:tcPr>
            <w:tcW w:w="1600" w:type="dxa"/>
            <w:vAlign w:val="bottom"/>
          </w:tcPr>
          <w:p>
            <w:pPr>
              <w:spacing w:after="0"/>
              <w:rPr>
                <w:sz w:val="20"/>
                <w:szCs w:val="20"/>
                <w:color w:val="auto"/>
              </w:rPr>
            </w:pPr>
            <w:r>
              <w:rPr>
                <w:rFonts w:ascii="Arial" w:cs="Arial" w:eastAsia="Arial" w:hAnsi="Arial"/>
                <w:sz w:val="12"/>
                <w:szCs w:val="12"/>
                <w:color w:val="auto"/>
              </w:rPr>
              <w:t>The date of this prospectus is</w:t>
            </w:r>
          </w:p>
        </w:tc>
        <w:tc>
          <w:tcPr>
            <w:tcW w:w="520" w:type="dxa"/>
            <w:vAlign w:val="bottom"/>
          </w:tcPr>
          <w:p>
            <w:pPr>
              <w:jc w:val="right"/>
              <w:spacing w:after="0"/>
              <w:rPr>
                <w:sz w:val="20"/>
                <w:szCs w:val="20"/>
                <w:color w:val="auto"/>
              </w:rPr>
            </w:pPr>
            <w:r>
              <w:rPr>
                <w:rFonts w:ascii="Arial" w:cs="Arial" w:eastAsia="Arial" w:hAnsi="Arial"/>
                <w:sz w:val="12"/>
                <w:szCs w:val="12"/>
                <w:color w:val="auto"/>
              </w:rPr>
              <w:t>, 2021.</w:t>
            </w:r>
          </w:p>
        </w:tc>
      </w:tr>
    </w:tbl>
    <w:p>
      <w:pPr>
        <w:sectPr>
          <w:pgSz w:w="11900" w:h="16838" w:orient="portrait"/>
          <w:cols w:equalWidth="0" w:num="1">
            <w:col w:w="10159"/>
          </w:cols>
          <w:pgMar w:left="300" w:top="372"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8"/>
              </w:rPr>
              <w:t>TABLE OF CONTENTS</w:t>
            </w: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080" w:type="dxa"/>
            <w:vAlign w:val="bottom"/>
            <w:gridSpan w:val="28"/>
            <w:vMerge w:val="restart"/>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About This Prospectus</w:t>
              </w:r>
            </w:hyperlink>
          </w:p>
        </w:tc>
        <w:tc>
          <w:tcPr>
            <w:tcW w:w="2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3"/>
              </w:rPr>
              <w:t>Page</w:t>
            </w:r>
          </w:p>
        </w:tc>
        <w:tc>
          <w:tcPr>
            <w:tcW w:w="0" w:type="dxa"/>
            <w:vAlign w:val="bottom"/>
          </w:tcPr>
          <w:p>
            <w:pPr>
              <w:spacing w:after="0"/>
              <w:rPr>
                <w:sz w:val="1"/>
                <w:szCs w:val="1"/>
                <w:color w:val="auto"/>
              </w:rPr>
            </w:pPr>
          </w:p>
        </w:tc>
      </w:tr>
      <w:tr>
        <w:trPr>
          <w:trHeight w:val="97"/>
        </w:trPr>
        <w:tc>
          <w:tcPr>
            <w:tcW w:w="7080" w:type="dxa"/>
            <w:vAlign w:val="bottom"/>
            <w:gridSpan w:val="28"/>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Borders>
              <w:bottom w:val="single" w:sz="8" w:color="0000EE"/>
            </w:tcBorders>
            <w:gridSpan w:val="10"/>
          </w:tcPr>
          <w:p>
            <w:pPr>
              <w:spacing w:after="0" w:line="133" w:lineRule="exact"/>
              <w:rPr>
                <w:rFonts w:ascii="Arial" w:cs="Arial" w:eastAsia="Arial" w:hAnsi="Arial"/>
                <w:sz w:val="12"/>
                <w:szCs w:val="12"/>
                <w:color w:val="0000EE"/>
                <w:w w:val="87"/>
              </w:rPr>
            </w:pPr>
            <w:hyperlink w:anchor="page5">
              <w:r>
                <w:rPr>
                  <w:rFonts w:ascii="Arial" w:cs="Arial" w:eastAsia="Arial" w:hAnsi="Arial"/>
                  <w:sz w:val="12"/>
                  <w:szCs w:val="12"/>
                  <w:color w:val="0000EE"/>
                  <w:w w:val="87"/>
                </w:rPr>
                <w:t>Frequently Used Terms</w:t>
              </w:r>
            </w:hyperlink>
          </w:p>
        </w:tc>
        <w:tc>
          <w:tcPr>
            <w:tcW w:w="5960" w:type="dxa"/>
            <w:vAlign w:val="bottom"/>
            <w:gridSpan w:val="18"/>
          </w:tcPr>
          <w:p>
            <w:pPr>
              <w:spacing w:after="0"/>
              <w:rPr>
                <w:sz w:val="11"/>
                <w:szCs w:val="11"/>
                <w:color w:val="auto"/>
              </w:rPr>
            </w:pPr>
          </w:p>
        </w:tc>
        <w:tc>
          <w:tcPr>
            <w:tcW w:w="24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iii</w:t>
            </w:r>
          </w:p>
        </w:tc>
        <w:tc>
          <w:tcPr>
            <w:tcW w:w="0" w:type="dxa"/>
            <w:vAlign w:val="bottom"/>
          </w:tcPr>
          <w:p>
            <w:pPr>
              <w:spacing w:after="0"/>
              <w:rPr>
                <w:sz w:val="1"/>
                <w:szCs w:val="1"/>
                <w:color w:val="auto"/>
              </w:rPr>
            </w:pPr>
          </w:p>
        </w:tc>
      </w:tr>
      <w:tr>
        <w:trPr>
          <w:trHeight w:val="124"/>
        </w:trPr>
        <w:tc>
          <w:tcPr>
            <w:tcW w:w="276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w:anchor="page7">
              <w:r>
                <w:rPr>
                  <w:rFonts w:ascii="Arial" w:cs="Arial" w:eastAsia="Arial" w:hAnsi="Arial"/>
                  <w:sz w:val="12"/>
                  <w:szCs w:val="12"/>
                  <w:color w:val="0000EE"/>
                  <w:w w:val="90"/>
                </w:rPr>
                <w:t>Cautionary Note Regarding Forward-Looking Statements</w:t>
              </w:r>
            </w:hyperlink>
          </w:p>
        </w:tc>
        <w:tc>
          <w:tcPr>
            <w:tcW w:w="4320" w:type="dxa"/>
            <w:vAlign w:val="bottom"/>
            <w:gridSpan w:val="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v</w:t>
            </w:r>
          </w:p>
        </w:tc>
        <w:tc>
          <w:tcPr>
            <w:tcW w:w="0" w:type="dxa"/>
            <w:vAlign w:val="bottom"/>
          </w:tcPr>
          <w:p>
            <w:pPr>
              <w:spacing w:after="0"/>
              <w:rPr>
                <w:sz w:val="1"/>
                <w:szCs w:val="1"/>
                <w:color w:val="auto"/>
              </w:rPr>
            </w:pPr>
          </w:p>
        </w:tc>
      </w:tr>
      <w:tr>
        <w:trPr>
          <w:trHeight w:val="124"/>
        </w:trPr>
        <w:tc>
          <w:tcPr>
            <w:tcW w:w="1320" w:type="dxa"/>
            <w:vAlign w:val="bottom"/>
            <w:tcBorders>
              <w:bottom w:val="single" w:sz="8" w:color="0000EE"/>
            </w:tcBorders>
            <w:gridSpan w:val="13"/>
          </w:tcPr>
          <w:p>
            <w:pPr>
              <w:spacing w:after="0" w:line="124" w:lineRule="exact"/>
              <w:rPr>
                <w:rFonts w:ascii="Arial" w:cs="Arial" w:eastAsia="Arial" w:hAnsi="Arial"/>
                <w:sz w:val="12"/>
                <w:szCs w:val="12"/>
                <w:color w:val="0000EE"/>
                <w:w w:val="87"/>
              </w:rPr>
            </w:pPr>
            <w:hyperlink w:anchor="page9">
              <w:r>
                <w:rPr>
                  <w:rFonts w:ascii="Arial" w:cs="Arial" w:eastAsia="Arial" w:hAnsi="Arial"/>
                  <w:sz w:val="12"/>
                  <w:szCs w:val="12"/>
                  <w:color w:val="0000EE"/>
                  <w:w w:val="87"/>
                </w:rPr>
                <w:t>Summary of the Prospectus</w:t>
              </w:r>
            </w:hyperlink>
          </w:p>
        </w:tc>
        <w:tc>
          <w:tcPr>
            <w:tcW w:w="5760" w:type="dxa"/>
            <w:vAlign w:val="bottom"/>
            <w:gridSpan w:val="1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4"/>
        </w:trPr>
        <w:tc>
          <w:tcPr>
            <w:tcW w:w="600" w:type="dxa"/>
            <w:vAlign w:val="bottom"/>
            <w:tcBorders>
              <w:bottom w:val="single" w:sz="8" w:color="0000EE"/>
            </w:tcBorders>
            <w:gridSpan w:val="3"/>
          </w:tcPr>
          <w:p>
            <w:pPr>
              <w:spacing w:after="0" w:line="124" w:lineRule="exact"/>
              <w:rPr>
                <w:rFonts w:ascii="Arial" w:cs="Arial" w:eastAsia="Arial" w:hAnsi="Arial"/>
                <w:sz w:val="12"/>
                <w:szCs w:val="12"/>
                <w:color w:val="0000EE"/>
                <w:w w:val="86"/>
              </w:rPr>
            </w:pPr>
            <w:hyperlink w:anchor="page14">
              <w:r>
                <w:rPr>
                  <w:rFonts w:ascii="Arial" w:cs="Arial" w:eastAsia="Arial" w:hAnsi="Arial"/>
                  <w:sz w:val="12"/>
                  <w:szCs w:val="12"/>
                  <w:color w:val="0000EE"/>
                  <w:w w:val="86"/>
                </w:rPr>
                <w:t>Risk Factors</w:t>
              </w:r>
            </w:hyperlink>
          </w:p>
        </w:tc>
        <w:tc>
          <w:tcPr>
            <w:tcW w:w="6480" w:type="dxa"/>
            <w:vAlign w:val="bottom"/>
            <w:gridSpan w:val="2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4"/>
        </w:trPr>
        <w:tc>
          <w:tcPr>
            <w:tcW w:w="780" w:type="dxa"/>
            <w:vAlign w:val="bottom"/>
            <w:tcBorders>
              <w:bottom w:val="single" w:sz="8" w:color="0000EE"/>
            </w:tcBorders>
            <w:gridSpan w:val="7"/>
          </w:tcPr>
          <w:p>
            <w:pPr>
              <w:spacing w:after="0" w:line="124" w:lineRule="exact"/>
              <w:rPr>
                <w:rFonts w:ascii="Arial" w:cs="Arial" w:eastAsia="Arial" w:hAnsi="Arial"/>
                <w:sz w:val="12"/>
                <w:szCs w:val="12"/>
                <w:color w:val="0000EE"/>
                <w:w w:val="85"/>
              </w:rPr>
            </w:pPr>
            <w:hyperlink w:anchor="page96">
              <w:r>
                <w:rPr>
                  <w:rFonts w:ascii="Arial" w:cs="Arial" w:eastAsia="Arial" w:hAnsi="Arial"/>
                  <w:sz w:val="12"/>
                  <w:szCs w:val="12"/>
                  <w:color w:val="0000EE"/>
                  <w:w w:val="85"/>
                </w:rPr>
                <w:t>Use of Proceeds</w:t>
              </w:r>
            </w:hyperlink>
          </w:p>
        </w:tc>
        <w:tc>
          <w:tcPr>
            <w:tcW w:w="6300" w:type="dxa"/>
            <w:vAlign w:val="bottom"/>
            <w:gridSpan w:val="21"/>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0000EE"/>
            </w:tcBorders>
            <w:gridSpan w:val="14"/>
          </w:tcPr>
          <w:p>
            <w:pPr>
              <w:spacing w:after="0" w:line="124" w:lineRule="exact"/>
              <w:rPr>
                <w:rFonts w:ascii="Arial" w:cs="Arial" w:eastAsia="Arial" w:hAnsi="Arial"/>
                <w:sz w:val="12"/>
                <w:szCs w:val="12"/>
                <w:color w:val="0000EE"/>
                <w:w w:val="92"/>
              </w:rPr>
            </w:pPr>
            <w:hyperlink w:anchor="page97">
              <w:r>
                <w:rPr>
                  <w:rFonts w:ascii="Arial" w:cs="Arial" w:eastAsia="Arial" w:hAnsi="Arial"/>
                  <w:sz w:val="12"/>
                  <w:szCs w:val="12"/>
                  <w:color w:val="0000EE"/>
                  <w:w w:val="92"/>
                </w:rPr>
                <w:t>Determination of Offering Price</w:t>
              </w:r>
            </w:hyperlink>
          </w:p>
        </w:tc>
        <w:tc>
          <w:tcPr>
            <w:tcW w:w="5540" w:type="dxa"/>
            <w:vAlign w:val="bottom"/>
            <w:gridSpan w:val="14"/>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98">
              <w:r>
                <w:rPr>
                  <w:rFonts w:ascii="Arial" w:cs="Arial" w:eastAsia="Arial" w:hAnsi="Arial"/>
                  <w:sz w:val="12"/>
                  <w:szCs w:val="12"/>
                  <w:color w:val="0000EE"/>
                </w:rPr>
                <w:t>Market Information for Common Stock and Dividend Policy</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99">
              <w:r>
                <w:rPr>
                  <w:rFonts w:ascii="Arial" w:cs="Arial" w:eastAsia="Arial" w:hAnsi="Arial"/>
                  <w:sz w:val="12"/>
                  <w:szCs w:val="12"/>
                  <w:color w:val="0000EE"/>
                </w:rPr>
                <w:t>Unaudited Pro Forma Condensed Combined Financial Information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tcBorders>
              <w:bottom w:val="single" w:sz="8" w:color="0000EE"/>
            </w:tcBorders>
            <w:gridSpan w:val="26"/>
          </w:tcPr>
          <w:p>
            <w:pPr>
              <w:spacing w:after="0" w:line="124" w:lineRule="exact"/>
              <w:rPr>
                <w:rFonts w:ascii="Arial" w:cs="Arial" w:eastAsia="Arial" w:hAnsi="Arial"/>
                <w:sz w:val="12"/>
                <w:szCs w:val="12"/>
                <w:color w:val="0000EE"/>
                <w:w w:val="90"/>
              </w:rPr>
            </w:pPr>
            <w:hyperlink w:anchor="page109">
              <w:r>
                <w:rPr>
                  <w:rFonts w:ascii="Arial" w:cs="Arial" w:eastAsia="Arial" w:hAnsi="Arial"/>
                  <w:sz w:val="12"/>
                  <w:szCs w:val="12"/>
                  <w:color w:val="0000EE"/>
                  <w:w w:val="90"/>
                </w:rPr>
                <w:t>Management’s Discussion and Analysis of Financial Condition and Results of Operations</w:t>
              </w:r>
            </w:hyperlink>
          </w:p>
        </w:tc>
        <w:tc>
          <w:tcPr>
            <w:tcW w:w="2780" w:type="dxa"/>
            <w:vAlign w:val="bottom"/>
            <w:gridSpan w:val="2"/>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101</w:t>
            </w:r>
          </w:p>
        </w:tc>
        <w:tc>
          <w:tcPr>
            <w:tcW w:w="0" w:type="dxa"/>
            <w:vAlign w:val="bottom"/>
          </w:tcPr>
          <w:p>
            <w:pPr>
              <w:spacing w:after="0"/>
              <w:rPr>
                <w:sz w:val="1"/>
                <w:szCs w:val="1"/>
                <w:color w:val="auto"/>
              </w:rPr>
            </w:pPr>
          </w:p>
        </w:tc>
      </w:tr>
      <w:tr>
        <w:trPr>
          <w:trHeight w:val="124"/>
        </w:trPr>
        <w:tc>
          <w:tcPr>
            <w:tcW w:w="420" w:type="dxa"/>
            <w:vAlign w:val="bottom"/>
            <w:tcBorders>
              <w:bottom w:val="single" w:sz="8" w:color="0000EE"/>
            </w:tcBorders>
            <w:gridSpan w:val="2"/>
          </w:tcPr>
          <w:p>
            <w:pPr>
              <w:spacing w:after="0" w:line="124" w:lineRule="exact"/>
              <w:rPr>
                <w:rFonts w:ascii="Arial" w:cs="Arial" w:eastAsia="Arial" w:hAnsi="Arial"/>
                <w:sz w:val="12"/>
                <w:szCs w:val="12"/>
                <w:color w:val="0000EE"/>
                <w:w w:val="82"/>
              </w:rPr>
            </w:pPr>
            <w:hyperlink w:anchor="page135">
              <w:r>
                <w:rPr>
                  <w:rFonts w:ascii="Arial" w:cs="Arial" w:eastAsia="Arial" w:hAnsi="Arial"/>
                  <w:sz w:val="12"/>
                  <w:szCs w:val="12"/>
                  <w:color w:val="0000EE"/>
                  <w:w w:val="82"/>
                </w:rPr>
                <w:t>Business</w:t>
              </w:r>
            </w:hyperlink>
          </w:p>
        </w:tc>
        <w:tc>
          <w:tcPr>
            <w:tcW w:w="6660" w:type="dxa"/>
            <w:vAlign w:val="bottom"/>
            <w:gridSpan w:val="2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127</w:t>
            </w:r>
          </w:p>
        </w:tc>
        <w:tc>
          <w:tcPr>
            <w:tcW w:w="0" w:type="dxa"/>
            <w:vAlign w:val="bottom"/>
          </w:tcPr>
          <w:p>
            <w:pPr>
              <w:spacing w:after="0"/>
              <w:rPr>
                <w:sz w:val="1"/>
                <w:szCs w:val="1"/>
                <w:color w:val="auto"/>
              </w:rPr>
            </w:pPr>
          </w:p>
        </w:tc>
      </w:tr>
      <w:tr>
        <w:trPr>
          <w:trHeight w:val="124"/>
        </w:trPr>
        <w:tc>
          <w:tcPr>
            <w:tcW w:w="620" w:type="dxa"/>
            <w:vAlign w:val="bottom"/>
            <w:tcBorders>
              <w:bottom w:val="single" w:sz="8" w:color="0000EE"/>
            </w:tcBorders>
            <w:gridSpan w:val="4"/>
          </w:tcPr>
          <w:p>
            <w:pPr>
              <w:spacing w:after="0" w:line="124" w:lineRule="exact"/>
              <w:rPr>
                <w:rFonts w:ascii="Arial" w:cs="Arial" w:eastAsia="Arial" w:hAnsi="Arial"/>
                <w:sz w:val="12"/>
                <w:szCs w:val="12"/>
                <w:color w:val="0000EE"/>
                <w:w w:val="85"/>
              </w:rPr>
            </w:pPr>
            <w:hyperlink w:anchor="page261">
              <w:r>
                <w:rPr>
                  <w:rFonts w:ascii="Arial" w:cs="Arial" w:eastAsia="Arial" w:hAnsi="Arial"/>
                  <w:sz w:val="12"/>
                  <w:szCs w:val="12"/>
                  <w:color w:val="0000EE"/>
                  <w:w w:val="85"/>
                </w:rPr>
                <w:t>Management</w:t>
              </w:r>
            </w:hyperlink>
          </w:p>
        </w:tc>
        <w:tc>
          <w:tcPr>
            <w:tcW w:w="6460" w:type="dxa"/>
            <w:vAlign w:val="bottom"/>
            <w:gridSpan w:val="24"/>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253</w:t>
            </w:r>
          </w:p>
        </w:tc>
        <w:tc>
          <w:tcPr>
            <w:tcW w:w="0" w:type="dxa"/>
            <w:vAlign w:val="bottom"/>
          </w:tcPr>
          <w:p>
            <w:pPr>
              <w:spacing w:after="0"/>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267">
              <w:r>
                <w:rPr>
                  <w:rFonts w:ascii="Arial" w:cs="Arial" w:eastAsia="Arial" w:hAnsi="Arial"/>
                  <w:sz w:val="12"/>
                  <w:szCs w:val="12"/>
                  <w:color w:val="0000EE"/>
                </w:rPr>
                <w:t>Executive and Director Compensation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259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283">
              <w:r>
                <w:rPr>
                  <w:rFonts w:ascii="Arial" w:cs="Arial" w:eastAsia="Arial" w:hAnsi="Arial"/>
                  <w:sz w:val="12"/>
                  <w:szCs w:val="12"/>
                  <w:color w:val="0000EE"/>
                </w:rPr>
                <w:t>Certain Relationships and Related Party Transactions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275</w:t>
            </w:r>
          </w:p>
        </w:tc>
        <w:tc>
          <w:tcPr>
            <w:tcW w:w="0" w:type="dxa"/>
            <w:vAlign w:val="bottom"/>
          </w:tcPr>
          <w:p>
            <w:pPr>
              <w:spacing w:after="0"/>
              <w:rPr>
                <w:sz w:val="1"/>
                <w:szCs w:val="1"/>
                <w:color w:val="auto"/>
              </w:rPr>
            </w:pPr>
          </w:p>
        </w:tc>
      </w:tr>
      <w:tr>
        <w:trPr>
          <w:trHeight w:val="124"/>
        </w:trPr>
        <w:tc>
          <w:tcPr>
            <w:tcW w:w="254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w:anchor="page289">
              <w:r>
                <w:rPr>
                  <w:rFonts w:ascii="Arial" w:cs="Arial" w:eastAsia="Arial" w:hAnsi="Arial"/>
                  <w:sz w:val="12"/>
                  <w:szCs w:val="12"/>
                  <w:color w:val="0000EE"/>
                </w:rPr>
                <w:t>Principal Securityholders</w:t>
              </w:r>
            </w:hyperlink>
          </w:p>
        </w:tc>
        <w:tc>
          <w:tcPr>
            <w:tcW w:w="4540" w:type="dxa"/>
            <w:vAlign w:val="bottom"/>
            <w:gridSpan w:val="7"/>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281</w:t>
            </w:r>
          </w:p>
        </w:tc>
        <w:tc>
          <w:tcPr>
            <w:tcW w:w="0" w:type="dxa"/>
            <w:vAlign w:val="bottom"/>
          </w:tcPr>
          <w:p>
            <w:pPr>
              <w:spacing w:after="0"/>
              <w:rPr>
                <w:sz w:val="1"/>
                <w:szCs w:val="1"/>
                <w:color w:val="auto"/>
              </w:rPr>
            </w:pPr>
          </w:p>
        </w:tc>
      </w:tr>
      <w:tr>
        <w:trPr>
          <w:trHeight w:val="124"/>
        </w:trPr>
        <w:tc>
          <w:tcPr>
            <w:tcW w:w="12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292">
              <w:r>
                <w:rPr>
                  <w:rFonts w:ascii="Arial" w:cs="Arial" w:eastAsia="Arial" w:hAnsi="Arial"/>
                  <w:sz w:val="12"/>
                  <w:szCs w:val="12"/>
                  <w:color w:val="0000EE"/>
                </w:rPr>
                <w:t>Selling Holders</w:t>
              </w:r>
            </w:hyperlink>
          </w:p>
        </w:tc>
        <w:tc>
          <w:tcPr>
            <w:tcW w:w="5880" w:type="dxa"/>
            <w:vAlign w:val="bottom"/>
            <w:gridSpan w:val="1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284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299">
              <w:r>
                <w:rPr>
                  <w:rFonts w:ascii="Arial" w:cs="Arial" w:eastAsia="Arial" w:hAnsi="Arial"/>
                  <w:sz w:val="12"/>
                  <w:szCs w:val="12"/>
                  <w:color w:val="0000EE"/>
                </w:rPr>
                <w:t>Description of Securities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291</w:t>
            </w:r>
          </w:p>
        </w:tc>
        <w:tc>
          <w:tcPr>
            <w:tcW w:w="0" w:type="dxa"/>
            <w:vAlign w:val="bottom"/>
          </w:tcPr>
          <w:p>
            <w:pPr>
              <w:spacing w:after="0"/>
              <w:rPr>
                <w:sz w:val="1"/>
                <w:szCs w:val="1"/>
                <w:color w:val="auto"/>
              </w:rPr>
            </w:pPr>
          </w:p>
        </w:tc>
      </w:tr>
      <w:tr>
        <w:trPr>
          <w:trHeight w:val="124"/>
        </w:trPr>
        <w:tc>
          <w:tcPr>
            <w:tcW w:w="118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313">
              <w:r>
                <w:rPr>
                  <w:rFonts w:ascii="Arial" w:cs="Arial" w:eastAsia="Arial" w:hAnsi="Arial"/>
                  <w:sz w:val="12"/>
                  <w:szCs w:val="12"/>
                  <w:color w:val="0000EE"/>
                </w:rPr>
                <w:t>Plan of Distribution</w:t>
              </w:r>
            </w:hyperlink>
          </w:p>
        </w:tc>
        <w:tc>
          <w:tcPr>
            <w:tcW w:w="5900" w:type="dxa"/>
            <w:vAlign w:val="bottom"/>
            <w:gridSpan w:val="17"/>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305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316">
              <w:r>
                <w:rPr>
                  <w:rFonts w:ascii="Arial" w:cs="Arial" w:eastAsia="Arial" w:hAnsi="Arial"/>
                  <w:sz w:val="12"/>
                  <w:szCs w:val="12"/>
                  <w:color w:val="0000EE"/>
                </w:rPr>
                <w:t>Securities Act Restrictions on Resale of Securities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308</w:t>
            </w:r>
          </w:p>
        </w:tc>
        <w:tc>
          <w:tcPr>
            <w:tcW w:w="0" w:type="dxa"/>
            <w:vAlign w:val="bottom"/>
          </w:tcPr>
          <w:p>
            <w:pPr>
              <w:spacing w:after="0"/>
              <w:rPr>
                <w:sz w:val="1"/>
                <w:szCs w:val="1"/>
                <w:color w:val="auto"/>
              </w:rPr>
            </w:pPr>
          </w:p>
        </w:tc>
      </w:tr>
      <w:tr>
        <w:trPr>
          <w:trHeight w:val="124"/>
        </w:trPr>
        <w:tc>
          <w:tcPr>
            <w:tcW w:w="240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w:anchor="page318">
              <w:r>
                <w:rPr>
                  <w:rFonts w:ascii="Arial" w:cs="Arial" w:eastAsia="Arial" w:hAnsi="Arial"/>
                  <w:sz w:val="12"/>
                  <w:szCs w:val="12"/>
                  <w:color w:val="0000EE"/>
                </w:rPr>
                <w:t>Material United States Tax Considerations</w:t>
              </w:r>
            </w:hyperlink>
          </w:p>
        </w:tc>
        <w:tc>
          <w:tcPr>
            <w:tcW w:w="4680" w:type="dxa"/>
            <w:vAlign w:val="bottom"/>
            <w:gridSpan w:val="8"/>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310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4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w:anchor="page326">
              <w:r>
                <w:rPr>
                  <w:rFonts w:ascii="Arial" w:cs="Arial" w:eastAsia="Arial" w:hAnsi="Arial"/>
                  <w:sz w:val="12"/>
                  <w:szCs w:val="12"/>
                  <w:color w:val="0000EE"/>
                  <w:w w:val="91"/>
                </w:rPr>
                <w:t>Material United Kingdom Tax Considerations</w:t>
              </w:r>
            </w:hyperlink>
          </w:p>
        </w:tc>
        <w:tc>
          <w:tcPr>
            <w:tcW w:w="4880" w:type="dxa"/>
            <w:vAlign w:val="bottom"/>
            <w:gridSpan w:val="9"/>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318</w:t>
            </w:r>
          </w:p>
        </w:tc>
        <w:tc>
          <w:tcPr>
            <w:tcW w:w="0" w:type="dxa"/>
            <w:vAlign w:val="bottom"/>
          </w:tcPr>
          <w:p>
            <w:pPr>
              <w:spacing w:after="0"/>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328">
              <w:r>
                <w:rPr>
                  <w:rFonts w:ascii="Arial" w:cs="Arial" w:eastAsia="Arial" w:hAnsi="Arial"/>
                  <w:sz w:val="12"/>
                  <w:szCs w:val="12"/>
                  <w:color w:val="0000EE"/>
                </w:rPr>
                <w:t>Legal Matters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320</w:t>
            </w:r>
          </w:p>
        </w:tc>
        <w:tc>
          <w:tcPr>
            <w:tcW w:w="0" w:type="dxa"/>
            <w:vAlign w:val="bottom"/>
          </w:tcPr>
          <w:p>
            <w:pPr>
              <w:spacing w:after="0"/>
              <w:rPr>
                <w:sz w:val="1"/>
                <w:szCs w:val="1"/>
                <w:color w:val="auto"/>
              </w:rPr>
            </w:pPr>
          </w:p>
        </w:tc>
      </w:tr>
      <w:tr>
        <w:trPr>
          <w:trHeight w:val="124"/>
        </w:trPr>
        <w:tc>
          <w:tcPr>
            <w:tcW w:w="3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3"/>
              </w:rPr>
            </w:pPr>
            <w:hyperlink w:anchor="page329">
              <w:r>
                <w:rPr>
                  <w:rFonts w:ascii="Arial" w:cs="Arial" w:eastAsia="Arial" w:hAnsi="Arial"/>
                  <w:sz w:val="12"/>
                  <w:szCs w:val="12"/>
                  <w:color w:val="0000EE"/>
                  <w:w w:val="83"/>
                </w:rPr>
                <w:t>Experts</w:t>
              </w:r>
            </w:hyperlink>
          </w:p>
        </w:tc>
        <w:tc>
          <w:tcPr>
            <w:tcW w:w="300" w:type="dxa"/>
            <w:vAlign w:val="bottom"/>
            <w:tcBorders>
              <w:top w:val="single" w:sz="8" w:color="0000EE"/>
            </w:tcBorders>
            <w:gridSpan w:val="4"/>
          </w:tcPr>
          <w:p>
            <w:pPr>
              <w:spacing w:after="0"/>
              <w:rPr>
                <w:sz w:val="10"/>
                <w:szCs w:val="10"/>
                <w:color w:val="auto"/>
              </w:rPr>
            </w:pPr>
          </w:p>
        </w:tc>
        <w:tc>
          <w:tcPr>
            <w:tcW w:w="6420" w:type="dxa"/>
            <w:vAlign w:val="bottom"/>
            <w:gridSpan w:val="2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321</w:t>
            </w:r>
          </w:p>
        </w:tc>
        <w:tc>
          <w:tcPr>
            <w:tcW w:w="0" w:type="dxa"/>
            <w:vAlign w:val="bottom"/>
          </w:tcPr>
          <w:p>
            <w:pPr>
              <w:spacing w:after="0"/>
              <w:rPr>
                <w:sz w:val="1"/>
                <w:szCs w:val="1"/>
                <w:color w:val="auto"/>
              </w:rPr>
            </w:pPr>
          </w:p>
        </w:tc>
      </w:tr>
      <w:tr>
        <w:trPr>
          <w:trHeight w:val="124"/>
        </w:trPr>
        <w:tc>
          <w:tcPr>
            <w:tcW w:w="7080" w:type="dxa"/>
            <w:vAlign w:val="bottom"/>
            <w:gridSpan w:val="28"/>
          </w:tcPr>
          <w:p>
            <w:pPr>
              <w:spacing w:after="0" w:line="124" w:lineRule="exact"/>
              <w:rPr>
                <w:rFonts w:ascii="Arial" w:cs="Arial" w:eastAsia="Arial" w:hAnsi="Arial"/>
                <w:sz w:val="12"/>
                <w:szCs w:val="12"/>
                <w:color w:val="0000EE"/>
              </w:rPr>
            </w:pPr>
            <w:hyperlink w:anchor="page330">
              <w:r>
                <w:rPr>
                  <w:rFonts w:ascii="Arial" w:cs="Arial" w:eastAsia="Arial" w:hAnsi="Arial"/>
                  <w:sz w:val="12"/>
                  <w:szCs w:val="12"/>
                  <w:color w:val="0000EE"/>
                </w:rPr>
                <w:t>Where You Can Find More Information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322</w:t>
            </w:r>
          </w:p>
        </w:tc>
        <w:tc>
          <w:tcPr>
            <w:tcW w:w="0" w:type="dxa"/>
            <w:vAlign w:val="bottom"/>
          </w:tcPr>
          <w:p>
            <w:pPr>
              <w:spacing w:after="0"/>
              <w:rPr>
                <w:sz w:val="1"/>
                <w:szCs w:val="1"/>
                <w:color w:val="auto"/>
              </w:rPr>
            </w:pPr>
          </w:p>
        </w:tc>
      </w:tr>
      <w:tr>
        <w:trPr>
          <w:trHeight w:val="20"/>
        </w:trPr>
        <w:tc>
          <w:tcPr>
            <w:tcW w:w="1900" w:type="dxa"/>
            <w:vAlign w:val="bottom"/>
            <w:gridSpan w:val="1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20" w:type="dxa"/>
            <w:vAlign w:val="bottom"/>
            <w:tcBorders>
              <w:bottom w:val="single" w:sz="8" w:color="0000EE"/>
            </w:tcBorders>
            <w:gridSpan w:val="18"/>
          </w:tcPr>
          <w:p>
            <w:pPr>
              <w:spacing w:after="0" w:line="124" w:lineRule="exact"/>
              <w:rPr>
                <w:rFonts w:ascii="Arial" w:cs="Arial" w:eastAsia="Arial" w:hAnsi="Arial"/>
                <w:sz w:val="12"/>
                <w:szCs w:val="12"/>
                <w:color w:val="0000EE"/>
                <w:w w:val="89"/>
              </w:rPr>
            </w:pPr>
            <w:hyperlink w:anchor="page331">
              <w:r>
                <w:rPr>
                  <w:rFonts w:ascii="Arial" w:cs="Arial" w:eastAsia="Arial" w:hAnsi="Arial"/>
                  <w:sz w:val="12"/>
                  <w:szCs w:val="12"/>
                  <w:color w:val="0000EE"/>
                  <w:w w:val="89"/>
                </w:rPr>
                <w:t>Index To Consolidated Financial Statements</w:t>
              </w:r>
            </w:hyperlink>
          </w:p>
        </w:tc>
        <w:tc>
          <w:tcPr>
            <w:tcW w:w="4960" w:type="dxa"/>
            <w:vAlign w:val="bottom"/>
            <w:gridSpan w:val="10"/>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72" w:right="1440"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This prospectus is part of a registration statement on Form S-1 that we filed with the Securities and Exchange Commission (the “SEC”) using the “shelf” registration process. Under this shelf registration process, the Holders may, from time to time, sell the securities offered by them described in this prospectus. We will not receive any proceeds from the sale by such Holders of the securities offered by them described in this prospectus. This prospectus also relates to the issuance by us of the shares of Common Shares issuable upon the exercise of any Warrants. We will receive proceeds from any exercise of the Warrants for cash.</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Neither we nor the Holders have authorized anyone to provide you with any information other than that provided in this prospectus, as well as any information incorporated by reference into this prospectus and any applicable prospectus supplement. Neither we nor the Holders can provide any assurance as to the reliability of any other information that others may give you. Neither we nor the 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3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2"/>
          <w:szCs w:val="12"/>
          <w:i w:val="1"/>
          <w:iCs w:val="1"/>
          <w:color w:val="auto"/>
        </w:rPr>
        <w:t>Where You Can</w:t>
      </w:r>
      <w:r>
        <w:rPr>
          <w:rFonts w:ascii="Arial" w:cs="Arial" w:eastAsia="Arial" w:hAnsi="Arial"/>
          <w:sz w:val="12"/>
          <w:szCs w:val="12"/>
          <w:color w:val="auto"/>
        </w:rPr>
        <w:t xml:space="preserve"> </w:t>
      </w:r>
      <w:r>
        <w:rPr>
          <w:rFonts w:ascii="Arial" w:cs="Arial" w:eastAsia="Arial" w:hAnsi="Arial"/>
          <w:sz w:val="12"/>
          <w:szCs w:val="12"/>
          <w:i w:val="1"/>
          <w:iCs w:val="1"/>
          <w:color w:val="auto"/>
        </w:rPr>
        <w:t>Find More Information</w:t>
      </w:r>
      <w:r>
        <w:rPr>
          <w:rFonts w:ascii="Arial" w:cs="Arial" w:eastAsia="Arial" w:hAnsi="Arial"/>
          <w:sz w:val="12"/>
          <w:szCs w:val="12"/>
          <w:color w:val="auto"/>
        </w:rPr>
        <w:t>.”</w:t>
      </w:r>
    </w:p>
    <w:p>
      <w:pPr>
        <w:spacing w:after="0" w:line="124"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Unless the context indicates otherwise, references in this prospectus to the “Company,” “Roivant,” “we,” “us,” “our” and similar terms refer to Roivant Sciences Ltd., a Bermuda exempted limited company, and its consolidated subsidiaries. Note that references in this prospectus to Roivant’s development pipeline, product candidate pipeline or discovery stage pipeline may omit certain programs, product candidates or assets that are not material to Roivant individually or in the aggregate.</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72"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“Business Combination” means the transactions contemplated by the Business Combination Agreement, pursuant to which Merger Sub merged with and into MAAC, with MAAC surviving the merger.</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“Business Combination Agreement” means the business combination agreement, dated as of May 1, 2021, as amended, by and among Roivant, MAAC and Merger Sub.</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“Common Shares” means each Common Share of Roivant, par value $0.0000000341740141 per share.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“Effective Time” means the effective time of the closing of the Business Combination.</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“MAAC” means (x) prior to the Business Combination, Montes Archimedes Acquisition Corp., a Delaware corporation and (y) from and after the Business Combination, Roivant Rhine Holdings, Inc.</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“MAAC Class A Shares” means each share of Class A common stock of MAAC, par value $0.0001 per share.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“MAAC Class B Shares” means each share of Class B common stock of MAAC, par value $0.0001 per share.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“MAAC Shares” means, collectively, the MAAC Class A Shares and the MAAC Class B Shares.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“MAAC Sponsor” means Patient Square Capital LLC.</w:t>
      </w:r>
    </w:p>
    <w:p>
      <w:pPr>
        <w:spacing w:after="0" w:line="150"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“MAAC Warrant” means each whole warrant of MAAC entitling the holder to purchase one MAAC Class A Share per warrant at a price of $11.50 per share.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“Merger Sub” means Rhine Merger Sub, Inc., a Delaware corporation.</w:t>
      </w:r>
    </w:p>
    <w:p>
      <w:pPr>
        <w:spacing w:after="0" w:line="150"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“Myovant Top-Up Shares” means common shares of Myovant Sciences Ltd. (“Myovant”) subject to the Share Return Agreement, dated as of December 27, 2019, between Roivant and Sumitomo Dainippon Pharma Co., Ltd. For more information, see Roivant’s Schedule 13D with respect to Myovant filed with the SEC on December 31, 2019.</w:t>
      </w:r>
    </w:p>
    <w:p>
      <w:pPr>
        <w:spacing w:after="0" w:line="122"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“PIPE Financing” means the sale and issuance to the PIPE Investors of an aggregate of 22,000,000 MAAC Class A Shares at a purchase price of $10.00 per share, for aggregate gross proceeds of $220,000,000.</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“PIPE Investors” means those certain institutional and accredited investors that entered into the Subscription Agreements in connection with the PIPE Financing.</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“Private Placement Warrants” means the 10,214,365 warrants sold simultaneously with the closing of the initial public offering (including through exercise of the over-allotment option) of MAAC at a price of $1.00 to the MAAC Sponsor and then converted into warrants to purchase Common Shares in connection with the closing of the Business Combination.</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“Public Warrants” means the 20,535,912 warrants sold simultaneously with the closing of the initial public offering of MAAC and then converted into warrants to purchase Common Shares in connection with the closing of the Business Combination. After giving effect to rounding to eliminate fractional warrants in connection with the closing of the Business Combination, there were 20,535,896 Public Warrants outstanding as of September 30, 2021.</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“Public Vants” means Arbutus Biopharma Corp., Immunovant, Inc. and Sio Gene Therapies, Inc.</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“Sponsor Support Agreement” means the agreement, dated as of May 1, 2021, as amended by Amendment No. 1, dated as of June 9, 2021 and Amendment No. 2, dated as of September 30, 2021, pursuant to which the MAAC Sponsor agreed to undertake certain actions in support of the Business Combination, including, but not limited to, delivering a voting proxy pursuant to which the MAAC Sponsor voted in favor of the proposals presented for approval herein.</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72"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firstLine="294"/>
        <w:spacing w:after="0" w:line="323" w:lineRule="auto"/>
        <w:rPr>
          <w:sz w:val="20"/>
          <w:szCs w:val="20"/>
          <w:color w:val="auto"/>
        </w:rPr>
      </w:pPr>
      <w:r>
        <w:rPr>
          <w:rFonts w:ascii="Arial" w:cs="Arial" w:eastAsia="Arial" w:hAnsi="Arial"/>
          <w:sz w:val="11"/>
          <w:szCs w:val="11"/>
          <w:color w:val="auto"/>
        </w:rPr>
        <w:t>“Subscription Agreements” means the subscription agreements entered into by the PIPE Investors providing for the purchase by the PIPE Investors at the Effective Time of an aggregate of 22,000,000 MAAC Class A Shares at a price per share of $10.00.</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“Roivant” means Roivant Sciences Ltd., a Bermuda exempted limited company, together with its consolidated subsidiaries, as context requires.</w:t>
      </w:r>
    </w:p>
    <w:p>
      <w:pPr>
        <w:spacing w:after="0" w:line="17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“Warrants” means, collectively, the Private Placement Warrants and the Public Warrants.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“Transactions” means the Business Combination and the other transactions contemplated by the Business Combination Agreement.</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72"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This prospectus may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30" w:lineRule="exact"/>
        <w:rPr>
          <w:sz w:val="20"/>
          <w:szCs w:val="20"/>
          <w:color w:val="auto"/>
        </w:rPr>
      </w:pPr>
    </w:p>
    <w:p>
      <w:pPr>
        <w:ind w:left="1980" w:right="879" w:firstLine="294"/>
        <w:spacing w:after="0" w:line="326" w:lineRule="auto"/>
        <w:rPr>
          <w:sz w:val="20"/>
          <w:szCs w:val="20"/>
          <w:color w:val="auto"/>
        </w:rPr>
      </w:pPr>
      <w:r>
        <w:rPr>
          <w:rFonts w:ascii="Arial" w:cs="Arial" w:eastAsia="Arial" w:hAnsi="Arial"/>
          <w:sz w:val="10"/>
          <w:szCs w:val="10"/>
          <w:color w:val="auto"/>
        </w:rPr>
        <w:t>The forward-looking statements contained in this prospectus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32" w:lineRule="exact"/>
        <w:rPr>
          <w:sz w:val="20"/>
          <w:szCs w:val="20"/>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limited operating history and risks involved in biopharmaceutical product development;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fact that we will likely incur significant operating losses for the foreseeable future;</w:t>
      </w:r>
    </w:p>
    <w:p>
      <w:pPr>
        <w:spacing w:after="0" w:line="87" w:lineRule="exact"/>
        <w:rPr>
          <w:rFonts w:ascii="Arial" w:cs="Arial" w:eastAsia="Arial" w:hAnsi="Arial"/>
          <w:sz w:val="12"/>
          <w:szCs w:val="12"/>
          <w:color w:val="auto"/>
        </w:rPr>
      </w:pPr>
    </w:p>
    <w:p>
      <w:pPr>
        <w:ind w:left="2620" w:right="95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impact of public health outbreaks, epidemics or pandemics (such as the COVID-19 pandemic) on our business (including our clinical trials and pre-clinical studies), operations and financial condition and results;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acquire, in-license or discover new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Vant structure and the potential that we may fail to capitalize on certain development opportunities;</w:t>
      </w:r>
    </w:p>
    <w:p>
      <w:pPr>
        <w:spacing w:after="0" w:line="87"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clinical trials and pre-clinical studies, which are very expensive, time-consuming, difficult to design and implement and involve uncertain outcomes;</w:t>
      </w:r>
    </w:p>
    <w:p>
      <w:pPr>
        <w:spacing w:after="0" w:line="51" w:lineRule="exact"/>
        <w:rPr>
          <w:rFonts w:ascii="Arial" w:cs="Arial" w:eastAsia="Arial" w:hAnsi="Arial"/>
          <w:sz w:val="12"/>
          <w:szCs w:val="12"/>
          <w:color w:val="auto"/>
        </w:rPr>
      </w:pPr>
    </w:p>
    <w:p>
      <w:pPr>
        <w:ind w:left="2620" w:right="123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unproven nature of our approach to the discovery and development of product candidates from our targeted protein degradation platform;</w:t>
      </w:r>
    </w:p>
    <w:p>
      <w:pPr>
        <w:spacing w:after="0" w:line="51" w:lineRule="exact"/>
        <w:rPr>
          <w:rFonts w:ascii="Arial" w:cs="Arial" w:eastAsia="Arial" w:hAnsi="Arial"/>
          <w:sz w:val="12"/>
          <w:szCs w:val="12"/>
          <w:color w:val="auto"/>
        </w:rPr>
      </w:pPr>
    </w:p>
    <w:p>
      <w:pPr>
        <w:ind w:left="2620" w:right="113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novelty, complexity and difficulty of manufacturing certain of our product candidates, including any manufacturing problems that result in delays in development or commercialization of our product candidates;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difficulties we may face in enrolling and retaining patients in clinical trials and/or clinical development activities;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results of our clinical trials not supporting our proposed claims for a product candidate;</w:t>
      </w:r>
    </w:p>
    <w:p>
      <w:pPr>
        <w:spacing w:after="0" w:line="87" w:lineRule="exact"/>
        <w:rPr>
          <w:rFonts w:ascii="Arial" w:cs="Arial" w:eastAsia="Arial" w:hAnsi="Arial"/>
          <w:sz w:val="12"/>
          <w:szCs w:val="12"/>
          <w:color w:val="auto"/>
        </w:rPr>
      </w:pPr>
    </w:p>
    <w:p>
      <w:pPr>
        <w:ind w:left="2620" w:right="85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interim, top-line and/or preliminary data from our clinical trials changing as more data becoming available or being delayed due to audit and verification process;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product manufacturing or formulation that could lead to the incurrence of costs or delays;</w:t>
      </w:r>
    </w:p>
    <w:p>
      <w:pPr>
        <w:spacing w:after="0" w:line="87"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failure of any third party we contract with to conduct, supervise and monitor our clinical trials to perform in a satisfactory manner or to comply with applicable requirements;</w:t>
      </w:r>
    </w:p>
    <w:p>
      <w:pPr>
        <w:spacing w:after="0" w:line="51"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51" w:lineRule="exact"/>
        <w:rPr>
          <w:rFonts w:ascii="Arial" w:cs="Arial" w:eastAsia="Arial" w:hAnsi="Arial"/>
          <w:sz w:val="12"/>
          <w:szCs w:val="12"/>
          <w:color w:val="auto"/>
        </w:rPr>
      </w:pPr>
    </w:p>
    <w:p>
      <w:pPr>
        <w:ind w:left="2620" w:right="1119" w:hanging="360"/>
        <w:spacing w:after="0" w:line="276" w:lineRule="auto"/>
        <w:tabs>
          <w:tab w:leader="none" w:pos="2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failure of our clinical trials to demonstrate substantial evidence of the safety and efficacy of product candidates, including, but not limited to, scenarios in which our product candidates may cause adverse</w:t>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0159"/>
          </w:cols>
          <w:pgMar w:left="300" w:top="372"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spacing w:after="0" w:line="276" w:lineRule="auto"/>
        <w:rPr>
          <w:sz w:val="20"/>
          <w:szCs w:val="20"/>
          <w:color w:val="auto"/>
        </w:rPr>
      </w:pPr>
      <w:r>
        <w:rPr>
          <w:rFonts w:ascii="Arial" w:cs="Arial" w:eastAsia="Arial" w:hAnsi="Arial"/>
          <w:sz w:val="12"/>
          <w:szCs w:val="12"/>
          <w:color w:val="auto"/>
        </w:rPr>
        <w:t>effects that could delay regulatory approval, discontinue clinical trials, limit the scope of approval or generally result in negative media coverage of us;</w:t>
      </w:r>
    </w:p>
    <w:p>
      <w:pPr>
        <w:spacing w:after="0" w:line="52" w:lineRule="exact"/>
        <w:rPr>
          <w:sz w:val="20"/>
          <w:szCs w:val="20"/>
          <w:color w:val="auto"/>
        </w:rPr>
      </w:pPr>
    </w:p>
    <w:p>
      <w:pPr>
        <w:ind w:left="2620" w:right="939" w:hanging="360"/>
        <w:spacing w:after="0" w:line="276" w:lineRule="auto"/>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inability to obtain regulatory approval for a product candidate in certain jurisdictions, even if we are able to obtain approval in certain other jurisdictions;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growth and to attract and retain key personnel;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any business, legal, regulatory, political, operational, financial and economic risks associated with conducting business globally;</w:t>
      </w:r>
    </w:p>
    <w:p>
      <w:pPr>
        <w:spacing w:after="0" w:line="98" w:lineRule="exact"/>
        <w:rPr>
          <w:rFonts w:ascii="Arial" w:cs="Arial" w:eastAsia="Arial" w:hAnsi="Arial"/>
          <w:sz w:val="11"/>
          <w:szCs w:val="11"/>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maintain patent and other intellectual property protection for our technology and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inadequacy of patent terms and their scope to protect our competitive position;</w:t>
      </w:r>
    </w:p>
    <w:p>
      <w:pPr>
        <w:spacing w:after="0" w:line="87" w:lineRule="exact"/>
        <w:rPr>
          <w:rFonts w:ascii="Arial" w:cs="Arial" w:eastAsia="Arial" w:hAnsi="Arial"/>
          <w:sz w:val="12"/>
          <w:szCs w:val="12"/>
          <w:color w:val="auto"/>
        </w:rPr>
      </w:pPr>
    </w:p>
    <w:p>
      <w:pPr>
        <w:ind w:left="2620" w:right="1319" w:hanging="360"/>
        <w:spacing w:after="0" w:line="276" w:lineRule="auto"/>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failure to issue (or the threatening of their breadth or strength of protection) or provide meaningful exclusivity for our product candidates or any future product candidate of our patent applications that we hold or have in-licensed;</w:t>
      </w:r>
    </w:p>
    <w:p>
      <w:pPr>
        <w:spacing w:after="0" w:line="51" w:lineRule="exact"/>
        <w:rPr>
          <w:rFonts w:ascii="Arial" w:cs="Arial" w:eastAsia="Arial" w:hAnsi="Arial"/>
          <w:sz w:val="12"/>
          <w:szCs w:val="12"/>
          <w:color w:val="auto"/>
        </w:rPr>
      </w:pPr>
    </w:p>
    <w:p>
      <w:pPr>
        <w:ind w:left="2620" w:right="919" w:hanging="360"/>
        <w:spacing w:after="0" w:line="263" w:lineRule="auto"/>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fact that we do not currently and may not in the future own or license any issued composition of matter patents covering certain of our product candidates and our inability to be certain that any of our other issued patents will provide adequate protection for such product candidates;</w:t>
      </w:r>
    </w:p>
    <w:p>
      <w:pPr>
        <w:spacing w:after="0" w:line="59" w:lineRule="exact"/>
        <w:rPr>
          <w:rFonts w:ascii="Arial" w:cs="Arial" w:eastAsia="Arial" w:hAnsi="Arial"/>
          <w:sz w:val="12"/>
          <w:szCs w:val="12"/>
          <w:color w:val="auto"/>
        </w:rPr>
      </w:pPr>
    </w:p>
    <w:p>
      <w:pPr>
        <w:ind w:left="2620" w:right="899" w:hanging="360"/>
        <w:spacing w:after="0" w:line="276" w:lineRule="auto"/>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fact that our largest shareholders (and certain members of our management team) own a significant percentage of our stock and will be able to exert significant control over matters subject to shareholder approval;</w:t>
      </w:r>
    </w:p>
    <w:p>
      <w:pPr>
        <w:spacing w:after="0" w:line="51" w:lineRule="exact"/>
        <w:rPr>
          <w:rFonts w:ascii="Arial" w:cs="Arial" w:eastAsia="Arial" w:hAnsi="Arial"/>
          <w:sz w:val="12"/>
          <w:szCs w:val="12"/>
          <w:color w:val="auto"/>
        </w:rPr>
      </w:pPr>
    </w:p>
    <w:p>
      <w:pPr>
        <w:ind w:left="2620" w:right="1399" w:hanging="360"/>
        <w:spacing w:after="0" w:line="276" w:lineRule="auto"/>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outcome of any legal proceedings that may be instituted against us in connection with the Business Combination and related transactions;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applicable laws or regulations;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possibility that we may be adversely affected by other economic, business and/or competitive factors;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other risks and uncertainties, including those described under the heading “Risk Factors.”</w:t>
      </w:r>
    </w:p>
    <w:p>
      <w:pPr>
        <w:spacing w:after="0" w:line="15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vi</w:t>
      </w:r>
    </w:p>
    <w:p>
      <w:pPr>
        <w:sectPr>
          <w:pgSz w:w="11900" w:h="16838" w:orient="portrait"/>
          <w:cols w:equalWidth="0" w:num="1">
            <w:col w:w="10159"/>
          </w:cols>
          <w:pgMar w:left="300" w:top="372"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44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70425" cy="434467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OF THE PROSPECTUS</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Overview of the Company</w:t>
      </w:r>
    </w:p>
    <w:p>
      <w:pPr>
        <w:spacing w:after="0" w:line="82" w:lineRule="exact"/>
        <w:rPr>
          <w:sz w:val="20"/>
          <w:szCs w:val="20"/>
          <w:color w:val="auto"/>
        </w:rPr>
      </w:pPr>
    </w:p>
    <w:p>
      <w:pPr>
        <w:jc w:val="both"/>
        <w:ind w:left="2100" w:right="1279" w:firstLine="284"/>
        <w:spacing w:after="0" w:line="263" w:lineRule="auto"/>
        <w:rPr>
          <w:sz w:val="20"/>
          <w:szCs w:val="20"/>
          <w:color w:val="auto"/>
        </w:rPr>
      </w:pPr>
      <w:r>
        <w:rPr>
          <w:rFonts w:ascii="Arial" w:cs="Arial" w:eastAsia="Arial" w:hAnsi="Arial"/>
          <w:sz w:val="12"/>
          <w:szCs w:val="12"/>
          <w:color w:val="auto"/>
        </w:rPr>
        <w:t>We are building the next-generation “big pharma” company, organized to harness modern technologies and the entrepreneurial spirit of nimble biotechnology companies at scale. Our mission is to improve the delivery of healthcare to patients by treating every inefficiency as an opportunity.</w:t>
      </w:r>
    </w:p>
    <w:p>
      <w:pPr>
        <w:spacing w:after="0" w:line="122" w:lineRule="exact"/>
        <w:rPr>
          <w:sz w:val="20"/>
          <w:szCs w:val="20"/>
          <w:color w:val="auto"/>
        </w:rPr>
      </w:pPr>
    </w:p>
    <w:p>
      <w:pPr>
        <w:ind w:left="2100" w:right="1119" w:firstLine="284"/>
        <w:spacing w:after="0" w:line="340" w:lineRule="auto"/>
        <w:rPr>
          <w:sz w:val="20"/>
          <w:szCs w:val="20"/>
          <w:color w:val="auto"/>
        </w:rPr>
      </w:pPr>
      <w:r>
        <w:rPr>
          <w:rFonts w:ascii="Arial" w:cs="Arial" w:eastAsia="Arial" w:hAnsi="Arial"/>
          <w:sz w:val="10"/>
          <w:szCs w:val="10"/>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87" w:lineRule="exact"/>
        <w:rPr>
          <w:sz w:val="20"/>
          <w:szCs w:val="20"/>
          <w:color w:val="auto"/>
        </w:rPr>
      </w:pPr>
    </w:p>
    <w:p>
      <w:pPr>
        <w:ind w:left="2100" w:right="1019" w:firstLine="284"/>
        <w:spacing w:after="0" w:line="340" w:lineRule="auto"/>
        <w:rPr>
          <w:sz w:val="20"/>
          <w:szCs w:val="20"/>
          <w:color w:val="auto"/>
        </w:rPr>
      </w:pPr>
      <w:r>
        <w:rPr>
          <w:rFonts w:ascii="Arial" w:cs="Arial" w:eastAsia="Arial" w:hAnsi="Arial"/>
          <w:sz w:val="10"/>
          <w:szCs w:val="10"/>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a unique combination of leading computational physics and machine learning capabilities for </w:t>
      </w:r>
      <w:r>
        <w:rPr>
          <w:rFonts w:ascii="Arial" w:cs="Arial" w:eastAsia="Arial" w:hAnsi="Arial"/>
          <w:sz w:val="10"/>
          <w:szCs w:val="10"/>
          <w:i w:val="1"/>
          <w:iCs w:val="1"/>
          <w:color w:val="auto"/>
        </w:rPr>
        <w:t>in silico</w:t>
      </w:r>
      <w:r>
        <w:rPr>
          <w:rFonts w:ascii="Arial" w:cs="Arial" w:eastAsia="Arial" w:hAnsi="Arial"/>
          <w:sz w:val="10"/>
          <w:szCs w:val="10"/>
          <w:color w:val="auto"/>
        </w:rPr>
        <w:t xml:space="preserve"> drug design.</w:t>
      </w:r>
    </w:p>
    <w:p>
      <w:pPr>
        <w:spacing w:after="0" w:line="87" w:lineRule="exact"/>
        <w:rPr>
          <w:sz w:val="20"/>
          <w:szCs w:val="20"/>
          <w:color w:val="auto"/>
        </w:rPr>
      </w:pPr>
    </w:p>
    <w:p>
      <w:pPr>
        <w:ind w:left="2100" w:right="1139" w:firstLine="284"/>
        <w:spacing w:after="0" w:line="259" w:lineRule="auto"/>
        <w:rPr>
          <w:sz w:val="20"/>
          <w:szCs w:val="20"/>
          <w:color w:val="auto"/>
        </w:rPr>
      </w:pPr>
      <w:r>
        <w:rPr>
          <w:rFonts w:ascii="Arial" w:cs="Arial" w:eastAsia="Arial" w:hAnsi="Arial"/>
          <w:sz w:val="12"/>
          <w:szCs w:val="12"/>
          <w:color w:val="auto"/>
        </w:rPr>
        <w:t>We develop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24"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Our agile Vant model has allowed us to rapidly add capabilities in diverse therapeutic areas, including immunology, dermatology, hematology and oncology, and modalities, including biologics, topicals, gene therapies and bifunctional small molecules. We currently have 14 Vants and, together, we are advancing a deep and diversified pipeline of over 30 drug candidates. We have launched and taken public multiple Vants, resulting in an aggregate ownership stake of approximately $940 million in the Public Vants (inclusive of the value of the Myovant Top-Up Shares) as of September 30, 2021.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Since our founding in 2014, we have:</w:t>
      </w:r>
    </w:p>
    <w:p>
      <w:pPr>
        <w:spacing w:after="0" w:line="87" w:lineRule="exact"/>
        <w:rPr>
          <w:sz w:val="20"/>
          <w:szCs w:val="20"/>
          <w:color w:val="auto"/>
        </w:rPr>
      </w:pPr>
    </w:p>
    <w:p>
      <w:pPr>
        <w:ind w:left="3000" w:hanging="276"/>
        <w:spacing w:after="0"/>
        <w:tabs>
          <w:tab w:leader="none" w:pos="3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conducted nine international Phase 3 trials, the last eight of which have been successful;</w:t>
      </w:r>
    </w:p>
    <w:p>
      <w:pPr>
        <w:spacing w:after="0" w:line="87" w:lineRule="exact"/>
        <w:rPr>
          <w:rFonts w:ascii="Arial" w:cs="Arial" w:eastAsia="Arial" w:hAnsi="Arial"/>
          <w:sz w:val="12"/>
          <w:szCs w:val="12"/>
          <w:color w:val="auto"/>
        </w:rPr>
      </w:pPr>
    </w:p>
    <w:p>
      <w:pPr>
        <w:ind w:left="3000" w:hanging="276"/>
        <w:spacing w:after="0"/>
        <w:tabs>
          <w:tab w:leader="none" w:pos="3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consummated a $3 billion upfront partnership with Sumitomo Dainippon Pharma (“Sumitomo”);</w:t>
      </w:r>
    </w:p>
    <w:p>
      <w:pPr>
        <w:spacing w:after="0" w:line="87" w:lineRule="exact"/>
        <w:rPr>
          <w:rFonts w:ascii="Arial" w:cs="Arial" w:eastAsia="Arial" w:hAnsi="Arial"/>
          <w:sz w:val="12"/>
          <w:szCs w:val="12"/>
          <w:color w:val="auto"/>
        </w:rPr>
      </w:pPr>
    </w:p>
    <w:p>
      <w:pPr>
        <w:ind w:left="3000" w:hanging="276"/>
        <w:spacing w:after="0"/>
        <w:tabs>
          <w:tab w:leader="none" w:pos="3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developed four drugs that received FDA approval after their transfer to Sumitomo;</w:t>
      </w:r>
    </w:p>
    <w:p>
      <w:pPr>
        <w:spacing w:after="0" w:line="87" w:lineRule="exact"/>
        <w:rPr>
          <w:rFonts w:ascii="Arial" w:cs="Arial" w:eastAsia="Arial" w:hAnsi="Arial"/>
          <w:sz w:val="12"/>
          <w:szCs w:val="12"/>
          <w:color w:val="auto"/>
        </w:rPr>
      </w:pPr>
    </w:p>
    <w:p>
      <w:pPr>
        <w:ind w:left="3000" w:hanging="276"/>
        <w:spacing w:after="0"/>
        <w:tabs>
          <w:tab w:leader="none" w:pos="3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built a pipeline of over 30 drug candidates ranging from early discovery to registration;</w:t>
      </w:r>
    </w:p>
    <w:p>
      <w:pPr>
        <w:spacing w:after="0" w:line="87" w:lineRule="exact"/>
        <w:rPr>
          <w:rFonts w:ascii="Arial" w:cs="Arial" w:eastAsia="Arial" w:hAnsi="Arial"/>
          <w:sz w:val="12"/>
          <w:szCs w:val="12"/>
          <w:color w:val="auto"/>
        </w:rPr>
      </w:pPr>
    </w:p>
    <w:p>
      <w:pPr>
        <w:ind w:left="3000" w:right="1179" w:hanging="276"/>
        <w:spacing w:after="0" w:line="276" w:lineRule="auto"/>
        <w:tabs>
          <w:tab w:leader="none" w:pos="3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launched Roivant Discovery, our small molecule discovery engine comprising advanced computational physics and machine learning capabilities, integrated with an in-house wet lab facility; and</w:t>
      </w:r>
    </w:p>
    <w:p>
      <w:pPr>
        <w:spacing w:after="0" w:line="51" w:lineRule="exact"/>
        <w:rPr>
          <w:rFonts w:ascii="Arial" w:cs="Arial" w:eastAsia="Arial" w:hAnsi="Arial"/>
          <w:sz w:val="12"/>
          <w:szCs w:val="12"/>
          <w:color w:val="auto"/>
        </w:rPr>
      </w:pPr>
    </w:p>
    <w:p>
      <w:pPr>
        <w:ind w:left="3000" w:hanging="276"/>
        <w:spacing w:after="0"/>
        <w:tabs>
          <w:tab w:leader="none" w:pos="3000" w:val="left"/>
        </w:tabs>
        <w:numPr>
          <w:ilvl w:val="0"/>
          <w:numId w:val="4"/>
        </w:numPr>
        <w:rPr>
          <w:rFonts w:ascii="Arial" w:cs="Arial" w:eastAsia="Arial" w:hAnsi="Arial"/>
          <w:sz w:val="11"/>
          <w:szCs w:val="11"/>
          <w:color w:val="auto"/>
        </w:rPr>
      </w:pPr>
      <w:r>
        <w:rPr>
          <w:rFonts w:ascii="Arial" w:cs="Arial" w:eastAsia="Arial" w:hAnsi="Arial"/>
          <w:sz w:val="11"/>
          <w:szCs w:val="11"/>
          <w:color w:val="auto"/>
        </w:rPr>
        <w:t>created innovative software tools to optimize each stage of the drug discovery, development and commercialization process.</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72"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13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70425" cy="4013200"/>
                    </a:xfrm>
                    <a:prstGeom prst="rect">
                      <a:avLst/>
                    </a:prstGeom>
                    <a:noFill/>
                  </pic:spPr>
                </pic:pic>
              </a:graphicData>
            </a:graphic>
          </wp:anchor>
        </w:drawing>
      </w:r>
    </w:p>
    <w:p>
      <w:pPr>
        <w:spacing w:after="0" w:line="312" w:lineRule="exact"/>
        <w:rPr>
          <w:sz w:val="20"/>
          <w:szCs w:val="20"/>
          <w:color w:val="auto"/>
        </w:rPr>
      </w:pPr>
    </w:p>
    <w:p>
      <w:pPr>
        <w:ind w:left="2100" w:right="1059" w:firstLine="284"/>
        <w:spacing w:after="0" w:line="285" w:lineRule="auto"/>
        <w:rPr>
          <w:sz w:val="20"/>
          <w:szCs w:val="20"/>
          <w:color w:val="auto"/>
        </w:rPr>
      </w:pPr>
      <w:r>
        <w:rPr>
          <w:rFonts w:ascii="Arial" w:cs="Arial" w:eastAsia="Arial" w:hAnsi="Arial"/>
          <w:sz w:val="11"/>
          <w:szCs w:val="11"/>
          <w:color w:val="auto"/>
        </w:rPr>
        <w:t>On October 9, 2020, MAAC completed its initial public offering of MAAC Units, consisting of one MAAC Class A Share and one-half of one MAAC Warrant, with each unit consisting of one share of MAAC’s Class A common stock and one-half of one MAAC Warrant, with each whole MAAC Warrant entitling the holder thereof to purchase one share of MAAC’s Class A common stock at a price of $11.50 per share. On September 30, 2021, Merger Sub merged with and into MAAC, with MAAC continuing as the surviving company. As a result of such merger and the other Transactions, MAAC became a direct, wholly-owned subsidiary of Roivant under the name “Roivant Rhine Holdings, Inc.”</w:t>
      </w:r>
    </w:p>
    <w:p>
      <w:pPr>
        <w:spacing w:after="0" w:line="113"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Roivant’s principal executive office is located at Suite 1, 3rd Floor, 11-12 St. James’s Square, London SW1Y 4LB, United Kingdom.</w:t>
      </w:r>
    </w:p>
    <w:p>
      <w:pPr>
        <w:spacing w:after="0" w:line="23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Summary Risk Factors</w:t>
      </w:r>
    </w:p>
    <w:p>
      <w:pPr>
        <w:spacing w:after="0" w:line="82" w:lineRule="exact"/>
        <w:rPr>
          <w:sz w:val="20"/>
          <w:szCs w:val="20"/>
          <w:color w:val="auto"/>
        </w:rPr>
      </w:pPr>
    </w:p>
    <w:p>
      <w:pPr>
        <w:ind w:left="2100" w:right="1059" w:firstLine="284"/>
        <w:spacing w:after="0" w:line="259" w:lineRule="auto"/>
        <w:rPr>
          <w:sz w:val="20"/>
          <w:szCs w:val="20"/>
          <w:color w:val="auto"/>
        </w:rPr>
      </w:pPr>
      <w:r>
        <w:rPr>
          <w:rFonts w:ascii="Arial" w:cs="Arial" w:eastAsia="Arial" w:hAnsi="Arial"/>
          <w:sz w:val="12"/>
          <w:szCs w:val="12"/>
          <w:color w:val="auto"/>
        </w:rPr>
        <w:t>An investment in our Common Shares involves substantial risk. The occurrence of one or more of the events or circumstances described in the section of this prospectus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96" w:lineRule="exact"/>
        <w:rPr>
          <w:sz w:val="20"/>
          <w:szCs w:val="20"/>
          <w:color w:val="auto"/>
        </w:rPr>
      </w:pPr>
    </w:p>
    <w:p>
      <w:pPr>
        <w:ind w:left="2380"/>
        <w:spacing w:after="0"/>
        <w:rPr>
          <w:sz w:val="20"/>
          <w:szCs w:val="20"/>
          <w:color w:val="auto"/>
        </w:rPr>
      </w:pPr>
      <w:r>
        <w:rPr>
          <w:rFonts w:ascii="Arial" w:cs="Arial" w:eastAsia="Arial" w:hAnsi="Arial"/>
          <w:sz w:val="12"/>
          <w:szCs w:val="12"/>
          <w:i w:val="1"/>
          <w:iCs w:val="1"/>
          <w:color w:val="auto"/>
        </w:rPr>
        <w:t>Risks Related to Our Business and Industry</w:t>
      </w:r>
    </w:p>
    <w:p>
      <w:pPr>
        <w:spacing w:after="0" w:line="87" w:lineRule="exact"/>
        <w:rPr>
          <w:sz w:val="20"/>
          <w:szCs w:val="20"/>
          <w:color w:val="auto"/>
        </w:rPr>
      </w:pPr>
    </w:p>
    <w:p>
      <w:pPr>
        <w:ind w:left="3000" w:right="1079" w:hanging="276"/>
        <w:spacing w:after="0" w:line="323" w:lineRule="auto"/>
        <w:tabs>
          <w:tab w:leader="none" w:pos="3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28" w:lineRule="exact"/>
        <w:rPr>
          <w:rFonts w:ascii="Arial" w:cs="Arial" w:eastAsia="Arial" w:hAnsi="Arial"/>
          <w:sz w:val="11"/>
          <w:szCs w:val="11"/>
          <w:color w:val="auto"/>
        </w:rPr>
      </w:pPr>
    </w:p>
    <w:p>
      <w:pPr>
        <w:ind w:left="3000" w:hanging="276"/>
        <w:spacing w:after="0"/>
        <w:tabs>
          <w:tab w:leader="none" w:pos="3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will likely incur significant operating losses for the foreseeable future and may never achieve or maintain profitability.</w:t>
      </w:r>
    </w:p>
    <w:p>
      <w:pPr>
        <w:spacing w:after="0" w:line="98" w:lineRule="exact"/>
        <w:rPr>
          <w:rFonts w:ascii="Arial" w:cs="Arial" w:eastAsia="Arial" w:hAnsi="Arial"/>
          <w:sz w:val="11"/>
          <w:szCs w:val="11"/>
          <w:color w:val="auto"/>
        </w:rPr>
      </w:pPr>
    </w:p>
    <w:p>
      <w:pPr>
        <w:ind w:left="3000" w:right="1359" w:hanging="276"/>
        <w:spacing w:after="0" w:line="323" w:lineRule="auto"/>
        <w:tabs>
          <w:tab w:leader="none" w:pos="3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ongoing global pandemic resulting from the outbreak of the novel strain of coronavirus, SARS-CoV-2, which causes COVID-19, could adversely impact our business, including our clinical trials and pre-clinical studies.</w:t>
      </w:r>
    </w:p>
    <w:p>
      <w:pPr>
        <w:spacing w:after="0" w:line="28" w:lineRule="exact"/>
        <w:rPr>
          <w:rFonts w:ascii="Arial" w:cs="Arial" w:eastAsia="Arial" w:hAnsi="Arial"/>
          <w:sz w:val="11"/>
          <w:szCs w:val="11"/>
          <w:color w:val="auto"/>
        </w:rPr>
      </w:pPr>
    </w:p>
    <w:p>
      <w:pPr>
        <w:ind w:left="3000" w:hanging="276"/>
        <w:spacing w:after="0"/>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not be successful in our efforts to acquire, in-license or discover new product candidates.</w:t>
      </w:r>
    </w:p>
    <w:p>
      <w:pPr>
        <w:spacing w:after="0" w:line="87" w:lineRule="exact"/>
        <w:rPr>
          <w:rFonts w:ascii="Arial" w:cs="Arial" w:eastAsia="Arial" w:hAnsi="Arial"/>
          <w:sz w:val="12"/>
          <w:szCs w:val="12"/>
          <w:color w:val="auto"/>
        </w:rPr>
      </w:pPr>
    </w:p>
    <w:p>
      <w:pPr>
        <w:ind w:left="3000" w:right="1079" w:hanging="276"/>
        <w:spacing w:after="0" w:line="259" w:lineRule="auto"/>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w:t>
      </w:r>
    </w:p>
    <w:p>
      <w:pPr>
        <w:spacing w:after="0" w:line="61" w:lineRule="exact"/>
        <w:rPr>
          <w:rFonts w:ascii="Arial" w:cs="Arial" w:eastAsia="Arial" w:hAnsi="Arial"/>
          <w:sz w:val="12"/>
          <w:szCs w:val="12"/>
          <w:color w:val="auto"/>
        </w:rPr>
      </w:pPr>
    </w:p>
    <w:p>
      <w:pPr>
        <w:ind w:left="3000" w:hanging="276"/>
        <w:spacing w:after="0"/>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face risks associated with the Vant structure.</w:t>
      </w:r>
    </w:p>
    <w:p>
      <w:pPr>
        <w:spacing w:after="0" w:line="87" w:lineRule="exact"/>
        <w:rPr>
          <w:rFonts w:ascii="Arial" w:cs="Arial" w:eastAsia="Arial" w:hAnsi="Arial"/>
          <w:sz w:val="12"/>
          <w:szCs w:val="12"/>
          <w:color w:val="auto"/>
        </w:rPr>
      </w:pPr>
    </w:p>
    <w:p>
      <w:pPr>
        <w:ind w:left="3000" w:right="1159" w:hanging="276"/>
        <w:spacing w:after="0" w:line="263" w:lineRule="auto"/>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59" w:lineRule="exact"/>
        <w:rPr>
          <w:rFonts w:ascii="Arial" w:cs="Arial" w:eastAsia="Arial" w:hAnsi="Arial"/>
          <w:sz w:val="12"/>
          <w:szCs w:val="12"/>
          <w:color w:val="auto"/>
        </w:rPr>
      </w:pPr>
    </w:p>
    <w:p>
      <w:pPr>
        <w:ind w:left="3000" w:right="1339" w:hanging="276"/>
        <w:spacing w:after="0" w:line="263" w:lineRule="auto"/>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approach to the discovery and development of product candidates from our targeted protein degradation platform is unproven, which makes it difficult to predict the time, cost of development and likelihood of successfully developing any product candidates from this platform.</w:t>
      </w:r>
    </w:p>
    <w:p>
      <w:pPr>
        <w:spacing w:after="0" w:line="59" w:lineRule="exact"/>
        <w:rPr>
          <w:rFonts w:ascii="Arial" w:cs="Arial" w:eastAsia="Arial" w:hAnsi="Arial"/>
          <w:sz w:val="12"/>
          <w:szCs w:val="12"/>
          <w:color w:val="auto"/>
        </w:rPr>
      </w:pPr>
    </w:p>
    <w:p>
      <w:pPr>
        <w:ind w:left="3000" w:hanging="276"/>
        <w:spacing w:after="0"/>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not be successful in our efforts to acquire, in-license or discover new product candidates.</w:t>
      </w:r>
    </w:p>
    <w:p>
      <w:pPr>
        <w:spacing w:after="0" w:line="87" w:lineRule="exact"/>
        <w:rPr>
          <w:rFonts w:ascii="Arial" w:cs="Arial" w:eastAsia="Arial" w:hAnsi="Arial"/>
          <w:sz w:val="12"/>
          <w:szCs w:val="12"/>
          <w:color w:val="auto"/>
        </w:rPr>
      </w:pPr>
    </w:p>
    <w:p>
      <w:pPr>
        <w:ind w:left="3000" w:right="1559" w:hanging="276"/>
        <w:spacing w:after="0" w:line="276" w:lineRule="auto"/>
        <w:tabs>
          <w:tab w:leader="none" w:pos="3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Certain of our product candidates, including our gene therapy product candidates, are novel, complex and difficult to manufacture.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72"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93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70425" cy="4493260"/>
                    </a:xfrm>
                    <a:prstGeom prst="rect">
                      <a:avLst/>
                    </a:prstGeom>
                    <a:noFill/>
                  </pic:spPr>
                </pic:pic>
              </a:graphicData>
            </a:graphic>
          </wp:anchor>
        </w:drawing>
      </w:r>
    </w:p>
    <w:p>
      <w:pPr>
        <w:spacing w:after="0" w:line="312" w:lineRule="exact"/>
        <w:rPr>
          <w:sz w:val="20"/>
          <w:szCs w:val="20"/>
          <w:color w:val="auto"/>
        </w:rPr>
      </w:pPr>
    </w:p>
    <w:p>
      <w:pPr>
        <w:ind w:left="3000" w:right="1079" w:hanging="276"/>
        <w:spacing w:after="0" w:line="276"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Obtaining approval of a new drug is an extensive, lengthy, expensive and inherently uncertain process, and the FDA or another regulator may delay, limit or deny approval.</w:t>
      </w:r>
    </w:p>
    <w:p>
      <w:pPr>
        <w:spacing w:after="0" w:line="51" w:lineRule="exact"/>
        <w:rPr>
          <w:rFonts w:ascii="Arial" w:cs="Arial" w:eastAsia="Arial" w:hAnsi="Arial"/>
          <w:sz w:val="12"/>
          <w:szCs w:val="12"/>
          <w:color w:val="auto"/>
        </w:rPr>
      </w:pPr>
    </w:p>
    <w:p>
      <w:pPr>
        <w:ind w:left="3000" w:right="1239" w:hanging="276"/>
        <w:spacing w:after="0" w:line="263"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59" w:lineRule="exact"/>
        <w:rPr>
          <w:rFonts w:ascii="Arial" w:cs="Arial" w:eastAsia="Arial" w:hAnsi="Arial"/>
          <w:sz w:val="12"/>
          <w:szCs w:val="12"/>
          <w:color w:val="auto"/>
        </w:rPr>
      </w:pPr>
    </w:p>
    <w:p>
      <w:pPr>
        <w:ind w:left="3000" w:right="1039" w:hanging="276"/>
        <w:spacing w:after="0" w:line="263"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59" w:lineRule="exact"/>
        <w:rPr>
          <w:rFonts w:ascii="Arial" w:cs="Arial" w:eastAsia="Arial" w:hAnsi="Arial"/>
          <w:sz w:val="12"/>
          <w:szCs w:val="12"/>
          <w:color w:val="auto"/>
        </w:rPr>
      </w:pPr>
    </w:p>
    <w:p>
      <w:pPr>
        <w:ind w:left="3000" w:right="1079" w:hanging="276"/>
        <w:spacing w:after="0" w:line="276"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depend on the knowledge and skills of our senior leaders, and may not be able to manage our business effectively if we are unable to attract and retain key personnel.</w:t>
      </w:r>
    </w:p>
    <w:p>
      <w:pPr>
        <w:spacing w:after="0" w:line="51" w:lineRule="exact"/>
        <w:rPr>
          <w:rFonts w:ascii="Arial" w:cs="Arial" w:eastAsia="Arial" w:hAnsi="Arial"/>
          <w:sz w:val="12"/>
          <w:szCs w:val="12"/>
          <w:color w:val="auto"/>
        </w:rPr>
      </w:pPr>
    </w:p>
    <w:p>
      <w:pPr>
        <w:ind w:left="3000" w:right="1039" w:hanging="276"/>
        <w:spacing w:after="0" w:line="259"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funding for, or disruptions to the operations of,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1" w:lineRule="exact"/>
        <w:rPr>
          <w:rFonts w:ascii="Arial" w:cs="Arial" w:eastAsia="Arial" w:hAnsi="Arial"/>
          <w:sz w:val="12"/>
          <w:szCs w:val="12"/>
          <w:color w:val="auto"/>
        </w:rPr>
      </w:pPr>
    </w:p>
    <w:p>
      <w:pPr>
        <w:ind w:left="3000" w:right="1479" w:hanging="276"/>
        <w:spacing w:after="0" w:line="276"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will need to expand our organization and may experience difficulties in managing this growth, which could disrupt operations.</w:t>
      </w:r>
    </w:p>
    <w:p>
      <w:pPr>
        <w:spacing w:after="0" w:line="51" w:lineRule="exact"/>
        <w:rPr>
          <w:rFonts w:ascii="Arial" w:cs="Arial" w:eastAsia="Arial" w:hAnsi="Arial"/>
          <w:sz w:val="12"/>
          <w:szCs w:val="12"/>
          <w:color w:val="auto"/>
        </w:rPr>
      </w:pPr>
    </w:p>
    <w:p>
      <w:pPr>
        <w:ind w:left="3000" w:right="1399" w:hanging="276"/>
        <w:spacing w:after="0" w:line="263"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59" w:lineRule="exact"/>
        <w:rPr>
          <w:rFonts w:ascii="Arial" w:cs="Arial" w:eastAsia="Arial" w:hAnsi="Arial"/>
          <w:sz w:val="12"/>
          <w:szCs w:val="12"/>
          <w:color w:val="auto"/>
        </w:rPr>
      </w:pPr>
    </w:p>
    <w:p>
      <w:pPr>
        <w:ind w:left="3000" w:right="1219" w:hanging="276"/>
        <w:spacing w:after="0" w:line="259"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the patent applications we hold or have in-licensed with respect to our product candidates fail to issue, if their breadth or strength of protection is threatened, or if they fail to provide meaningful exclusivity for our product candidates or any future product candidate, it could dissuade companies from collaborating with us to develop product candidates, and threaten our ability to commercialize, future drugs.</w:t>
      </w:r>
    </w:p>
    <w:p>
      <w:pPr>
        <w:spacing w:after="0" w:line="61" w:lineRule="exact"/>
        <w:rPr>
          <w:rFonts w:ascii="Arial" w:cs="Arial" w:eastAsia="Arial" w:hAnsi="Arial"/>
          <w:sz w:val="12"/>
          <w:szCs w:val="12"/>
          <w:color w:val="auto"/>
        </w:rPr>
      </w:pPr>
    </w:p>
    <w:p>
      <w:pPr>
        <w:ind w:left="3000" w:right="1059" w:hanging="276"/>
        <w:spacing w:after="0" w:line="276"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Patent terms and their scope may be inadequate to protect our competitive position on current and future product candidates for an adequate amount of time.</w:t>
      </w:r>
    </w:p>
    <w:p>
      <w:pPr>
        <w:spacing w:after="0" w:line="187" w:lineRule="exact"/>
        <w:rPr>
          <w:sz w:val="20"/>
          <w:szCs w:val="20"/>
          <w:color w:val="auto"/>
        </w:rPr>
      </w:pPr>
    </w:p>
    <w:p>
      <w:pPr>
        <w:ind w:left="2380"/>
        <w:spacing w:after="0"/>
        <w:rPr>
          <w:sz w:val="20"/>
          <w:szCs w:val="20"/>
          <w:color w:val="auto"/>
        </w:rPr>
      </w:pPr>
      <w:r>
        <w:rPr>
          <w:rFonts w:ascii="Arial" w:cs="Arial" w:eastAsia="Arial" w:hAnsi="Arial"/>
          <w:sz w:val="12"/>
          <w:szCs w:val="12"/>
          <w:i w:val="1"/>
          <w:iCs w:val="1"/>
          <w:color w:val="auto"/>
        </w:rPr>
        <w:t>Risks Related to Our Securities, Our Jurisdiction of Incorporation and Certain Tax Matters</w:t>
      </w:r>
    </w:p>
    <w:p>
      <w:pPr>
        <w:spacing w:after="0" w:line="87" w:lineRule="exact"/>
        <w:rPr>
          <w:sz w:val="20"/>
          <w:szCs w:val="20"/>
          <w:color w:val="auto"/>
        </w:rPr>
      </w:pPr>
    </w:p>
    <w:p>
      <w:pPr>
        <w:ind w:left="3000" w:right="1159" w:hanging="276"/>
        <w:spacing w:after="0" w:line="276" w:lineRule="auto"/>
        <w:tabs>
          <w:tab w:leader="none" w:pos="3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listing of our securities on Nasdaq did not benefit from the process undertaken in connection with an underwritten initial public offering.</w:t>
      </w:r>
    </w:p>
    <w:p>
      <w:pPr>
        <w:spacing w:after="0" w:line="51" w:lineRule="exact"/>
        <w:rPr>
          <w:rFonts w:ascii="Arial" w:cs="Arial" w:eastAsia="Arial" w:hAnsi="Arial"/>
          <w:sz w:val="12"/>
          <w:szCs w:val="12"/>
          <w:color w:val="auto"/>
        </w:rPr>
      </w:pPr>
    </w:p>
    <w:p>
      <w:pPr>
        <w:ind w:left="3000" w:hanging="276"/>
        <w:spacing w:after="0"/>
        <w:tabs>
          <w:tab w:leader="none" w:pos="3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our performance does not meet market expectations, the price of our securities may decline.</w:t>
      </w:r>
    </w:p>
    <w:p>
      <w:pPr>
        <w:spacing w:after="0" w:line="87" w:lineRule="exact"/>
        <w:rPr>
          <w:rFonts w:ascii="Arial" w:cs="Arial" w:eastAsia="Arial" w:hAnsi="Arial"/>
          <w:sz w:val="12"/>
          <w:szCs w:val="12"/>
          <w:color w:val="auto"/>
        </w:rPr>
      </w:pPr>
    </w:p>
    <w:p>
      <w:pPr>
        <w:ind w:left="3000" w:right="1179" w:hanging="276"/>
        <w:spacing w:after="0" w:line="276" w:lineRule="auto"/>
        <w:tabs>
          <w:tab w:leader="none" w:pos="3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have and will continue to incur increased costs as a result of operating as a public company and our management has and will continue to devote a substantial amount of time to new compliance initiatives.</w:t>
      </w:r>
    </w:p>
    <w:p>
      <w:pPr>
        <w:spacing w:after="0" w:line="51" w:lineRule="exact"/>
        <w:rPr>
          <w:rFonts w:ascii="Arial" w:cs="Arial" w:eastAsia="Arial" w:hAnsi="Arial"/>
          <w:sz w:val="12"/>
          <w:szCs w:val="12"/>
          <w:color w:val="auto"/>
        </w:rPr>
      </w:pPr>
    </w:p>
    <w:p>
      <w:pPr>
        <w:ind w:left="3000" w:right="1099" w:hanging="276"/>
        <w:spacing w:after="0" w:line="263" w:lineRule="auto"/>
        <w:tabs>
          <w:tab w:leader="none" w:pos="3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failure to timely and effectively implement controls and procedures required by Section 404(a) of the Sarbanes-Oxley Act that will be applicable to us after the Business Combination is consummated could have a material adverse effect on our business.</w:t>
      </w:r>
    </w:p>
    <w:p>
      <w:pPr>
        <w:spacing w:after="0" w:line="59" w:lineRule="exact"/>
        <w:rPr>
          <w:rFonts w:ascii="Arial" w:cs="Arial" w:eastAsia="Arial" w:hAnsi="Arial"/>
          <w:sz w:val="12"/>
          <w:szCs w:val="12"/>
          <w:color w:val="auto"/>
        </w:rPr>
      </w:pPr>
    </w:p>
    <w:p>
      <w:pPr>
        <w:ind w:left="3000" w:right="1139" w:hanging="276"/>
        <w:spacing w:after="0" w:line="379" w:lineRule="auto"/>
        <w:tabs>
          <w:tab w:leader="none" w:pos="3000" w:val="left"/>
        </w:tabs>
        <w:numPr>
          <w:ilvl w:val="0"/>
          <w:numId w:val="7"/>
        </w:numPr>
        <w:rPr>
          <w:rFonts w:ascii="Arial" w:cs="Arial" w:eastAsia="Arial" w:hAnsi="Arial"/>
          <w:sz w:val="10"/>
          <w:szCs w:val="10"/>
          <w:color w:val="auto"/>
        </w:rPr>
      </w:pPr>
      <w:r>
        <w:rPr>
          <w:rFonts w:ascii="Arial" w:cs="Arial" w:eastAsia="Arial" w:hAnsi="Arial"/>
          <w:sz w:val="10"/>
          <w:szCs w:val="10"/>
          <w:color w:val="auto"/>
        </w:rPr>
        <w:t>Anti-takeover provisions in our memorandum of association, bye-laws and Bermuda law could delay or prevent a change in control, limit the price investors may be willing to pay in the future for our Common Shares and could entrench management.</w:t>
      </w:r>
    </w:p>
    <w:p>
      <w:pPr>
        <w:spacing w:after="0" w:line="5" w:lineRule="exact"/>
        <w:rPr>
          <w:rFonts w:ascii="Arial" w:cs="Arial" w:eastAsia="Arial" w:hAnsi="Arial"/>
          <w:sz w:val="10"/>
          <w:szCs w:val="10"/>
          <w:color w:val="auto"/>
        </w:rPr>
      </w:pPr>
    </w:p>
    <w:p>
      <w:pPr>
        <w:ind w:left="3000" w:right="1039" w:hanging="276"/>
        <w:spacing w:after="0" w:line="276" w:lineRule="auto"/>
        <w:tabs>
          <w:tab w:leader="none" w:pos="3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largest shareholders and certain members of our management own a significant percentage of our Common Shares and will be able to exert significant control over matters subject to shareholder approval.</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72"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9" w:lineRule="exact"/>
        <w:rPr>
          <w:sz w:val="20"/>
          <w:szCs w:val="20"/>
          <w:color w:val="auto"/>
        </w:rPr>
      </w:pPr>
    </w:p>
    <w:tbl>
      <w:tblPr>
        <w:tblLayout w:type="fixed"/>
        <w:tblInd w:w="1970" w:type="dxa"/>
        <w:tblCellMar>
          <w:top w:w="0" w:type="dxa"/>
          <w:left w:w="0" w:type="dxa"/>
          <w:bottom w:w="0" w:type="dxa"/>
          <w:right w:w="0" w:type="dxa"/>
        </w:tblCellMar>
      </w:tblPr>
      <w:tr>
        <w:trPr>
          <w:trHeight w:val="276"/>
        </w:trPr>
        <w:tc>
          <w:tcPr>
            <w:tcW w:w="2780" w:type="dxa"/>
            <w:vAlign w:val="bottom"/>
            <w:tcBorders>
              <w:top w:val="single" w:sz="8" w:color="auto"/>
              <w:left w:val="single" w:sz="8" w:color="auto"/>
            </w:tcBorders>
          </w:tcPr>
          <w:p>
            <w:pPr>
              <w:spacing w:after="0"/>
              <w:rPr>
                <w:sz w:val="23"/>
                <w:szCs w:val="23"/>
                <w:color w:val="auto"/>
              </w:rPr>
            </w:pPr>
          </w:p>
        </w:tc>
        <w:tc>
          <w:tcPr>
            <w:tcW w:w="45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2"/>
                <w:szCs w:val="12"/>
                <w:b w:val="1"/>
                <w:bCs w:val="1"/>
                <w:color w:val="auto"/>
              </w:rPr>
              <w:t>THE OFFERING</w:t>
            </w:r>
          </w:p>
        </w:tc>
      </w:tr>
      <w:tr>
        <w:trPr>
          <w:trHeight w:val="306"/>
        </w:trPr>
        <w:tc>
          <w:tcPr>
            <w:tcW w:w="278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Issuer</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Roivant Sciences Ltd.</w:t>
            </w:r>
          </w:p>
        </w:tc>
      </w:tr>
      <w:tr>
        <w:trPr>
          <w:trHeight w:val="270"/>
        </w:trPr>
        <w:tc>
          <w:tcPr>
            <w:tcW w:w="27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Issuance of Common Shares</w:t>
            </w:r>
          </w:p>
        </w:tc>
        <w:tc>
          <w:tcPr>
            <w:tcW w:w="4580" w:type="dxa"/>
            <w:vAlign w:val="bottom"/>
            <w:tcBorders>
              <w:right w:val="single" w:sz="8" w:color="auto"/>
            </w:tcBorders>
          </w:tcPr>
          <w:p>
            <w:pPr>
              <w:spacing w:after="0"/>
              <w:rPr>
                <w:sz w:val="23"/>
                <w:szCs w:val="23"/>
                <w:color w:val="auto"/>
              </w:rPr>
            </w:pP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Common Shares offered by the Company</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4"/>
              </w:rPr>
              <w:t>Up to 30,750,261 Common Shares, consisting of (i) 20,535,896 Common Shares issuable</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upon exercise of the Public Warrants and (ii) 10,214,365 Common Shares issuable upon</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exercise of the Private Placement Warrants.</w:t>
            </w: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w w:val="90"/>
              </w:rPr>
              <w:t>Common Shares outstanding prior to exercise of all</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684,789,169 Common Shares (as of September 30, 2021) (including Common Shares</w:t>
            </w:r>
          </w:p>
        </w:tc>
      </w:tr>
      <w:tr>
        <w:trPr>
          <w:trHeight w:val="153"/>
        </w:trPr>
        <w:tc>
          <w:tcPr>
            <w:tcW w:w="2780" w:type="dxa"/>
            <w:vAlign w:val="bottom"/>
            <w:tcBorders>
              <w:left w:val="single" w:sz="8" w:color="auto"/>
            </w:tcBorders>
          </w:tcPr>
          <w:p>
            <w:pPr>
              <w:ind w:left="320"/>
              <w:spacing w:after="0"/>
              <w:rPr>
                <w:sz w:val="20"/>
                <w:szCs w:val="20"/>
                <w:color w:val="auto"/>
              </w:rPr>
            </w:pPr>
            <w:r>
              <w:rPr>
                <w:rFonts w:ascii="Arial" w:cs="Arial" w:eastAsia="Arial" w:hAnsi="Arial"/>
                <w:sz w:val="12"/>
                <w:szCs w:val="12"/>
                <w:color w:val="auto"/>
              </w:rPr>
              <w:t>Warrants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underlying vested restricted share awards).</w:t>
            </w:r>
          </w:p>
        </w:tc>
      </w:tr>
      <w:tr>
        <w:trPr>
          <w:trHeight w:val="288"/>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w w:val="91"/>
              </w:rPr>
              <w:t>Common Shares outstanding assuming exercise of</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3"/>
              </w:rPr>
              <w:t>715,539,430 Common Shares (based on the number of Common Shares outstanding as of</w:t>
            </w:r>
          </w:p>
        </w:tc>
      </w:tr>
      <w:tr>
        <w:trPr>
          <w:trHeight w:val="144"/>
        </w:trPr>
        <w:tc>
          <w:tcPr>
            <w:tcW w:w="2780" w:type="dxa"/>
            <w:vAlign w:val="bottom"/>
            <w:tcBorders>
              <w:left w:val="single" w:sz="8" w:color="auto"/>
            </w:tcBorders>
          </w:tcPr>
          <w:p>
            <w:pPr>
              <w:ind w:left="320"/>
              <w:spacing w:after="0"/>
              <w:rPr>
                <w:sz w:val="20"/>
                <w:szCs w:val="20"/>
                <w:color w:val="auto"/>
              </w:rPr>
            </w:pPr>
            <w:r>
              <w:rPr>
                <w:rFonts w:ascii="Arial" w:cs="Arial" w:eastAsia="Arial" w:hAnsi="Arial"/>
                <w:sz w:val="12"/>
                <w:szCs w:val="12"/>
                <w:color w:val="auto"/>
              </w:rPr>
              <w:t>all Warrants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September 30, 2021) (including Common Shares underlying vested restricted share</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awards).</w:t>
            </w: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Use of Proceeds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We will receive up to an aggregate of approximately $353.6 million from the exercise of</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2"/>
              </w:rPr>
              <w:t>the Warrants, assuming the exercise in full of all of the Warrants for cash. We expect to use</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any such net proceeds from the exercise of the Warrants for general corporate purposes.</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See “Use of Proceeds.”</w:t>
            </w:r>
          </w:p>
        </w:tc>
      </w:tr>
      <w:tr>
        <w:trPr>
          <w:trHeight w:val="270"/>
        </w:trPr>
        <w:tc>
          <w:tcPr>
            <w:tcW w:w="27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Resale of Common Shares and Warrants</w:t>
            </w:r>
          </w:p>
        </w:tc>
        <w:tc>
          <w:tcPr>
            <w:tcW w:w="4580" w:type="dxa"/>
            <w:vAlign w:val="bottom"/>
            <w:tcBorders>
              <w:right w:val="single" w:sz="8" w:color="auto"/>
            </w:tcBorders>
          </w:tcPr>
          <w:p>
            <w:pPr>
              <w:spacing w:after="0"/>
              <w:rPr>
                <w:sz w:val="23"/>
                <w:szCs w:val="23"/>
                <w:color w:val="auto"/>
              </w:rPr>
            </w:pP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Common Shares offered by the Holders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2"/>
              </w:rPr>
              <w:t>Up to 595,134,445 Common Shares, consisting of (i) 22,000,000 Common Shares issued in</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the PIPE Financing, (ii) up to 10,214,365 Common Shares issuable upon exercise of the</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3"/>
              </w:rPr>
              <w:t>Private Placement Warrants and (iii) 562,920,080 issued and outstanding Common Shares</w:t>
            </w:r>
          </w:p>
        </w:tc>
      </w:tr>
      <w:tr>
        <w:trPr>
          <w:trHeight w:val="144"/>
        </w:trPr>
        <w:tc>
          <w:tcPr>
            <w:tcW w:w="278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held by certain Holders (including Common Shares underlying vested restricted share</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awards).</w:t>
            </w:r>
          </w:p>
        </w:tc>
      </w:tr>
      <w:tr>
        <w:trPr>
          <w:trHeight w:val="288"/>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Warrants offered by the Holders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Up to 10,214,365 Private Placement Warrants.</w:t>
            </w:r>
          </w:p>
        </w:tc>
      </w:tr>
      <w:tr>
        <w:trPr>
          <w:trHeight w:val="288"/>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Redemption</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Warrants are redeemable in certain circumstances. See the section entitled</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“Description of Securities—Warrants” for further discussion.</w:t>
            </w: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Use of Proceeds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We will not receive any proceeds from any sale of Common Shares by the Holders. See</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“Use of Proceeds.”</w:t>
            </w: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Redemption</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The Warrants are redeemable in certain circumstances. See “Description of Securities—</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Redeemable Warrants” for further discussion.</w:t>
            </w:r>
          </w:p>
        </w:tc>
      </w:tr>
      <w:tr>
        <w:trPr>
          <w:trHeight w:val="279"/>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2"/>
                <w:szCs w:val="12"/>
                <w:color w:val="auto"/>
              </w:rPr>
              <w:t>Market for Common Shares and Warrants</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The Common Shares and Public Warrants are currently traded on The Nasdaq Global</w:t>
            </w:r>
          </w:p>
        </w:tc>
      </w:tr>
      <w:tr>
        <w:trPr>
          <w:trHeight w:val="153"/>
        </w:trPr>
        <w:tc>
          <w:tcPr>
            <w:tcW w:w="2780" w:type="dxa"/>
            <w:vAlign w:val="bottom"/>
            <w:tcBorders>
              <w:left w:val="single" w:sz="8" w:color="auto"/>
            </w:tcBorders>
          </w:tcPr>
          <w:p>
            <w:pPr>
              <w:spacing w:after="0"/>
              <w:rPr>
                <w:sz w:val="13"/>
                <w:szCs w:val="13"/>
                <w:color w:val="auto"/>
              </w:rPr>
            </w:pP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Market under the symbols “ROIV” and “ROIVW,” respectively.</w:t>
            </w:r>
          </w:p>
        </w:tc>
      </w:tr>
      <w:tr>
        <w:trPr>
          <w:trHeight w:val="157"/>
        </w:trPr>
        <w:tc>
          <w:tcPr>
            <w:tcW w:w="2780" w:type="dxa"/>
            <w:vAlign w:val="bottom"/>
            <w:tcBorders>
              <w:left w:val="single" w:sz="8" w:color="auto"/>
              <w:bottom w:val="single" w:sz="8" w:color="auto"/>
            </w:tcBorders>
          </w:tcPr>
          <w:p>
            <w:pPr>
              <w:spacing w:after="0"/>
              <w:rPr>
                <w:sz w:val="13"/>
                <w:szCs w:val="13"/>
                <w:color w:val="auto"/>
              </w:rPr>
            </w:pPr>
          </w:p>
        </w:tc>
        <w:tc>
          <w:tcPr>
            <w:tcW w:w="4580" w:type="dxa"/>
            <w:vAlign w:val="bottom"/>
            <w:tcBorders>
              <w:bottom w:val="single" w:sz="8" w:color="auto"/>
              <w:right w:val="single" w:sz="8" w:color="auto"/>
            </w:tcBorders>
          </w:tcPr>
          <w:p>
            <w:pPr>
              <w:spacing w:after="0"/>
              <w:rPr>
                <w:sz w:val="13"/>
                <w:szCs w:val="13"/>
                <w:color w:val="auto"/>
              </w:rPr>
            </w:pPr>
          </w:p>
        </w:tc>
      </w:tr>
      <w:tr>
        <w:trPr>
          <w:trHeight w:val="237"/>
        </w:trPr>
        <w:tc>
          <w:tcPr>
            <w:tcW w:w="2780" w:type="dxa"/>
            <w:vAlign w:val="bottom"/>
          </w:tcPr>
          <w:p>
            <w:pPr>
              <w:spacing w:after="0"/>
              <w:rPr>
                <w:sz w:val="20"/>
                <w:szCs w:val="20"/>
                <w:color w:val="auto"/>
              </w:rPr>
            </w:pPr>
          </w:p>
        </w:tc>
        <w:tc>
          <w:tcPr>
            <w:tcW w:w="4580" w:type="dxa"/>
            <w:vAlign w:val="bottom"/>
          </w:tcPr>
          <w:p>
            <w:pPr>
              <w:ind w:left="88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0159"/>
          </w:cols>
          <w:pgMar w:left="300" w:top="372"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27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0425" cy="527050"/>
                    </a:xfrm>
                    <a:prstGeom prst="rect">
                      <a:avLst/>
                    </a:prstGeom>
                    <a:noFill/>
                  </pic:spPr>
                </pic:pic>
              </a:graphicData>
            </a:graphic>
          </wp:anchor>
        </w:drawing>
      </w:r>
    </w:p>
    <w:p>
      <w:pPr>
        <w:spacing w:after="0" w:line="312" w:lineRule="exact"/>
        <w:rPr>
          <w:sz w:val="20"/>
          <w:szCs w:val="20"/>
          <w:color w:val="auto"/>
        </w:rPr>
      </w:pPr>
    </w:p>
    <w:p>
      <w:pPr>
        <w:ind w:left="4780" w:right="1159" w:hanging="2689"/>
        <w:spacing w:after="0" w:line="276" w:lineRule="auto"/>
        <w:tabs>
          <w:tab w:leader="none" w:pos="4760" w:val="left"/>
        </w:tabs>
        <w:rPr>
          <w:sz w:val="20"/>
          <w:szCs w:val="20"/>
          <w:color w:val="auto"/>
        </w:rPr>
      </w:pPr>
      <w:r>
        <w:rPr>
          <w:rFonts w:ascii="Arial" w:cs="Arial" w:eastAsia="Arial" w:hAnsi="Arial"/>
          <w:sz w:val="12"/>
          <w:szCs w:val="12"/>
          <w:color w:val="auto"/>
        </w:rPr>
        <w:t>Risk Factors</w:t>
      </w:r>
      <w:r>
        <w:rPr>
          <w:sz w:val="20"/>
          <w:szCs w:val="20"/>
          <w:color w:val="auto"/>
        </w:rPr>
        <w:tab/>
      </w:r>
      <w:r>
        <w:rPr>
          <w:rFonts w:ascii="Arial" w:cs="Arial" w:eastAsia="Arial" w:hAnsi="Arial"/>
          <w:sz w:val="12"/>
          <w:szCs w:val="12"/>
          <w:color w:val="auto"/>
        </w:rPr>
        <w:t>See “</w:t>
      </w:r>
      <w:r>
        <w:rPr>
          <w:rFonts w:ascii="Arial" w:cs="Arial" w:eastAsia="Arial" w:hAnsi="Arial"/>
          <w:sz w:val="12"/>
          <w:szCs w:val="12"/>
          <w:i w:val="1"/>
          <w:iCs w:val="1"/>
          <w:color w:val="auto"/>
        </w:rPr>
        <w:t>Risk Factors</w:t>
      </w:r>
      <w:r>
        <w:rPr>
          <w:rFonts w:ascii="Arial" w:cs="Arial" w:eastAsia="Arial" w:hAnsi="Arial"/>
          <w:sz w:val="12"/>
          <w:szCs w:val="12"/>
          <w:color w:val="auto"/>
        </w:rPr>
        <w:t>” and other information included in this prospectus for a discussion of factors you should consider before investing in our securities.</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For additional information concerning the offering, see “Plan of Distribution.”</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72"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i w:val="1"/>
          <w:iCs w:val="1"/>
          <w:color w:val="auto"/>
        </w:rPr>
        <w:t>Our business involves a high degree of risk. You should carefully consider the risks described below, together with the other information contained in this prospectus, including our condensed consolidated financial statements and the related notes appearing elsewhere in this prospectus,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Risks Related to Our Financial Position and Strategy</w:t>
      </w:r>
    </w:p>
    <w:p>
      <w:pPr>
        <w:spacing w:after="0" w:line="78" w:lineRule="exact"/>
        <w:rPr>
          <w:sz w:val="20"/>
          <w:szCs w:val="20"/>
          <w:color w:val="auto"/>
        </w:rPr>
      </w:pPr>
    </w:p>
    <w:p>
      <w:pPr>
        <w:jc w:val="both"/>
        <w:ind w:left="1980" w:right="879"/>
        <w:spacing w:after="0" w:line="298" w:lineRule="auto"/>
        <w:rPr>
          <w:sz w:val="20"/>
          <w:szCs w:val="20"/>
          <w:color w:val="auto"/>
        </w:rPr>
      </w:pPr>
      <w:r>
        <w:rPr>
          <w:rFonts w:ascii="Arial" w:cs="Arial" w:eastAsia="Arial" w:hAnsi="Arial"/>
          <w:sz w:val="11"/>
          <w:szCs w:val="11"/>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never generated product revenue from the commercialization of our drug product candidates, and there is no guarantee that we will do so in the future.</w:t>
      </w:r>
    </w:p>
    <w:p>
      <w:pPr>
        <w:spacing w:after="0" w:line="10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We are a biopharmaceutical and healthcare technology company with a limited operating history upon which you can evaluate our business and prospects. We were formed in April 2014, and our operations to date have been limited to acquiring or in-licensing product candidates or developing technologies for the discovery, development, and commercialization of product candidates, starting or acquiring subsidiary businesses, which we refer to as the Vants, in which to house those product candidates or technologies, and hiring management teams to operate the Vants and oversee the development of our product candidates and technologies.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ability to execute on our business model and generate revenues depends on a number of factors including our ability to:</w:t>
      </w:r>
    </w:p>
    <w:p>
      <w:pPr>
        <w:spacing w:after="0" w:line="87" w:lineRule="exact"/>
        <w:rPr>
          <w:sz w:val="20"/>
          <w:szCs w:val="20"/>
          <w:color w:val="auto"/>
        </w:rPr>
      </w:pPr>
    </w:p>
    <w:p>
      <w:pPr>
        <w:ind w:left="2620" w:hanging="360"/>
        <w:spacing w:after="0"/>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identify new acquisition or in-licensing opportunities;</w:t>
      </w:r>
    </w:p>
    <w:p>
      <w:pPr>
        <w:spacing w:after="0" w:line="87"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successfully identify new product candidates through our computational discovery and targeted protein degradation platforms and advance those product candidates into pre-clinical studies and clinical trials;</w:t>
      </w:r>
    </w:p>
    <w:p>
      <w:pPr>
        <w:spacing w:after="0" w:line="51" w:lineRule="exact"/>
        <w:rPr>
          <w:rFonts w:ascii="Arial" w:cs="Arial" w:eastAsia="Arial" w:hAnsi="Arial"/>
          <w:sz w:val="12"/>
          <w:szCs w:val="12"/>
          <w:color w:val="auto"/>
        </w:rPr>
      </w:pPr>
    </w:p>
    <w:p>
      <w:pPr>
        <w:ind w:left="2620" w:right="1059" w:hanging="360"/>
        <w:spacing w:after="0" w:line="276" w:lineRule="auto"/>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successfully complete ongoing pre-clinical studies and clinical trials and obtain regulatory approvals for our current and future product candidates;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successfully market our healthcare technology products and services;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raise additional funds when needed and on terms acceptable to us;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attract and retain experienced management and advisory teams;</w:t>
      </w:r>
    </w:p>
    <w:p>
      <w:pPr>
        <w:spacing w:after="0" w:line="87" w:lineRule="exact"/>
        <w:rPr>
          <w:rFonts w:ascii="Arial" w:cs="Arial" w:eastAsia="Arial" w:hAnsi="Arial"/>
          <w:sz w:val="12"/>
          <w:szCs w:val="12"/>
          <w:color w:val="auto"/>
        </w:rPr>
      </w:pPr>
    </w:p>
    <w:p>
      <w:pPr>
        <w:ind w:left="2620" w:right="1259" w:hanging="360"/>
        <w:spacing w:after="0" w:line="276" w:lineRule="auto"/>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add operational, financial and management information systems and personnel, including personnel to support clinical, pre-clinical manufacturing and planned future commercialization efforts and operations;</w:t>
      </w:r>
    </w:p>
    <w:p>
      <w:pPr>
        <w:spacing w:after="0" w:line="51" w:lineRule="exact"/>
        <w:rPr>
          <w:rFonts w:ascii="Arial" w:cs="Arial" w:eastAsia="Arial" w:hAnsi="Arial"/>
          <w:sz w:val="12"/>
          <w:szCs w:val="12"/>
          <w:color w:val="auto"/>
        </w:rPr>
      </w:pPr>
    </w:p>
    <w:p>
      <w:pPr>
        <w:ind w:left="2620" w:right="959" w:hanging="360"/>
        <w:spacing w:after="0" w:line="276" w:lineRule="auto"/>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launch commercial sales of product candidates, whether alone or in collaboration with others, including establishing sales, marketing and distribution systems;</w:t>
      </w:r>
    </w:p>
    <w:p>
      <w:pPr>
        <w:spacing w:after="0" w:line="51" w:lineRule="exact"/>
        <w:rPr>
          <w:rFonts w:ascii="Arial" w:cs="Arial" w:eastAsia="Arial" w:hAnsi="Arial"/>
          <w:sz w:val="12"/>
          <w:szCs w:val="12"/>
          <w:color w:val="auto"/>
        </w:rPr>
      </w:pPr>
    </w:p>
    <w:p>
      <w:pPr>
        <w:ind w:left="2620" w:right="939" w:hanging="360"/>
        <w:spacing w:after="0" w:line="263" w:lineRule="auto"/>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initiate and continue relationships with third-party suppliers and manufacturers and have commercial quantities of product candidates manufactured at acceptable cost and quality levels and in compliance with the U.S. Food and Drug Administration (the “FDA”) and other regulatory requirements;</w:t>
      </w:r>
    </w:p>
    <w:p>
      <w:pPr>
        <w:spacing w:after="0" w:line="59" w:lineRule="exact"/>
        <w:rPr>
          <w:rFonts w:ascii="Arial" w:cs="Arial" w:eastAsia="Arial" w:hAnsi="Arial"/>
          <w:sz w:val="12"/>
          <w:szCs w:val="12"/>
          <w:color w:val="auto"/>
        </w:rPr>
      </w:pPr>
    </w:p>
    <w:p>
      <w:pPr>
        <w:ind w:left="2620" w:hanging="360"/>
        <w:spacing w:after="0"/>
        <w:tabs>
          <w:tab w:leader="none" w:pos="2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set acceptable prices for product candidates and obtain coverage and adequate reimbursement from third-party payors;</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72"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360"/>
        <w:spacing w:after="0"/>
        <w:tabs>
          <w:tab w:leader="none" w:pos="2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achieve market acceptance of product candidates in the medical community and with third-party payors and consumers;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If we cannot successfully execute any one of the foregoing, our business may not succeed and the price of our Common Shares may be negatively impacted.</w:t>
      </w:r>
    </w:p>
    <w:p>
      <w:pPr>
        <w:spacing w:after="0" w:line="115" w:lineRule="exact"/>
        <w:rPr>
          <w:sz w:val="20"/>
          <w:szCs w:val="20"/>
          <w:color w:val="auto"/>
        </w:rPr>
      </w:pPr>
    </w:p>
    <w:p>
      <w:pPr>
        <w:ind w:left="1980" w:right="1119" w:firstLine="294"/>
        <w:spacing w:after="0" w:line="259" w:lineRule="auto"/>
        <w:rPr>
          <w:sz w:val="20"/>
          <w:szCs w:val="20"/>
          <w:color w:val="auto"/>
        </w:rPr>
      </w:pPr>
      <w:r>
        <w:rPr>
          <w:rFonts w:ascii="Arial" w:cs="Arial" w:eastAsia="Arial" w:hAnsi="Arial"/>
          <w:sz w:val="12"/>
          <w:szCs w:val="12"/>
          <w:color w:val="auto"/>
        </w:rPr>
        <w:t>Biopharmaceutical product development, which represents the core of our business model, is a highly speculative undertaking and involves a significant degree of risk. Our product candidates will require substantial development time – including extensive clinical, and in some cases pre-clinical, research and development – and resources before we would be able to apply for or receive applicable regulatory approvals and begin generating revenue from product sales.</w:t>
      </w:r>
    </w:p>
    <w:p>
      <w:pPr>
        <w:spacing w:after="0" w:line="12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not yet demonstrated an ability to successfully acquire regulatory clearance or approval, develop or manufacture a commercial scale product, or arrange for a third-party to do so on our behalf, or conduct sales and marketing activities necessary for successful biopharmaceutical product commercialization. We have generated minimal revenues to date, and no revenues from the commercialization of our drug product candidates. Consequently, we have limited operations upon which to evaluate our business and predictions about our future success or viability may not be as accurate as they could be if we had a longer operating history or a history of successfully developing and commercializing biopharmaceutical product candidates.</w:t>
      </w:r>
    </w:p>
    <w:p>
      <w:pPr>
        <w:spacing w:after="0" w:line="128"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Because of the numerous risks and uncertainties associated with biopharmaceutical product development, we are unable to predict the timing or amount of increased expenses, or when we will be able to generate any meaningful revenue or achieve or maintain profitability, if ever. Our expenses could increase beyond expectations if we are required by the FDA or comparable non-U.S.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or if there are any delays in any of our or our future collaborators’ clinical trials or the development of our product candidates that we may identify. Even if a product is approved for commercial sale, we could incur significant costs associated with the commercial launch of any such product.</w:t>
      </w:r>
    </w:p>
    <w:p>
      <w:pPr>
        <w:spacing w:after="0" w:line="115"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may never be able to develop or commercialize a marketable drug or achieve profitability. Revenue from the sale of any product candidate for which regulatory approval is obtained will be dependent, in part, upon the size of the markets in the territories for which we gain regulatory approval, the accepted price for the product, the ability to obtain reimbursement at any price, the strength and term of patent exclusivity for the product, the competitive landscape of the product market, and whether we own the commercial rights for that territory.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 candidates, if approved, and pursue or continue our operations. Our prior losses, combined with expected future losses, have had and will continue to have an adverse effect on our shareholders’ equity and working capital.</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i w:val="1"/>
          <w:iCs w:val="1"/>
          <w:color w:val="auto"/>
        </w:rPr>
        <w:t>We will likely incur significant operating losses for the foreseeable future and may never achieve or maintain profitability.</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Investment in biopharmaceutical product development is highly speculative because it entails substantial upfront capital expenditures and significant risk that a product candidate will fail to gain regulatory approval or become commercially viable. None of our current product candidates has received marketing approval anywhere in the world and we have not generated any product revenues from the commercial sale of our biopharmaceutical products. We cannot estimate with precision the extent of our future losses. We may never generate product revenue from the commercial sales of our product candidates or achieve profitability.</w:t>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72"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We expect to continue to incur substantial operating losses through the projected commercialization of our product candidates. Our ability to generate product revenue and achieve profitability is dependent on the ability to complete the development of our product candidates, obtain necessary regulatory approvals and manufacture and successfully market product candidates alone or in collaboration with others.</w:t>
      </w:r>
    </w:p>
    <w:p>
      <w:pPr>
        <w:spacing w:after="0" w:line="10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we do successfully obtain regulatory approval to market product candidates, our revenue will be dependent upon, in part and among other things, the size of the markets in the territories for which we gain regulatory approval, the number of competitors in such markets, the accepted price for product candidates and whether we own the commercial rights for those territories. If the indication approved by regulatory authorities is narrower than expected, or the treatment population is narrowed by competition, physician choice or treatment guidelines, we may not generate significant revenue from sales of our product candidates, even if approved. We cannot assure you that we will be profitable even if we successfully commercialize our product candidates.</w:t>
      </w:r>
    </w:p>
    <w:p>
      <w:pPr>
        <w:spacing w:after="0" w:line="200"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The ongoing global pandemic resulting from the outbreak of the novel strain of coronavirus, SARS-CoV-2, which causes COVID-19, could adversely impact our business, including our clinical trials and pre-clinical studies.</w:t>
      </w:r>
    </w:p>
    <w:p>
      <w:pPr>
        <w:spacing w:after="0" w:line="43"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other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 business operations as may be required by national, state or local authorities, or that we determine are in the best interests of our employees and shareholders.</w:t>
      </w:r>
    </w:p>
    <w:p>
      <w:pPr>
        <w:spacing w:after="0" w:line="102"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As a result of the COVID-19 pandemic and policy responses to it, in April and May 2020 we initially observed a decrease in both patient screening and patient enrollment in certain of our ongoing clinical trials. Patient screening and the number of patients eligible for enrollment in our clinical trials has since returned to expected levels. However, some of our development programs have been delayed. Together with our investigators and clinical sites, we continue to assess the impact of the coronavirus pandemic on enrollment and the ability to maintain patients enrolled in our clinical trials and the corresponding impact on the timing of the completion of our ongoing clinical trials. We have experienced, or may in the future experience, disruptions as a result of COVID-19 or future pandemics that severely impact our business, clinical trials and pre-clinical studies, including:</w:t>
      </w:r>
    </w:p>
    <w:p>
      <w:pPr>
        <w:spacing w:after="0" w:line="37" w:lineRule="exact"/>
        <w:rPr>
          <w:sz w:val="20"/>
          <w:szCs w:val="20"/>
          <w:color w:val="auto"/>
        </w:rPr>
      </w:pPr>
    </w:p>
    <w:p>
      <w:pPr>
        <w:ind w:left="2620" w:right="1019" w:hanging="288"/>
        <w:spacing w:after="0" w:line="276" w:lineRule="auto"/>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or difficulties in enrolling patients in our clinical trials, and the consequences of such delays or difficulties, including terminating clinical trials prematurely;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or difficulties in clinical site initiation, including difficulties in recruiting clinical site investigators and clinical site staff;</w:t>
      </w:r>
    </w:p>
    <w:p>
      <w:pPr>
        <w:spacing w:after="0" w:line="87" w:lineRule="exact"/>
        <w:rPr>
          <w:rFonts w:ascii="Arial" w:cs="Arial" w:eastAsia="Arial" w:hAnsi="Arial"/>
          <w:sz w:val="12"/>
          <w:szCs w:val="12"/>
          <w:color w:val="auto"/>
        </w:rPr>
      </w:pPr>
    </w:p>
    <w:p>
      <w:pPr>
        <w:ind w:left="2620" w:right="1219" w:hanging="288"/>
        <w:spacing w:after="0" w:line="276" w:lineRule="auto"/>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or disruptions in non-clinical experiments due to unforeseen circumstances at contract research organizations (“CROs”), and vendors along their supply chain;</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increased rates of patients withdrawing from our clinical trials following enrollment as a result of contracting COVID-19, being forced to quarantine or not accepting home health visits;</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diversion of healthcare resources away from the conduct of clinical trials, including the diversion of hospitals serving as our clinical trial sites and hospital staff supporting the conduct of our clinical trials;</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interruption of key clinical trial activities, such as clinical trial site data monitoring, due to limitations on travel imposed or recommended by federal or state governments, employers and others or</w:t>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72"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76" w:lineRule="auto"/>
        <w:rPr>
          <w:sz w:val="20"/>
          <w:szCs w:val="20"/>
          <w:color w:val="auto"/>
        </w:rPr>
      </w:pPr>
      <w:r>
        <w:rPr>
          <w:rFonts w:ascii="Arial" w:cs="Arial" w:eastAsia="Arial" w:hAnsi="Arial"/>
          <w:sz w:val="12"/>
          <w:szCs w:val="12"/>
          <w:color w:val="auto"/>
        </w:rPr>
        <w:t>interruption of clinical trial subject visits and study procedures (particularly any procedures that may be deemed non-essential), which may impact the integrity of subject data and clinical study endpoints;</w:t>
      </w:r>
    </w:p>
    <w:p>
      <w:pPr>
        <w:spacing w:after="0" w:line="52" w:lineRule="exact"/>
        <w:rPr>
          <w:sz w:val="20"/>
          <w:szCs w:val="20"/>
          <w:color w:val="auto"/>
        </w:rPr>
      </w:pPr>
    </w:p>
    <w:p>
      <w:pPr>
        <w:ind w:left="2620" w:right="919" w:hanging="288"/>
        <w:spacing w:after="0" w:line="276" w:lineRule="auto"/>
        <w:tabs>
          <w:tab w:leader="none" w:pos="2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interruption or delays in the operations of the FDA and comparable non-U.S. regulatory agencies, which may impact review and approval timelines;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interruption of, or delays in receiving, supplies of our product candidates from our contract manufacturing organizations due to staffing shortages, production slowdowns or stoppages and disruptions in delivery systems;</w:t>
      </w:r>
    </w:p>
    <w:p>
      <w:pPr>
        <w:spacing w:after="0" w:line="51"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 increased reliance on working from home or mass transit disruptions;</w:t>
      </w:r>
    </w:p>
    <w:p>
      <w:pPr>
        <w:spacing w:after="0" w:line="59"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other disruptions to our business generally, including from the transition to remote working for the majority of our employees and the implementation of new health and safety requirements for our employees;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waiver or suspension of patent or other intellectual property rights.</w:t>
      </w:r>
    </w:p>
    <w:p>
      <w:pPr>
        <w:spacing w:after="0" w:line="150"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These and other factors arising from the COVID-19 pandemic, including risks relating to the emergence of the delta variant and other new variants, the efficacy and availability of vaccines and rates of vaccination, the pandemic worsening in countries that are already afflicted with COVID-19 or the COVID-19 pandemic continuing to spread to additional countries or returning to countries where the pandemic has been partially contained, could further adversely impact our ability to conduct clinical trials and our business generally, and could have a material adverse impact on our operations and financial condition and results.</w:t>
      </w:r>
    </w:p>
    <w:p>
      <w:pPr>
        <w:spacing w:after="0" w:line="12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We are continuing to monitor potential delays or other impacts on our business, our clinical trials, healthcare systems and the global economy as a whole. These effects could have a material impact on our business, operations and financial results.</w:t>
      </w:r>
    </w:p>
    <w:p>
      <w:pPr>
        <w:spacing w:after="0" w:line="115"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successful in our efforts to acquire, in-license or discover new product candidates.</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success of our business is highly dependent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underutilized or undervalued. Our strategy often entails designing low-cost studies that result in quick “go/no-go” decisions when deciding whether or how to proceed with future development for a given asset, once acquired. We may decide to proceed with the development of a drug candidate on this basis and later determine that the more costly and time intensive trials do not support the initial value the product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19"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drug discovery efforts are centered on our targeted protein degradation platform and our computational discovery technology. As a company we have relatively limited experience in drug discovery generally, with</w:t>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72"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379" w:lineRule="auto"/>
        <w:rPr>
          <w:sz w:val="20"/>
          <w:szCs w:val="20"/>
          <w:color w:val="auto"/>
        </w:rPr>
      </w:pPr>
      <w:r>
        <w:rPr>
          <w:rFonts w:ascii="Arial" w:cs="Arial" w:eastAsia="Arial" w:hAnsi="Arial"/>
          <w:sz w:val="10"/>
          <w:szCs w:val="10"/>
          <w:color w:val="auto"/>
        </w:rPr>
        <w:t>targeted protein degradation as an approach to target inhibition and with computational discovery as a technology. Our future success depends, in part, on our ability to successfully use targeted protein degradation and computational discovery technology to identify promising new product candidates.</w:t>
      </w:r>
    </w:p>
    <w:p>
      <w:pPr>
        <w:spacing w:after="0" w:line="69"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Very few small molecule product candidates using targeted protein degradation, such as the product candidates which may be generated by our targeted protein degradation platform, have been tested in humans and none has been approved in the United States or Europe. The data underlying the feasibility of developing therapeutic products based on protein degradation technology is both preliminary and limited. We have not yet succeeded and may not succeed in advancing any product candidates developed using our targeted protein degradation platform into clinical trials, demonstrating the efficacy and safety of such product candidates or obtain marketing approval thereafter. As a result, it is difficult to predict the time and cost of protein degrader product candidate development and we cannot predict whether the application of our targeted protein degradation platform will result in the development and marketing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19"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Any such failure to in-license or acquire new product candidates from third parties, or to discover new product candidates using our targeted protein degradation or computational discovery platforms would have a material adverse effect on our business, financial condition, results of operations and prospects.</w:t>
      </w:r>
    </w:p>
    <w:p>
      <w:pPr>
        <w:spacing w:after="0" w:line="194" w:lineRule="exact"/>
        <w:rPr>
          <w:sz w:val="20"/>
          <w:szCs w:val="20"/>
          <w:color w:val="auto"/>
        </w:rPr>
      </w:pPr>
    </w:p>
    <w:p>
      <w:pPr>
        <w:ind w:left="1980" w:right="1239"/>
        <w:spacing w:after="0" w:line="340" w:lineRule="auto"/>
        <w:rPr>
          <w:sz w:val="20"/>
          <w:szCs w:val="20"/>
          <w:color w:val="auto"/>
        </w:rPr>
      </w:pPr>
      <w:r>
        <w:rPr>
          <w:rFonts w:ascii="Arial" w:cs="Arial" w:eastAsia="Arial" w:hAnsi="Arial"/>
          <w:sz w:val="10"/>
          <w:szCs w:val="10"/>
          <w:b w:val="1"/>
          <w:bCs w:val="1"/>
          <w:i w:val="1"/>
          <w:iCs w:val="1"/>
          <w:color w:val="auto"/>
        </w:rPr>
        <w:t>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w:t>
      </w:r>
    </w:p>
    <w:p>
      <w:pPr>
        <w:spacing w:after="0" w:line="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We have limited financial and management resources. As a result, we may forego or delay pursuit of opportunities with potential target indications or product candidates that later prove to have greater commercial potential than our current and planned development programs and product candidates. Our resource allocation decisions may cause us to fail to capitalize on viable commercial product candidates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be required to relinquish valuable rights to that product candidate through collaboration, licensing or other royalty arrangements in cases in which it would have been more advantageous for us to retain sole development and commercialization rights to such future product candidates.</w:t>
      </w:r>
    </w:p>
    <w:p>
      <w:pPr>
        <w:spacing w:after="0" w:line="10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72"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spacing w:after="0" w:line="259" w:lineRule="auto"/>
        <w:rPr>
          <w:sz w:val="20"/>
          <w:szCs w:val="20"/>
          <w:color w:val="auto"/>
        </w:rPr>
      </w:pPr>
      <w:r>
        <w:rPr>
          <w:rFonts w:ascii="Arial" w:cs="Arial" w:eastAsia="Arial" w:hAnsi="Arial"/>
          <w:sz w:val="12"/>
          <w:szCs w:val="12"/>
          <w:color w:val="auto"/>
        </w:rPr>
        <w:t>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face risks associated with the Vant structure.</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We develop our product candidates in the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Operating the Vants independently, rather than under a centralized, consolidated management team, may result in increased costs at the Vants, as certain functions or processes, including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significant delays to the development programs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18"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In addition, a single or limited number of the Vants may, now or in the future, comprise a large proportion of our value. Similarly, a large proportion of our consolidated revenues may in the future be derived from one or a small number of Vants. Any adverse development at those Vants, including the termination of a key license agreement or other loss of the intellectual property underlying a product candidate or the failure of a clinical trial for a product candidate under development at the Vant, could have a material adverse effect on our consolidated business, financial condition, results of operations or prospects.</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business may suffer reputational harm due to failures of our product candidates.</w:t>
      </w:r>
    </w:p>
    <w:p>
      <w:pPr>
        <w:spacing w:after="0" w:line="78"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The failure of any of our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72"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face risks associated with potential future payments related to our product candidates.</w:t>
      </w:r>
    </w:p>
    <w:p>
      <w:pPr>
        <w:spacing w:after="0" w:line="7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Our model for asset in-licensing transactions typically involves a low upfront payment combined with milestone and royalty payments contingent upon the achievement of certain future development and commercial events. These arrangements generally involve a payment or payments upon certain regulatory milestones, including regulatory approval, and then upon achieving specified levels of sales, with ongoing royalty payments which can extend for up to the life of a product. These payments may become due before a product is generating revenues, in which case we may not have sufficient funds available to meet our obligations. If this were to occur, we would default on our payment obligations and could face penalties, delays in development or reputational damage. Even if a product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investment strategy and future growth relies on a number of assumptions, some or all which may not be realized.</w:t>
      </w:r>
    </w:p>
    <w:p>
      <w:pPr>
        <w:spacing w:after="0" w:line="78" w:lineRule="exact"/>
        <w:rPr>
          <w:sz w:val="20"/>
          <w:szCs w:val="20"/>
          <w:color w:val="auto"/>
        </w:rPr>
      </w:pPr>
    </w:p>
    <w:p>
      <w:pPr>
        <w:ind w:left="1980" w:right="999" w:firstLine="294"/>
        <w:spacing w:after="0" w:line="320" w:lineRule="auto"/>
        <w:rPr>
          <w:sz w:val="20"/>
          <w:szCs w:val="20"/>
          <w:color w:val="auto"/>
        </w:rPr>
      </w:pPr>
      <w:r>
        <w:rPr>
          <w:rFonts w:ascii="Arial" w:cs="Arial" w:eastAsia="Arial" w:hAnsi="Arial"/>
          <w:sz w:val="10"/>
          <w:szCs w:val="10"/>
          <w:color w:val="auto"/>
        </w:rPr>
        <w:t>Our investment strategy and plans for future growth rely on a number of assumptions, including, in the case of our biopharmaceutical product candidates, assumptions related to adoption of a particular therapy, incidence of an indication, use of a product candidate versus competitor therapies and size of patient populations. Some or all of these assumptions may be incorrect. We cannot accurately predict whether our product candidates will achieve significant market acceptance in line with these assumptions or whether there will be a market for our product candidates that reaches that which is anticipated. If any of these assumptions are incorrect or overstated, our results and future prospects will be materially and adversely affected.</w:t>
      </w:r>
    </w:p>
    <w:p>
      <w:pPr>
        <w:spacing w:after="0" w:line="169"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If we enter into acquisitions or strategic partnerships, this may increase our capital requirements, dilute our shareholders, cause us to incur debt or assume contingent liabilities and subject us to other risks.</w:t>
      </w:r>
    </w:p>
    <w:p>
      <w:pPr>
        <w:spacing w:after="0" w:line="43" w:lineRule="exact"/>
        <w:rPr>
          <w:sz w:val="20"/>
          <w:szCs w:val="20"/>
          <w:color w:val="auto"/>
        </w:rPr>
      </w:pPr>
    </w:p>
    <w:p>
      <w:pPr>
        <w:ind w:left="1980" w:right="1359" w:firstLine="294"/>
        <w:spacing w:after="0" w:line="379" w:lineRule="auto"/>
        <w:rPr>
          <w:sz w:val="20"/>
          <w:szCs w:val="20"/>
          <w:color w:val="auto"/>
        </w:rPr>
      </w:pPr>
      <w:r>
        <w:rPr>
          <w:rFonts w:ascii="Arial" w:cs="Arial" w:eastAsia="Arial" w:hAnsi="Arial"/>
          <w:sz w:val="10"/>
          <w:szCs w:val="10"/>
          <w:color w:val="auto"/>
        </w:rPr>
        <w:t>We may engage in various acquisitions and strategic partnerships in the future, including licensing or acquiring new product candidates, intellectual property rights, technologies or businesses. Any acquisition or strategic partnership may entail numerous risks, including:</w:t>
      </w:r>
    </w:p>
    <w:p>
      <w:pPr>
        <w:spacing w:after="0" w:line="6" w:lineRule="exact"/>
        <w:rPr>
          <w:sz w:val="20"/>
          <w:szCs w:val="20"/>
          <w:color w:val="auto"/>
        </w:rPr>
      </w:pPr>
    </w:p>
    <w:p>
      <w:pPr>
        <w:ind w:left="2620" w:hanging="360"/>
        <w:spacing w:after="0"/>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increased operating expenses and cash requirements;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assumption of indebtedness or contingent liabilities;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issuance of our or our subsidiaries’ equity securities which would result in dilution to our shareholders;</w:t>
      </w:r>
    </w:p>
    <w:p>
      <w:pPr>
        <w:spacing w:after="0" w:line="87" w:lineRule="exact"/>
        <w:rPr>
          <w:rFonts w:ascii="Arial" w:cs="Arial" w:eastAsia="Arial" w:hAnsi="Arial"/>
          <w:sz w:val="12"/>
          <w:szCs w:val="12"/>
          <w:color w:val="auto"/>
        </w:rPr>
      </w:pPr>
    </w:p>
    <w:p>
      <w:pPr>
        <w:ind w:left="2620" w:right="899" w:hanging="360"/>
        <w:spacing w:after="0" w:line="276" w:lineRule="auto"/>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assimilation of operations, intellectual property, products and product candidates of an acquired company, including difficulties associated with integrating new personnel;</w:t>
      </w:r>
    </w:p>
    <w:p>
      <w:pPr>
        <w:spacing w:after="0" w:line="51"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diversion of our management’s attention from our existing product programs and initiatives in pursuing such an acquisition or strategic partnership;</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retention of key employees, the loss of key personnel and uncertainties in our ability to maintain key business relationships;</w:t>
      </w:r>
    </w:p>
    <w:p>
      <w:pPr>
        <w:spacing w:after="0" w:line="87" w:lineRule="exact"/>
        <w:rPr>
          <w:rFonts w:ascii="Arial" w:cs="Arial" w:eastAsia="Arial" w:hAnsi="Arial"/>
          <w:sz w:val="12"/>
          <w:szCs w:val="12"/>
          <w:color w:val="auto"/>
        </w:rPr>
      </w:pPr>
    </w:p>
    <w:p>
      <w:pPr>
        <w:ind w:left="2620" w:right="859" w:hanging="360"/>
        <w:spacing w:after="0" w:line="276" w:lineRule="auto"/>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risks and uncertainties associated with the other party to such a transaction, including the prospects of that party and their existing products or product candidates, intellectual property, and regulatory approvals; and</w:t>
      </w:r>
    </w:p>
    <w:p>
      <w:pPr>
        <w:spacing w:after="0" w:line="51" w:lineRule="exact"/>
        <w:rPr>
          <w:rFonts w:ascii="Arial" w:cs="Arial" w:eastAsia="Arial" w:hAnsi="Arial"/>
          <w:sz w:val="12"/>
          <w:szCs w:val="12"/>
          <w:color w:val="auto"/>
        </w:rPr>
      </w:pPr>
    </w:p>
    <w:p>
      <w:pPr>
        <w:ind w:left="2620" w:right="959" w:hanging="360"/>
        <w:spacing w:after="0" w:line="276" w:lineRule="auto"/>
        <w:tabs>
          <w:tab w:leader="none" w:pos="26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inability to generate revenue from acquired intellectual property, technology and/or products sufficient to meet our objectives or even to offset the associated transaction and maintenance costs.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72"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87" w:lineRule="exact"/>
        <w:rPr>
          <w:sz w:val="20"/>
          <w:szCs w:val="20"/>
          <w:color w:val="auto"/>
        </w:rPr>
      </w:pPr>
    </w:p>
    <w:p>
      <w:pPr>
        <w:ind w:left="1980" w:right="1459"/>
        <w:spacing w:after="0" w:line="323" w:lineRule="auto"/>
        <w:rPr>
          <w:sz w:val="20"/>
          <w:szCs w:val="20"/>
          <w:color w:val="auto"/>
        </w:rPr>
      </w:pPr>
      <w:r>
        <w:rPr>
          <w:rFonts w:ascii="Arial" w:cs="Arial" w:eastAsia="Arial" w:hAnsi="Arial"/>
          <w:sz w:val="11"/>
          <w:szCs w:val="11"/>
          <w:b w:val="1"/>
          <w:bCs w:val="1"/>
          <w:i w:val="1"/>
          <w:iCs w:val="1"/>
          <w:color w:val="auto"/>
        </w:rPr>
        <w:t>We face risks associated with our ongoing strategic alliance with Sumitomo Dainippon Pharma Co., Ltd. (“Sumitomo”), as well as other acquisitions, partnerships, alliances or strategic transactions we may undertake in the future.</w:t>
      </w:r>
    </w:p>
    <w:p>
      <w:pPr>
        <w:spacing w:after="0" w:line="20"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December 2019, we and Sumitomo completed various transactions in connection with the formation of a strategic alliance between the companies, including (i) Sumitomo indirectly acquiring from us our controlling equity interests in five affiliates, (ii) our granting Sumitomo options to purchase, subject to certain exceptions, our existing equity interests in six other privately-held affiliates of ours, (iii) our granting Sumitomo access to key elements of our proprietary technology platforms and (iv) issuing our Common Shares to Sumitomo. In exchange, Sumitomo made a $3.0 billion upfront cash payment to us upon the closing of the transactions.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face a number of risks in connection with our transactions with Sumitomo, including, but not limited to:</w:t>
      </w:r>
    </w:p>
    <w:p>
      <w:pPr>
        <w:spacing w:after="0" w:line="87" w:lineRule="exact"/>
        <w:rPr>
          <w:sz w:val="20"/>
          <w:szCs w:val="20"/>
          <w:color w:val="auto"/>
        </w:rPr>
      </w:pPr>
    </w:p>
    <w:p>
      <w:pPr>
        <w:ind w:left="2620" w:hanging="360"/>
        <w:spacing w:after="0"/>
        <w:tabs>
          <w:tab w:leader="none" w:pos="2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diversion of management time and focus away from operating our business;</w:t>
      </w:r>
    </w:p>
    <w:p>
      <w:pPr>
        <w:spacing w:after="0" w:line="87" w:lineRule="exact"/>
        <w:rPr>
          <w:rFonts w:ascii="Arial" w:cs="Arial" w:eastAsia="Arial" w:hAnsi="Arial"/>
          <w:sz w:val="12"/>
          <w:szCs w:val="12"/>
          <w:color w:val="auto"/>
        </w:rPr>
      </w:pPr>
    </w:p>
    <w:p>
      <w:pPr>
        <w:ind w:left="2620" w:right="1179" w:hanging="360"/>
        <w:spacing w:after="0" w:line="276" w:lineRule="auto"/>
        <w:tabs>
          <w:tab w:leader="none" w:pos="2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reliance on certain employees of the alliance with Sumitomo who will continue to provide key services for us, including information technology services;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changes in relationships with strategic partners as a result of product acquisitions or strategic positioning resulting from these transactions;</w:t>
      </w:r>
    </w:p>
    <w:p>
      <w:pPr>
        <w:spacing w:after="0" w:line="109" w:lineRule="exact"/>
        <w:rPr>
          <w:rFonts w:ascii="Arial" w:cs="Arial" w:eastAsia="Arial" w:hAnsi="Arial"/>
          <w:sz w:val="10"/>
          <w:szCs w:val="10"/>
          <w:color w:val="auto"/>
        </w:rPr>
      </w:pPr>
    </w:p>
    <w:p>
      <w:pPr>
        <w:ind w:left="2620" w:right="899" w:hanging="360"/>
        <w:spacing w:after="0" w:line="252" w:lineRule="auto"/>
        <w:tabs>
          <w:tab w:leader="none" w:pos="26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risks arising from technological and data platforms shared between us and the alliance with Sumitomo, such as DrugOme</w:t>
      </w:r>
      <w:r>
        <w:rPr>
          <w:rFonts w:ascii="Arial" w:cs="Arial" w:eastAsia="Arial" w:hAnsi="Arial"/>
          <w:sz w:val="15"/>
          <w:szCs w:val="15"/>
          <w:color w:val="auto"/>
          <w:vertAlign w:val="superscript"/>
        </w:rPr>
        <w:t>®</w:t>
      </w:r>
      <w:r>
        <w:rPr>
          <w:rFonts w:ascii="Arial" w:cs="Arial" w:eastAsia="Arial" w:hAnsi="Arial"/>
          <w:sz w:val="11"/>
          <w:szCs w:val="11"/>
          <w:color w:val="auto"/>
        </w:rPr>
        <w:t>, including data or other security breaches at Sumitomo or its affiliates that could, in turn, impact us, or disputes over ownership of intellectual property between us and the alliance with Sumitomo, which could impact our access to those platforms;</w:t>
      </w:r>
    </w:p>
    <w:p>
      <w:pPr>
        <w:spacing w:after="0" w:line="66" w:lineRule="exact"/>
        <w:rPr>
          <w:rFonts w:ascii="Arial" w:cs="Arial" w:eastAsia="Arial" w:hAnsi="Arial"/>
          <w:sz w:val="11"/>
          <w:szCs w:val="11"/>
          <w:color w:val="auto"/>
        </w:rPr>
      </w:pPr>
    </w:p>
    <w:p>
      <w:pPr>
        <w:ind w:left="2620" w:hanging="360"/>
        <w:spacing w:after="0"/>
        <w:tabs>
          <w:tab w:leader="none" w:pos="2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non-competition obligations arising from the formation of the alliance with Sumitomo;</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coordination of research and development efforts;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litigation or other claims, including claims from terminated employees, customers, former shareholders or other third parties.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We may also face similar risks in connection with any other mergers, acquisitions, divestitures or strategic alliances that we have undertaken in the past or may undertake in the future, including our acquisition of Oncopia Therapeutics, which closed in November 2020, and of Silicon Therapeutics, which closed in March 2021. If we acquire businesses with promising technologies, we may not be able to realize the benefits of acquiring such businesses, including any anticipated synergies between the acquired business and our existing business, if we are unable to successfully integrate them with our existing operations, technology and company culture.</w:t>
      </w:r>
    </w:p>
    <w:p>
      <w:pPr>
        <w:spacing w:after="0" w:line="128"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addition, any such mergers, acquisitions, divestitures or strategic alliances may be complex, time 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24"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If any acquisitions or other transactions are not completed for any reason, we may incur significant costs and the market price of our Common Shares may decline. In addition, even if an acquisition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 integrating</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72"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drugs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13"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Our failure to address these risks or other problems encountered in connection with the strategic alliance with Sumitomo, or other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pacing w:after="0" w:line="20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obtain a controlling interest in additional companies in the future, it could adversely affect our operating results and the value of our Common Shares, thereby disrupting our business.</w:t>
      </w:r>
    </w:p>
    <w:p>
      <w:pPr>
        <w:spacing w:after="0" w:line="4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52" w:lineRule="exact"/>
        <w:rPr>
          <w:sz w:val="20"/>
          <w:szCs w:val="20"/>
          <w:color w:val="auto"/>
        </w:rPr>
      </w:pPr>
    </w:p>
    <w:p>
      <w:pPr>
        <w:ind w:left="2620" w:hanging="360"/>
        <w:spacing w:after="0"/>
        <w:tabs>
          <w:tab w:leader="none" w:pos="26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conducting research and development activities in new therapeutic areas or treatment approaches in which we have little to no experience;</w:t>
      </w:r>
    </w:p>
    <w:p>
      <w:pPr>
        <w:spacing w:after="0" w:line="110" w:lineRule="exact"/>
        <w:rPr>
          <w:rFonts w:ascii="Arial" w:cs="Arial" w:eastAsia="Arial" w:hAnsi="Arial"/>
          <w:sz w:val="10"/>
          <w:szCs w:val="10"/>
          <w:color w:val="auto"/>
        </w:rPr>
      </w:pPr>
    </w:p>
    <w:p>
      <w:pPr>
        <w:ind w:left="2620" w:hanging="360"/>
        <w:spacing w:after="0"/>
        <w:tabs>
          <w:tab w:leader="none" w:pos="2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diversion of financial and managerial resources from existing operations;</w:t>
      </w:r>
    </w:p>
    <w:p>
      <w:pPr>
        <w:spacing w:after="0" w:line="87"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actual or potential conflicts among new and existing Vants to the extent they have overlapping or competing areas of focus or pipeline products;</w:t>
      </w:r>
    </w:p>
    <w:p>
      <w:pPr>
        <w:spacing w:after="0" w:line="51" w:lineRule="exact"/>
        <w:rPr>
          <w:rFonts w:ascii="Arial" w:cs="Arial" w:eastAsia="Arial" w:hAnsi="Arial"/>
          <w:sz w:val="12"/>
          <w:szCs w:val="12"/>
          <w:color w:val="auto"/>
        </w:rPr>
      </w:pPr>
    </w:p>
    <w:p>
      <w:pPr>
        <w:ind w:left="2620" w:right="1139" w:hanging="360"/>
        <w:spacing w:after="0" w:line="276" w:lineRule="auto"/>
        <w:tabs>
          <w:tab w:leader="none" w:pos="2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successfully negotiating a proposed acquisition, in-license or investment in a timely manner and at a price or on terms and conditions favorable to us;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successfully combining and integrating a potential acquisition into our existing business to fully realize the benefits of such acquisition;</w:t>
      </w:r>
    </w:p>
    <w:p>
      <w:pPr>
        <w:spacing w:after="0" w:line="98" w:lineRule="exact"/>
        <w:rPr>
          <w:rFonts w:ascii="Arial" w:cs="Arial" w:eastAsia="Arial" w:hAnsi="Arial"/>
          <w:sz w:val="11"/>
          <w:szCs w:val="11"/>
          <w:color w:val="auto"/>
        </w:rPr>
      </w:pPr>
    </w:p>
    <w:p>
      <w:pPr>
        <w:ind w:left="2620" w:hanging="360"/>
        <w:spacing w:after="0"/>
        <w:tabs>
          <w:tab w:leader="none" w:pos="2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impact of regulatory reviews on a proposed acquisition, in-license or investment;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outcome of any legal proceedings that may be instituted with respect to the proposed acquisition, in-license or investment.</w:t>
      </w:r>
    </w:p>
    <w:p>
      <w:pPr>
        <w:spacing w:after="0" w:line="150"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177" w:lineRule="exact"/>
        <w:rPr>
          <w:sz w:val="20"/>
          <w:szCs w:val="20"/>
          <w:color w:val="auto"/>
        </w:rPr>
      </w:pPr>
    </w:p>
    <w:p>
      <w:pPr>
        <w:ind w:left="1980" w:right="1439"/>
        <w:spacing w:after="0" w:line="276" w:lineRule="auto"/>
        <w:rPr>
          <w:sz w:val="20"/>
          <w:szCs w:val="20"/>
          <w:color w:val="auto"/>
        </w:rPr>
      </w:pPr>
      <w:r>
        <w:rPr>
          <w:rFonts w:ascii="Arial" w:cs="Arial" w:eastAsia="Arial" w:hAnsi="Arial"/>
          <w:sz w:val="12"/>
          <w:szCs w:val="12"/>
          <w:b w:val="1"/>
          <w:bCs w:val="1"/>
          <w:i w:val="1"/>
          <w:iCs w:val="1"/>
          <w:color w:val="auto"/>
        </w:rPr>
        <w:t>We will require additional capital to fund our operations, and if we fail to obtain necessary financing, we may not be able to complete the development and commercialization of our product candidates.</w:t>
      </w:r>
    </w:p>
    <w:p>
      <w:pPr>
        <w:spacing w:after="0" w:line="43"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expect to spend substantial capital to complete the development of, seek regulatory approvals for and commercialize our biopharmaceutical product candidates, as well as to advance the development of our healthcare technologies. Because the length of time and activities associated with successful development of our biopharmaceutical product candidates is highly uncertain, and due to the inherent challenges and uncertainties associated with the development of novel healthcare technologies, we are unable to estimate with certainty the actual funds we will require to execute on our strategy.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159"/>
          </w:cols>
          <w:pgMar w:left="300" w:top="372"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Our future funding requirements, both near- and long-term, will depend on many factors, including, but not limited to:</w:t>
      </w:r>
    </w:p>
    <w:p>
      <w:pPr>
        <w:spacing w:after="0" w:line="87" w:lineRule="exact"/>
        <w:rPr>
          <w:sz w:val="20"/>
          <w:szCs w:val="20"/>
          <w:color w:val="auto"/>
        </w:rPr>
      </w:pPr>
    </w:p>
    <w:p>
      <w:pPr>
        <w:ind w:left="2620" w:hanging="360"/>
        <w:spacing w:after="0"/>
        <w:tabs>
          <w:tab w:leader="none" w:pos="26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with respect to our biopharmaceutical product candidates: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 and timing of newly launched product candidates or Vants;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initiation, timing, progress, costs and results of pre-clinical studies and clinical trials for our product candidates;</w:t>
      </w:r>
    </w:p>
    <w:p>
      <w:pPr>
        <w:spacing w:after="0" w:line="87" w:lineRule="exact"/>
        <w:rPr>
          <w:rFonts w:ascii="Arial" w:cs="Arial" w:eastAsia="Arial" w:hAnsi="Arial"/>
          <w:sz w:val="12"/>
          <w:szCs w:val="12"/>
          <w:color w:val="auto"/>
        </w:rPr>
      </w:pPr>
    </w:p>
    <w:p>
      <w:pPr>
        <w:ind w:left="2920" w:right="919" w:hanging="291"/>
        <w:spacing w:after="0" w:line="276" w:lineRule="auto"/>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outcome, timing and cost of meeting regulatory requirements established by the FDA and other comparable non-U.S. regulatory authorities globally;</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 of filing, prosecuting, defending and enforcing our patent claims and other intellectual property rights;</w:t>
      </w:r>
    </w:p>
    <w:p>
      <w:pPr>
        <w:spacing w:after="0" w:line="87" w:lineRule="exact"/>
        <w:rPr>
          <w:rFonts w:ascii="Arial" w:cs="Arial" w:eastAsia="Arial" w:hAnsi="Arial"/>
          <w:sz w:val="12"/>
          <w:szCs w:val="12"/>
          <w:color w:val="auto"/>
        </w:rPr>
      </w:pPr>
    </w:p>
    <w:p>
      <w:pPr>
        <w:ind w:left="2920" w:right="979" w:hanging="291"/>
        <w:spacing w:after="0" w:line="276" w:lineRule="auto"/>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 of defending potential intellectual property disputes, including patent infringement actions brought by third parties against us or any of our current or future product candidates;</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 and timing of completion of pre-clinical, clinical and commercial manufacturing activities;</w:t>
      </w:r>
    </w:p>
    <w:p>
      <w:pPr>
        <w:spacing w:after="0" w:line="87" w:lineRule="exact"/>
        <w:rPr>
          <w:rFonts w:ascii="Arial" w:cs="Arial" w:eastAsia="Arial" w:hAnsi="Arial"/>
          <w:sz w:val="12"/>
          <w:szCs w:val="12"/>
          <w:color w:val="auto"/>
        </w:rPr>
      </w:pPr>
    </w:p>
    <w:p>
      <w:pPr>
        <w:ind w:left="2920" w:right="1199" w:hanging="291"/>
        <w:spacing w:after="0" w:line="276" w:lineRule="auto"/>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 of establishing sales, marketing and distribution capabilities for our product candidates in regions where we choose to commercialize our product candidates on our own;</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1"/>
          <w:szCs w:val="11"/>
          <w:color w:val="auto"/>
        </w:rPr>
      </w:pPr>
      <w:r>
        <w:rPr>
          <w:rFonts w:ascii="Arial" w:cs="Arial" w:eastAsia="Arial" w:hAnsi="Arial"/>
          <w:sz w:val="11"/>
          <w:szCs w:val="11"/>
          <w:color w:val="auto"/>
        </w:rPr>
        <w:t>the initiation, progress, timing and results of our commercialization of our product candidate, if approved for commercial sale; and</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other costs associated with preparing the commercial launch of our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our healthcare and drug discovery technologies: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costs related to hiring and retaining employees with the expertise necessary to manage these technologies;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investments in wet labs, computational resources and other facilities; and</w:t>
      </w:r>
    </w:p>
    <w:p>
      <w:pPr>
        <w:spacing w:after="0" w:line="87" w:lineRule="exact"/>
        <w:rPr>
          <w:rFonts w:ascii="Arial" w:cs="Arial" w:eastAsia="Arial" w:hAnsi="Arial"/>
          <w:sz w:val="12"/>
          <w:szCs w:val="12"/>
          <w:color w:val="auto"/>
        </w:rPr>
      </w:pPr>
    </w:p>
    <w:p>
      <w:pPr>
        <w:ind w:left="2920" w:right="919" w:hanging="291"/>
        <w:spacing w:after="0" w:line="276" w:lineRule="auto"/>
        <w:tabs>
          <w:tab w:leader="none" w:pos="29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the costs needed to update, maintain and improve these technologies and the infrastructure underlying these technologies, including with respect to data protection and cybersecurity.</w:t>
      </w:r>
    </w:p>
    <w:p>
      <w:pPr>
        <w:spacing w:after="0" w:line="115"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We cannot be certain that additional capital will be available on acceptable terms, or at all. If we are unable to raise additional capital in sufficient amounts or on terms acceptable to us, we may have to significantly delay, scale back or discontinue the development or commercialization of any product candidate, delay the launch or expansion of a given healthcare technology product or potentially discontinue our operations altogether.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product development programs and technology products.</w:t>
      </w:r>
    </w:p>
    <w:p>
      <w:pPr>
        <w:spacing w:after="0" w:line="113"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expect that significant additional capital will be needed in the future to continue our planned operations, including with respect to fulfilling our and the Vants’ human resources needs, which may be costly. Until such time, if ever, that we can generate substantial revenues, we expect to continue to finance our cash needs through a combination of equity offerings, debt financings, strategic alliances and license and development agreements or other collaborations both at our parent and at certain affiliates. To the extent that we raise additional capital by issuing equity securities at the parent or subsidiary level, our existing shareholders’ ownership, or our ownership in our subsidiaries,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If we raise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372"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additional funds through collaborations, strategic alliances or marketing, distribution or licensing arrangements with third parties, we may have to relinquish valuable rights to our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 If we are unable to obtain adequate financing or financing on terms satisfactory to us, if and when we require it, our ability to grow or support our business and to respond to business challenges could be significantly limited.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Risks Related to the Development of Our Product Candidates</w:t>
      </w:r>
    </w:p>
    <w:p>
      <w:pPr>
        <w:spacing w:after="0" w:line="78"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Our biopharmaceutical product candidates are in clinical development or pre-clinical studies and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for the conduct of a clinical trial in the EU or UK may be submitted. We cannot provide you any assurance that we will submit an IND, NDA or other similar application for regulatory approval for our product candidates within projected timeframes or whether any such application will be approved by the relevant regulatory authorities.</w:t>
      </w:r>
    </w:p>
    <w:p>
      <w:pPr>
        <w:spacing w:after="0" w:line="113"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or similar application. The FDA, the European Medicines Agency (“EMA”) or the European Commission or other relevant regulatory authority may also find that the benefits of any product candidate in any applicable indication do not outweigh its risks in a manner sufficient to grant regulatory approval.</w:t>
      </w:r>
    </w:p>
    <w:p>
      <w:pPr>
        <w:spacing w:after="0" w:line="113"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marketing authorization application should such data originate from studies outside of the relevant jurisdiction or be affected by regulatory non-compliance, including issues of data integrity. In each case, this could delay the clinical development and authorization timeline for a given product candidate.</w:t>
      </w:r>
    </w:p>
    <w:p>
      <w:pPr>
        <w:spacing w:after="0" w:line="128"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Failures can occur at any stage of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Further, product candidates in later stages of clinical trials may fail to show the desired safety and efficacy traits despite having progressed through nonclinical studies and initial clinical trials, and such product candidates may exhibit safety signals in later stage clinical trials that they did not exhibit in pre-clinical or early-stage clinical trials. A number of companies in the biopharmaceutical industry have suffered significant setbacks in, or the discontinuation of, advanced clinical trials due to lack of efficacy or adverse safety profiles, notwithstanding promising results in earlier trials or studies. Likewise, the results of early clinical trials or pre-clinical studies of our product candidates may not be predictive of the results of planned development programs, and there can be no assurance that the results of studies conducted by collaborators or other third parties will be viewed favorably or are indicative of our own future trial results.</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159"/>
          </w:cols>
          <w:pgMar w:left="300" w:top="372"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commencement and completion of pre-clinical studies and clinical trials may be delayed by several factors, including:</w:t>
      </w:r>
    </w:p>
    <w:p>
      <w:pPr>
        <w:spacing w:after="0" w:line="87" w:lineRule="exact"/>
        <w:rPr>
          <w:sz w:val="20"/>
          <w:szCs w:val="20"/>
          <w:color w:val="auto"/>
        </w:rPr>
      </w:pPr>
    </w:p>
    <w:p>
      <w:pPr>
        <w:ind w:left="2620" w:right="107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obtain regulatory authorization to commence a trial or reaching consensus with regulatory authorities regarding the design or implementation of our studies;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unforeseen safety issues, or subjects experience severe or unexpected adverse events;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occurrence of serious adverse events in trials of the same class of agents conducted by other sponsors;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lack of effectiveness during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resolving any dosing issues, including those raised by the FDA or other regulatory authorities;</w:t>
      </w:r>
    </w:p>
    <w:p>
      <w:pPr>
        <w:spacing w:after="0" w:line="87" w:lineRule="exact"/>
        <w:rPr>
          <w:rFonts w:ascii="Arial" w:cs="Arial" w:eastAsia="Arial" w:hAnsi="Arial"/>
          <w:sz w:val="12"/>
          <w:szCs w:val="12"/>
          <w:color w:val="auto"/>
        </w:rPr>
      </w:pPr>
    </w:p>
    <w:p>
      <w:pPr>
        <w:ind w:left="2620" w:right="121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slower than expected rates of patient recruitment or failure to recruit suitable patients to participate in a trial;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add a sufficient number of clinical trial sites;</w:t>
      </w:r>
    </w:p>
    <w:p>
      <w:pPr>
        <w:spacing w:after="0" w:line="87"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unanticipated impact from changes in or modifications to protocols or clinical trial design, including those that may be required by the FDA or other regulatory authorities;</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or unwillingness of clinical investigators or study participants to follow our clinical and other applicable protocols or applicable regulatory requirements;</w:t>
      </w:r>
    </w:p>
    <w:p>
      <w:pPr>
        <w:spacing w:after="0" w:line="51" w:lineRule="exact"/>
        <w:rPr>
          <w:rFonts w:ascii="Arial" w:cs="Arial" w:eastAsia="Arial" w:hAnsi="Arial"/>
          <w:sz w:val="12"/>
          <w:szCs w:val="12"/>
          <w:color w:val="auto"/>
        </w:rPr>
      </w:pPr>
    </w:p>
    <w:p>
      <w:pPr>
        <w:ind w:left="2620" w:right="1219" w:hanging="288"/>
        <w:spacing w:after="0" w:line="276" w:lineRule="auto"/>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 IRB or EC refusing to approve, suspending, or terminating the trial at an investigational site, precluding enrollment of additional subjects, or withdrawing their approval of the trial;</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premature discontinuation of study participants from clinical trials or missing data;</w:t>
      </w:r>
    </w:p>
    <w:p>
      <w:pPr>
        <w:spacing w:after="0" w:line="87" w:lineRule="exact"/>
        <w:rPr>
          <w:rFonts w:ascii="Arial" w:cs="Arial" w:eastAsia="Arial" w:hAnsi="Arial"/>
          <w:sz w:val="12"/>
          <w:szCs w:val="12"/>
          <w:color w:val="auto"/>
        </w:rPr>
      </w:pPr>
    </w:p>
    <w:p>
      <w:pPr>
        <w:ind w:left="2620" w:right="879" w:hanging="288"/>
        <w:spacing w:after="0" w:line="323" w:lineRule="auto"/>
        <w:tabs>
          <w:tab w:leader="none" w:pos="26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failure to manufacture or release sufficient quantities of our product candidate or failure to obtain sufficient quantities of active comparator medications for our clinical trials, if applicable, that in each case meet our quality standards, for use in clinical trials;</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to monitor patients adequately during or after treatment;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inappropriate unblinding of trial results.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disruptions caused by the COVID-19 pandemic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are failing to conduct a trial in accordance with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pacing w:after="0" w:line="130"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72"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15"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authority, as the case may be, and may ultimately lead to the denial of marketing approval of any of our product candidates.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In addition, for our product candidates in clinical development, prior to our acquisition of the rights to those product candidates we had no involvement with or control over the pre-clinical or clinical development of those product candidates. We are therefore dependent on our licensing and other transaction partners having conducted such research and development in accordance with the applicable protocol and legal, regulatory and scientific standards, having accurately reported the results of all clinical trials and other research they conducted prior to our acquisition of the rights to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 candidates. Problems associated with the pre-acquisition development of our product candidates could result in increased costs and delays in the development of our product candidates, which could harm our ability to generate any future revenue from sales of product candidates, if approved.</w:t>
      </w:r>
    </w:p>
    <w:p>
      <w:pPr>
        <w:spacing w:after="0" w:line="187" w:lineRule="exact"/>
        <w:rPr>
          <w:sz w:val="20"/>
          <w:szCs w:val="20"/>
          <w:color w:val="auto"/>
        </w:rPr>
      </w:pPr>
    </w:p>
    <w:p>
      <w:pPr>
        <w:ind w:left="1980" w:right="959"/>
        <w:spacing w:after="0" w:line="375" w:lineRule="auto"/>
        <w:rPr>
          <w:sz w:val="20"/>
          <w:szCs w:val="20"/>
          <w:color w:val="auto"/>
        </w:rPr>
      </w:pPr>
      <w:r>
        <w:rPr>
          <w:rFonts w:ascii="Arial" w:cs="Arial" w:eastAsia="Arial" w:hAnsi="Arial"/>
          <w:sz w:val="10"/>
          <w:szCs w:val="10"/>
          <w:b w:val="1"/>
          <w:bCs w:val="1"/>
          <w:i w:val="1"/>
          <w:iCs w:val="1"/>
          <w:color w:val="auto"/>
        </w:rPr>
        <w:t>Our approach to the discovery and development of product candidates from our targeted protein degradation platform is unproven, which makes it difficult to predict the time, cost of development and likelihood of successfully developing any product candidates from this platform.</w:t>
      </w:r>
    </w:p>
    <w:p>
      <w:pPr>
        <w:spacing w:after="0" w:line="1" w:lineRule="exact"/>
        <w:rPr>
          <w:sz w:val="20"/>
          <w:szCs w:val="20"/>
          <w:color w:val="auto"/>
        </w:rPr>
      </w:pPr>
    </w:p>
    <w:p>
      <w:pPr>
        <w:ind w:left="1980" w:right="979" w:firstLine="294"/>
        <w:spacing w:after="0" w:line="320" w:lineRule="auto"/>
        <w:rPr>
          <w:sz w:val="20"/>
          <w:szCs w:val="20"/>
          <w:color w:val="auto"/>
        </w:rPr>
      </w:pPr>
      <w:r>
        <w:rPr>
          <w:rFonts w:ascii="Arial" w:cs="Arial" w:eastAsia="Arial" w:hAnsi="Arial"/>
          <w:sz w:val="10"/>
          <w:szCs w:val="10"/>
          <w:color w:val="auto"/>
        </w:rPr>
        <w:t>Treating diseases using targeted protein degradation is a new treatment approach. Our future success depends in part on the successful development of this novel therapeutic approach. Very few small molecule product candidates using targeted protein degradation have been tested in humans. None have been approved in the United States or Europe, and the data underlying the feasibility of developing these types of therapeutic products is both preliminary and limited. If any adverse learnings are made by other developers of chimeric targeting molecules, development of these product candidates could be materially impacted, which could in turn adversely impact our financial condition and future growth.</w:t>
      </w:r>
    </w:p>
    <w:p>
      <w:pPr>
        <w:spacing w:after="0" w:line="97"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The scientific research that forms the basis of our efforts to develop our degrader product candidates is ongoing and the scientific evidence to support the feasibility of developing these treatments is both preliminary and limited. In addition, we may be unable to replicate the scientific evidence supporting our protein degrader candidates observed by our academic collaborators in commercial laboratories.</w:t>
      </w:r>
    </w:p>
    <w:p>
      <w:pPr>
        <w:spacing w:after="0" w:line="10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Further, certain cancer patients have shown inherent primary resistance to approved drugs that inhibit disease-causing proteins and other patients have developed acquired secondary resistance to these inhibitors.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72"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22"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We have not yet completed IND-enabling work for, or initiated a clinical trial of, any product candidate associated with our targeted protein degradation platform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128"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Additionally, the regulatory approval process for novel product candidates such as those associated with our targeted protein degradation platform is uncertain and can be more expensive and take longer than for other, better-known or extensively studied classes of product candidates. Although other companies are also developing therapeutics based on targeted protein degradation, no product candidates of this type have been approved in the United States or Europe. As a result, it is difficult for us to predict the time and cost of developing our product candidates and we cannot predict whether any of these product candidates will receive marketing approval or achieve commercial acceptance. Any development problems we experience in the future related to our targeted protein degradation platform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176" w:lineRule="exact"/>
        <w:rPr>
          <w:sz w:val="20"/>
          <w:szCs w:val="20"/>
          <w:color w:val="auto"/>
        </w:rPr>
      </w:pPr>
    </w:p>
    <w:p>
      <w:pPr>
        <w:jc w:val="both"/>
        <w:ind w:left="1980" w:right="1199"/>
        <w:spacing w:after="0" w:line="375" w:lineRule="auto"/>
        <w:rPr>
          <w:sz w:val="20"/>
          <w:szCs w:val="20"/>
          <w:color w:val="auto"/>
        </w:rPr>
      </w:pPr>
      <w:r>
        <w:rPr>
          <w:rFonts w:ascii="Arial" w:cs="Arial" w:eastAsia="Arial" w:hAnsi="Arial"/>
          <w:sz w:val="10"/>
          <w:szCs w:val="10"/>
          <w:b w:val="1"/>
          <w:bCs w:val="1"/>
          <w:i w:val="1"/>
          <w:iCs w:val="1"/>
          <w:color w:val="auto"/>
        </w:rPr>
        <w:t>Certain of our product candidates, including our gene therapy product candidates, are novel, complex and difficult to manufacture. We could experience manufacturing problems that result in delays in our development or commercialization programs or otherwise harm our business.</w:t>
      </w:r>
    </w:p>
    <w:p>
      <w:pPr>
        <w:spacing w:after="0" w:line="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manufacturing processes our contract manufacturing organizations (“CMOs”) use to produce our product candidates are complex, novel and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2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Our gene therapy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or other applicable standards or specifications with consistent and acceptable production yields and costs.</w:t>
      </w:r>
    </w:p>
    <w:p>
      <w:pPr>
        <w:spacing w:after="0" w:line="10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the FDA, the EMA and other comparable regulatory authorities may require us to submit samples of any lot of any approved product together with the protocols showing the results of applicable tests at any time. Under some circumstances, the FDA, the EMA or other comparable regulatory authorities may require that we not distribute a lot until the agency authorizes its release. Slight deviations in the manufacturing process, including those affecting quality attributes and stability, may</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72"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79" w:lineRule="auto"/>
        <w:rPr>
          <w:sz w:val="20"/>
          <w:szCs w:val="20"/>
          <w:color w:val="auto"/>
        </w:rPr>
      </w:pPr>
      <w:r>
        <w:rPr>
          <w:rFonts w:ascii="Arial" w:cs="Arial" w:eastAsia="Arial" w:hAnsi="Arial"/>
          <w:sz w:val="10"/>
          <w:szCs w:val="10"/>
          <w:color w:val="auto"/>
        </w:rPr>
        <w:t>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69"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spacing w:after="0" w:line="185"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encounter difficulties enrolling and retaining patients in clinical trials, and clinical development activities could thereby be delayed or otherwise adversely affected.</w:t>
      </w:r>
    </w:p>
    <w:p>
      <w:pPr>
        <w:spacing w:after="0" w:line="43" w:lineRule="exact"/>
        <w:rPr>
          <w:sz w:val="20"/>
          <w:szCs w:val="20"/>
          <w:color w:val="auto"/>
        </w:rPr>
      </w:pPr>
    </w:p>
    <w:p>
      <w:pPr>
        <w:jc w:val="both"/>
        <w:ind w:left="1980" w:right="839" w:firstLine="294"/>
        <w:spacing w:after="0" w:line="259" w:lineRule="auto"/>
        <w:rPr>
          <w:sz w:val="20"/>
          <w:szCs w:val="20"/>
          <w:color w:val="auto"/>
        </w:rPr>
      </w:pPr>
      <w:r>
        <w:rPr>
          <w:rFonts w:ascii="Arial" w:cs="Arial" w:eastAsia="Arial" w:hAnsi="Arial"/>
          <w:sz w:val="12"/>
          <w:szCs w:val="12"/>
          <w:color w:val="auto"/>
        </w:rPr>
        <w:t>We may encounter delays or difficulties in enrolling, or be unable to enroll, a sufficient number of patients to complete any of our clinical trials for our product candidates on current timelines, or at all, and even once enrolled we may be unable to retain a sufficient number of patients to complete any of our clinical trials for these product candidates. Enrollment in our clinical trials may also be slower than we anticipate, or be stopped, leading to delays in the development timelines for our product candidates.</w:t>
      </w:r>
    </w:p>
    <w:p>
      <w:pPr>
        <w:spacing w:after="0" w:line="124"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Patient enrollment and retention in clinical trials depends on many factors, including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our ability to successfully complete prerequisite studies before enrolling certain patient populations. For certain of our product candidates, including IMVT-1401, which targets certain rare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17"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Furthermore, any negative results or new safety signals we may report in clinical trials of our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IMVT-1401 globally due to elevated total cholesterol and low-density lipoprotein (“LDL”) levels observed in some patients treated with IMVT-1401, resulting in a delay in Immunovant’s development of IMVT-1401. In future trials of IMVT-1401,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72"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The results of our clinical trials may not support our proposed claims for our product candidates, or regulatory approvals on a timely basis or at all, and the results of earlier studies and trials may not be predictive of future trial results.</w:t>
      </w:r>
    </w:p>
    <w:p>
      <w:pPr>
        <w:spacing w:after="0" w:line="43"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Success in pre-clinical testing and early clinical trials does not ensure that later clinical trials will be successful, and we cannot be sure that the results of later clinical trials will replicate the results of prior pre-clinical testing and clinical trials. In particular, we cannot assure you that the reductions in IgG antibodies that we have observed to date in our clinical trials of IMVT-1401 will be observed in any future clinical trials. Likewise, promising results in interim analyses or other preliminary analyses do not ensure that the clinical trial as a whole will be successful. A number of companies in the pharmaceutical industry, including biotechnology companies, have suffered significant setbacks in, or the discontinuation of,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In February 2021, our subsidiary, Immunovant, voluntarily paused dosing in its clinical trials for IMVT-1401 globally due to elevated total cholesterol and LDL levels observed in patients treated with IMVT-1401, resulting in a delay in Immunovant’s development of IMVT-1401. Immunovant is progressing discussions with the FDA and is planning to progress discussions with other regulatory authorities, with the intent to continue development of IMVT-1401. While the ASCEND GO-2 trial was terminated and the efficacy results, based on approximately half the anticipated number of subjects who had reached the week 13 primary efficacy analysis at the time of the termination of the trial, were inconclusive, further discussions with external experts are ongoing to determine whether a specific population can be identified to optimize the clinical performance of IMVT-1401. Based on these analyses, Immunovant intends to initiate discussions with regulatory authorities before the end of the calendar year 2021 and reinstate its program in Thyroid Eye Disease based on regulatory alignment. Failure to successfully complete clinical trials of IMVT-1401 and to demonstrate the efficacy and safety necessary to obtain regulatory approval to market IMVT-1401 would significantly harm our business.</w:t>
      </w:r>
    </w:p>
    <w:p>
      <w:pPr>
        <w:spacing w:after="0" w:line="121"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A future failure of a clinical trial to meet its pre-specified endpoints would likely cause us to abandon our product candidates. Any delay in, or termination of, our clinical trials will delay the submission of an NDA or other similar applications to the FDA or other relevant comparable non-U.S. regulatory authorities and, ultimately, our ability to commercialize our product candidates, if approved, and generate product revenues. Even if our clinical trials are completed as planned, we cannot be certain that their results will support our claims for differentiation or the effectiveness or safety of our product candidates. The FDA has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201" w:lineRule="exact"/>
        <w:rPr>
          <w:sz w:val="20"/>
          <w:szCs w:val="20"/>
          <w:color w:val="auto"/>
        </w:rPr>
      </w:pPr>
    </w:p>
    <w:p>
      <w:pPr>
        <w:ind w:left="1980" w:right="839"/>
        <w:spacing w:after="0" w:line="323" w:lineRule="auto"/>
        <w:rPr>
          <w:sz w:val="20"/>
          <w:szCs w:val="20"/>
          <w:color w:val="auto"/>
        </w:rPr>
      </w:pPr>
      <w:r>
        <w:rPr>
          <w:rFonts w:ascii="Arial" w:cs="Arial" w:eastAsia="Arial" w:hAnsi="Arial"/>
          <w:sz w:val="11"/>
          <w:szCs w:val="11"/>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From time to time, we may publicly disclose preliminary or top-line data from our clinical trials, which is based on a preliminary analysis of then-available top-line data, and the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72"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subject to audit and verification procedures that may result in the final data being materially different from the top-line data we previously published.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128"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product candidates, our business, operating results, prospects or financial condition may be harmed.</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Changes in methods of product manufacturing or formulation may result in additional costs or delay.</w:t>
      </w:r>
    </w:p>
    <w:p>
      <w:pPr>
        <w:spacing w:after="0" w:line="78"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As product candidates proceed through pre-clinical studies to pivotal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 candidates to perform differently and affect the results of planned clinical trials or other future clinical trials conducted with the altered materials. Such changes may also require additional testing, FDA notification or FDA approval. Similar requirements apply in other jurisdictions.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revenues.</w:t>
      </w:r>
    </w:p>
    <w:p>
      <w:pPr>
        <w:spacing w:after="0" w:line="187"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4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that clinical trial sites meet applicable protocol and regulatory requirements, and our reliance on the CROs does not relieve us of our regulatory responsibilities.</w:t>
      </w:r>
    </w:p>
    <w:p>
      <w:pPr>
        <w:spacing w:after="0" w:line="113" w:lineRule="exact"/>
        <w:rPr>
          <w:sz w:val="20"/>
          <w:szCs w:val="20"/>
          <w:color w:val="auto"/>
        </w:rPr>
      </w:pPr>
    </w:p>
    <w:p>
      <w:pPr>
        <w:ind w:left="1980" w:right="1119" w:firstLine="294"/>
        <w:spacing w:after="0" w:line="255" w:lineRule="auto"/>
        <w:rPr>
          <w:sz w:val="20"/>
          <w:szCs w:val="20"/>
          <w:color w:val="auto"/>
        </w:rPr>
      </w:pPr>
      <w:r>
        <w:rPr>
          <w:rFonts w:ascii="Arial" w:cs="Arial" w:eastAsia="Arial" w:hAnsi="Arial"/>
          <w:sz w:val="12"/>
          <w:szCs w:val="12"/>
          <w:color w:val="auto"/>
        </w:rPr>
        <w:t>We and our CROs will be required to comply with the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72"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each of our GLP nonclinical studies and GCP clinical trials is conducted in accordance with its investigational plan and protocol and applicable laws and regulations, and our expected reliance on the CROs does not relieve us of our regulatory responsibilities. If we or our CROs fail to comply with GCPs, the clinical data generated in our clinical trials may be deemed unreliable and the FDA or comparable non-U.S. regulatory authorities may reject our marketing applications and require us to perform additional clinical trials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15"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revenues could be delayed.</w:t>
      </w:r>
    </w:p>
    <w:p>
      <w:pPr>
        <w:spacing w:after="0" w:line="119"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200"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do not have our own manufacturing capabilities and will rely on third parties to produce clinical supplies and commercial supplies of our product candidates and any future product candidate.</w:t>
      </w:r>
    </w:p>
    <w:p>
      <w:pPr>
        <w:spacing w:after="0" w:line="43"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We do not own or operate, and do not expect to own or operate, facilities for product manufacturing, storage and distribution, or testing. We will rely on third parties to produce clinical and commercial supplies of our product candidates and any future product candidate.</w:t>
      </w:r>
    </w:p>
    <w:p>
      <w:pPr>
        <w:spacing w:after="0" w:line="92" w:lineRule="exact"/>
        <w:rPr>
          <w:sz w:val="20"/>
          <w:szCs w:val="20"/>
          <w:color w:val="auto"/>
        </w:rPr>
      </w:pPr>
    </w:p>
    <w:p>
      <w:pPr>
        <w:ind w:left="1980" w:right="919" w:firstLine="294"/>
        <w:spacing w:after="0" w:line="253" w:lineRule="auto"/>
        <w:rPr>
          <w:sz w:val="20"/>
          <w:szCs w:val="20"/>
          <w:color w:val="auto"/>
        </w:rPr>
      </w:pPr>
      <w:r>
        <w:rPr>
          <w:rFonts w:ascii="Arial" w:cs="Arial" w:eastAsia="Arial" w:hAnsi="Arial"/>
          <w:sz w:val="12"/>
          <w:szCs w:val="12"/>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 candidates or any future product candidates are adversely impacted by supply chain constraints, our supply chain may be disrupted, limiting our ability to manufacture product candidates for our pre-clinical studies, clinical trials, research and development operations and commercialization.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 If our manufacturers or we are unable to purchase these raw materials after regulatory approval has been</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72"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obtained for our product candidates, the commercial launch of our product candidates would be delayed or there would be a shortage in supply, which would impair our ability to generate revenue from the sale of our product candidates. Moreover, as a result of projected supply constraints for certain materials used in the production of our product candidates, we have in the past and may in the future reserve manufacturing capacity in advance of receiving required efficacy or safety results from our clinical trials, which may involves committing substantial financial resources to current or future potential product candidates that may never be approved or achieve commercialization at scale or at all. In addition, legislative, executive and regulatory proposals are pending to, among other things, prevent drug shortages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facilities used by our contract manufacturers to manufacture our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drug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 candidates or if they withdraw any such approval in the future, we may need to find alternative manufacturing facilities, which would significantly impact our ability to develop, obtain regulatory approval for or market our product candidates, if approved.</w:t>
      </w:r>
    </w:p>
    <w:p>
      <w:pPr>
        <w:spacing w:after="0" w:line="119"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Further, our reliance on third-party manufacturers entails risks to which we would not be subject if we manufactured product candidates ourselves, including:</w:t>
      </w:r>
    </w:p>
    <w:p>
      <w:pPr>
        <w:spacing w:after="0" w:line="52"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inability to meet our product specifications and quality requirements consistently;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 or inability to procure or expand sufficient manufacturing capacity;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manufacturing and product quality issues related to scale-up of manufacturing;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costs and validation of new equipment and facilities required for scale-up;</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comply with applicable laws, regulations and standards, including cGMP and similar standards;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deficient or improper record-keeping;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inability to negotiate manufacturing agreements with third parties under commercially reasonable terms;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termination or nonrenewal of manufacturing agreements with third parties in a manner or at a time that is costly or damaging to us;</w:t>
      </w:r>
    </w:p>
    <w:p>
      <w:pPr>
        <w:spacing w:after="0" w:line="98" w:lineRule="exact"/>
        <w:rPr>
          <w:rFonts w:ascii="Arial" w:cs="Arial" w:eastAsia="Arial" w:hAnsi="Arial"/>
          <w:sz w:val="11"/>
          <w:szCs w:val="11"/>
          <w:color w:val="auto"/>
        </w:rPr>
      </w:pPr>
    </w:p>
    <w:p>
      <w:pPr>
        <w:ind w:left="2620" w:right="97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lack of qualified backup suppliers for those components that are currently purchased from a sole or single source supplier;</w:t>
      </w:r>
    </w:p>
    <w:p>
      <w:pPr>
        <w:spacing w:after="0" w:line="87"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72"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carrier disruptions or increased costs that are beyond our control;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failure to deliver our product candidates under specified storage conditions and in a timely manner.</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Any of these events could lead to clinical trial delays, cost overruns, delay or failure to obtain regulatory approval or impact our ability to successfully commercialize our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19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4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All entities involved in the preparation of product candidates for clinical trials or commercial sale, including our existing CMOs for all of our product candidates, are subject to extensive regulation. Components of a finished therapeutic product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Our failure, or the failure of third-party manufacturers, to comply with applicable regulations could result in the issuance of inspectional observations on FDA’s Form-483, Warning or Untitled Letters, similar communications/objections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 candidates or marketed drugs, operating restrictions and criminal prosecutions, any of which could significantly and adversely affect clinical or commercial supplies of our product candidates.</w:t>
      </w:r>
    </w:p>
    <w:p>
      <w:pPr>
        <w:spacing w:after="0" w:line="11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119"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28" w:lineRule="exact"/>
        <w:rPr>
          <w:sz w:val="20"/>
          <w:szCs w:val="20"/>
          <w:color w:val="auto"/>
        </w:rPr>
      </w:pPr>
    </w:p>
    <w:p>
      <w:pPr>
        <w:ind w:left="1980" w:right="1359" w:firstLine="294"/>
        <w:spacing w:after="0" w:line="276" w:lineRule="auto"/>
        <w:rPr>
          <w:sz w:val="20"/>
          <w:szCs w:val="20"/>
          <w:color w:val="auto"/>
        </w:rPr>
      </w:pPr>
      <w:r>
        <w:rPr>
          <w:rFonts w:ascii="Arial" w:cs="Arial" w:eastAsia="Arial" w:hAnsi="Arial"/>
          <w:sz w:val="12"/>
          <w:szCs w:val="12"/>
          <w:color w:val="auto"/>
        </w:rPr>
        <w:t>Additionally, if supply from one approved manufacturer is interrupted, an alternative manufacturer would need to be qualified through a supplemental NDA or similar regulatory filing, which could result in further delay.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72"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The regulatory agencies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20" w:lineRule="exact"/>
        <w:rPr>
          <w:sz w:val="20"/>
          <w:szCs w:val="20"/>
          <w:color w:val="auto"/>
        </w:rPr>
      </w:pPr>
    </w:p>
    <w:p>
      <w:pPr>
        <w:ind w:left="1980" w:right="1059" w:firstLine="294"/>
        <w:spacing w:after="0" w:line="259" w:lineRule="auto"/>
        <w:rPr>
          <w:sz w:val="20"/>
          <w:szCs w:val="20"/>
          <w:color w:val="auto"/>
        </w:rPr>
      </w:pPr>
      <w:r>
        <w:rPr>
          <w:rFonts w:ascii="Arial" w:cs="Arial" w:eastAsia="Arial" w:hAnsi="Arial"/>
          <w:sz w:val="12"/>
          <w:szCs w:val="12"/>
          <w:color w:val="auto"/>
        </w:rPr>
        <w:t>These factors could cause us to incur higher costs and could cause the delay or termination of clinical trials,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96" w:lineRule="exact"/>
        <w:rPr>
          <w:sz w:val="20"/>
          <w:szCs w:val="20"/>
          <w:color w:val="auto"/>
        </w:rPr>
      </w:pPr>
    </w:p>
    <w:p>
      <w:pPr>
        <w:ind w:left="1980" w:right="1039"/>
        <w:spacing w:after="0" w:line="340" w:lineRule="auto"/>
        <w:rPr>
          <w:sz w:val="20"/>
          <w:szCs w:val="20"/>
          <w:color w:val="auto"/>
        </w:rPr>
      </w:pPr>
      <w:r>
        <w:rPr>
          <w:rFonts w:ascii="Arial" w:cs="Arial" w:eastAsia="Arial" w:hAnsi="Arial"/>
          <w:sz w:val="10"/>
          <w:szCs w:val="10"/>
          <w:b w:val="1"/>
          <w:bCs w:val="1"/>
          <w:i w:val="1"/>
          <w:iCs w:val="1"/>
          <w:color w:val="auto"/>
        </w:rPr>
        <w:t>If malignancies arise in patients treated with our gene therapy product candidates, including ARU-1801, under development at Aruvant Sciences (“Aruvant”) or if there are other safety events that require us to halt or delay clinical development of ARU-1801 or other gene therapies, the development of those therapies would be delayed and the commercial potential of those therapies would be materially and negatively impacted.</w:t>
      </w:r>
    </w:p>
    <w:p>
      <w:pPr>
        <w:spacing w:after="0" w:line="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A potentially significant risk in any gene therapy product candidate using viral vectors is that the vector will insert in or near cancer-causing oncogenes leading to uncontrolled clonal proliferation of mature cancer cells in the patient, known as insertional oncogenesis, which can lead to certain forms of cancer. In early 2021, a company developing a gene therapy for the treatment of sickle cell disease announced that one of its patients has developed acute myelogenous leukemia following treatment. While Aruvant has not experienced any similar safety events to date, any such events arising in patients treated with ARU-1801 could result in delays to the clinical development timeline, the suspension of clinical development altogether or, following approval by the FDA and/or other relevant regulatory authorities, if received, the product being removed from the market or its market opportunity being significantly reduced. In addition, the sickle cell disease population has an elevated underlying risk of malignancy. As a result, if patients treated with ARU-1801 develop a malignancy, it may be difficult for us to determine the underlying cause of the malignancy and the link, if any, to ARU-1801, potentially causing further delays to our clinical development timeline. Any of the foregoing issues arising in relation to ARU-1801 or other gene therapy product candidates could lead to adverse publicity and have a material adverse effect on our business and the price of our Common Shares.</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Risks Related to Regulatory Approval and Commercialization of Our Product Candidates</w:t>
      </w:r>
    </w:p>
    <w:p>
      <w:pPr>
        <w:spacing w:after="0" w:line="78"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 candidates, our business will be substantially harmed.</w:t>
      </w:r>
    </w:p>
    <w:p>
      <w:pPr>
        <w:spacing w:after="0" w:line="50" w:lineRule="exact"/>
        <w:rPr>
          <w:sz w:val="20"/>
          <w:szCs w:val="20"/>
          <w:color w:val="auto"/>
        </w:rPr>
      </w:pPr>
    </w:p>
    <w:p>
      <w:pPr>
        <w:ind w:left="1980" w:right="899" w:firstLine="294"/>
        <w:spacing w:after="0" w:line="340" w:lineRule="auto"/>
        <w:rPr>
          <w:sz w:val="20"/>
          <w:szCs w:val="20"/>
          <w:color w:val="auto"/>
        </w:rPr>
      </w:pPr>
      <w:r>
        <w:rPr>
          <w:rFonts w:ascii="Arial" w:cs="Arial" w:eastAsia="Arial" w:hAnsi="Arial"/>
          <w:sz w:val="10"/>
          <w:szCs w:val="10"/>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72"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may change during the course of a product candidate’s development and may vary among jurisdictions, which may cause delays in the approval or the decision not to approve an application. To date, we have not obtained regulatory approval for any product candidates, and it is possible that our current product candidates and any other product candidates which we may seek to develop in the future will not ever obtain regulatory approval. We cannot be certain that any of our product candidates will receive regulatory approval or be successfully commercialized even if we receive regulatory approval.</w:t>
      </w:r>
    </w:p>
    <w:p>
      <w:pPr>
        <w:spacing w:after="0" w:line="9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Obtaining marketing approval of a new drug is an extensive, lengthy, expensive and inherently uncertain process and the FDA or other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regulatory authorities may delay, limit or deny approval of a product candidate for many reasons, including:</w:t>
      </w:r>
    </w:p>
    <w:p>
      <w:pPr>
        <w:spacing w:after="0" w:line="78" w:lineRule="exact"/>
        <w:rPr>
          <w:sz w:val="20"/>
          <w:szCs w:val="20"/>
          <w:color w:val="auto"/>
        </w:rPr>
      </w:pPr>
    </w:p>
    <w:p>
      <w:pPr>
        <w:ind w:left="2620" w:right="919" w:hanging="288"/>
        <w:spacing w:after="0" w:line="263"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59"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require additional pre-approval studies or clinical trials, which would increase costs and prolong development timelines;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results of clinical trials may not meet the level of statistical or clinical significance required by the FDA or other relevant regulatory authorities for marketing approval;</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51" w:lineRule="exact"/>
        <w:rPr>
          <w:rFonts w:ascii="Arial" w:cs="Arial" w:eastAsia="Arial" w:hAnsi="Arial"/>
          <w:sz w:val="12"/>
          <w:szCs w:val="12"/>
          <w:color w:val="auto"/>
        </w:rPr>
      </w:pPr>
    </w:p>
    <w:p>
      <w:pPr>
        <w:ind w:left="2620" w:right="121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51"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disagree with an interpretation of data or significance of results from nonclinical, pre-clinical studies or clinical trials or may require additional studies;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not accept data generated at clinical trial sites;</w:t>
      </w:r>
    </w:p>
    <w:p>
      <w:pPr>
        <w:spacing w:after="0" w:line="87" w:lineRule="exact"/>
        <w:rPr>
          <w:rFonts w:ascii="Arial" w:cs="Arial" w:eastAsia="Arial" w:hAnsi="Arial"/>
          <w:sz w:val="12"/>
          <w:szCs w:val="12"/>
          <w:color w:val="auto"/>
        </w:rPr>
      </w:pPr>
    </w:p>
    <w:p>
      <w:pPr>
        <w:ind w:left="2620" w:right="859" w:hanging="288"/>
        <w:spacing w:after="0" w:line="25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authority, as the case may be, require, as a condition of approval, additional nonclinical, pre-clinical studies or clinical trials, limitations on approved labeling or distribution and use restrictions;</w:t>
      </w:r>
    </w:p>
    <w:p>
      <w:pPr>
        <w:spacing w:after="0" w:line="65"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require development of a risk evaluation and mitigation strategy (“REMS”) or its equivalent, as a condition of approval;</w:t>
      </w:r>
    </w:p>
    <w:p>
      <w:pPr>
        <w:spacing w:after="0" w:line="51" w:lineRule="exact"/>
        <w:rPr>
          <w:rFonts w:ascii="Arial" w:cs="Arial" w:eastAsia="Arial" w:hAnsi="Arial"/>
          <w:sz w:val="12"/>
          <w:szCs w:val="12"/>
          <w:color w:val="auto"/>
        </w:rPr>
      </w:pPr>
    </w:p>
    <w:p>
      <w:pPr>
        <w:ind w:left="2620" w:right="127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require additional post-marketing studies and/or patient registries for product candidates;</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find the chemistry, manufacturing and controls data insufficient to support the quality of our product candidate;</w:t>
      </w:r>
    </w:p>
    <w:p>
      <w:pPr>
        <w:spacing w:after="0" w:line="51" w:lineRule="exact"/>
        <w:rPr>
          <w:rFonts w:ascii="Arial" w:cs="Arial" w:eastAsia="Arial" w:hAnsi="Arial"/>
          <w:sz w:val="12"/>
          <w:szCs w:val="12"/>
          <w:color w:val="auto"/>
        </w:rPr>
      </w:pPr>
    </w:p>
    <w:p>
      <w:pPr>
        <w:ind w:left="2620" w:right="123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identify deficiencies in the manufacturing processes or facilities of third-party manufacturers; or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72"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FDA or other relevant regulatory authorities may change their approval policies or adopt new regulations.</w:t>
      </w:r>
    </w:p>
    <w:p>
      <w:pPr>
        <w:spacing w:after="0" w:line="150"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0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Delays in the initiation, conduct or completion of any clinical trial of our product candidates will increase our costs, slow down the product candidate development and approval process and delay or potentially 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185" w:lineRule="exact"/>
        <w:rPr>
          <w:sz w:val="20"/>
          <w:szCs w:val="20"/>
          <w:color w:val="auto"/>
        </w:rPr>
      </w:pPr>
    </w:p>
    <w:p>
      <w:pPr>
        <w:ind w:left="1980" w:right="939"/>
        <w:spacing w:after="0" w:line="323" w:lineRule="auto"/>
        <w:rPr>
          <w:sz w:val="20"/>
          <w:szCs w:val="20"/>
          <w:color w:val="auto"/>
        </w:rPr>
      </w:pPr>
      <w:r>
        <w:rPr>
          <w:rFonts w:ascii="Arial" w:cs="Arial" w:eastAsia="Arial" w:hAnsi="Arial"/>
          <w:sz w:val="11"/>
          <w:szCs w:val="11"/>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2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28"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marketing approval.</w:t>
      </w:r>
    </w:p>
    <w:p>
      <w:pPr>
        <w:spacing w:after="0" w:line="10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72"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b w:val="1"/>
          <w:bCs w:val="1"/>
          <w:i w:val="1"/>
          <w:iCs w:val="1"/>
          <w:color w:val="auto"/>
        </w:rPr>
        <w:t>Our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20"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Adverse events caused by our product candidates could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 trial or result in potential product liability claims. In addition, these side effects may not be appropriately recognized or managed by the treating medical staff. For example, in February 2021, our subsidiary Immunovant voluntarily paused dosing in its ongoing trials for IMVT-1401 globally due to elevated total cholesterol and LDL levels observed in patients treated with IMVT-1401, resulting in a delay in Immunovant’s development of IMVT-1401. Any of these occurrences may harm our business, financial condition and prospects.</w:t>
      </w:r>
    </w:p>
    <w:p>
      <w:pPr>
        <w:spacing w:after="0" w:line="117"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Furthermore, if any of our product candidates are approved and then cause serious or unexpected side effects, a number of potentially significant negative consequences could result, including:</w:t>
      </w:r>
    </w:p>
    <w:p>
      <w:pPr>
        <w:spacing w:after="0" w:line="52" w:lineRule="exact"/>
        <w:rPr>
          <w:sz w:val="20"/>
          <w:szCs w:val="20"/>
          <w:color w:val="auto"/>
        </w:rPr>
      </w:pPr>
    </w:p>
    <w:p>
      <w:pPr>
        <w:ind w:left="2620" w:right="1079" w:hanging="288"/>
        <w:spacing w:after="0" w:line="276"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authorities may require that we recall a product;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additional restrictions being imposed on the marketing or manufacturing processes of product candidates or any components thereof;</w:t>
      </w:r>
    </w:p>
    <w:p>
      <w:pPr>
        <w:spacing w:after="0" w:line="98" w:lineRule="exact"/>
        <w:rPr>
          <w:rFonts w:ascii="Arial" w:cs="Arial" w:eastAsia="Arial" w:hAnsi="Arial"/>
          <w:sz w:val="11"/>
          <w:szCs w:val="11"/>
          <w:color w:val="auto"/>
        </w:rPr>
      </w:pPr>
    </w:p>
    <w:p>
      <w:pPr>
        <w:ind w:left="2620" w:right="839" w:hanging="288"/>
        <w:spacing w:after="0" w:line="276"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51"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required to change the way a product is administered or to conduct additional clinical trials, change the labeling of a product or conduct additional post-marketing studies or surveillance;</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required to repeat pre-clinical studies or clinical trials or terminate programs for a product candidate, even if other studies or trials related to the program are ongoing or have been successfully completed;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patients;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could elect to discontinue the sale of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product candidates may become less competitive;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Any of these events could prevent us from achieving or maintaining market acceptance of the affected product candidate and could substantially increase the costs of commercializing our product candidates and have a negative impact on the price of our Common Shares.</w:t>
      </w:r>
    </w:p>
    <w:p>
      <w:pPr>
        <w:spacing w:after="0" w:line="164"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b w:val="1"/>
          <w:bCs w:val="1"/>
          <w:i w:val="1"/>
          <w:iCs w:val="1"/>
          <w:color w:val="auto"/>
        </w:rPr>
        <w:t>The regulatory approval processes of the FDA and comparable non-U.S. regulatory authorities are lengthy, time consuming and inherently unpredictable, and even if we obtain approval for a product candidate in one country or jurisdiction, we may never obtain approval for or commercialize it in any other jurisdiction, which would limit our ability to realize our full market potential.</w:t>
      </w:r>
    </w:p>
    <w:p>
      <w:pPr>
        <w:spacing w:after="0" w:line="33"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Prior to obtaining approval to commercialize a product candidate in any jurisdiction, we or our collaborators must demonstrate with substantial evidence from well-controlled clinical trials, and to the satisfaction of the FDA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72"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07" w:lineRule="auto"/>
        <w:rPr>
          <w:sz w:val="20"/>
          <w:szCs w:val="20"/>
          <w:color w:val="auto"/>
        </w:rPr>
      </w:pPr>
      <w:r>
        <w:rPr>
          <w:rFonts w:ascii="Arial" w:cs="Arial" w:eastAsia="Arial" w:hAnsi="Arial"/>
          <w:sz w:val="10"/>
          <w:szCs w:val="10"/>
          <w:color w:val="auto"/>
        </w:rPr>
        <w:t>or comparable non-U.S. regulatory agencies,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by the FDA does not ensure approval by regulatory authorities in any other country or jurisdiction outside the United States.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323" w:lineRule="exact"/>
        <w:rPr>
          <w:sz w:val="20"/>
          <w:szCs w:val="20"/>
          <w:color w:val="auto"/>
        </w:rPr>
      </w:pPr>
    </w:p>
    <w:p>
      <w:pPr>
        <w:ind w:left="1980" w:right="1059"/>
        <w:spacing w:after="0" w:line="323" w:lineRule="auto"/>
        <w:rPr>
          <w:sz w:val="20"/>
          <w:szCs w:val="20"/>
          <w:color w:val="auto"/>
        </w:rPr>
      </w:pPr>
      <w:r>
        <w:rPr>
          <w:rFonts w:ascii="Arial" w:cs="Arial" w:eastAsia="Arial" w:hAnsi="Arial"/>
          <w:sz w:val="11"/>
          <w:szCs w:val="11"/>
          <w:b w:val="1"/>
          <w:bCs w:val="1"/>
          <w:i w:val="1"/>
          <w:iCs w:val="1"/>
          <w:color w:val="auto"/>
        </w:rPr>
        <w:t>Our failure to maintain or continuously improve our quality management program could have an adverse effect upon our business, subject us to regulatory actions, cause a loss of patient confidence in us or our products, among other negative consequences.</w:t>
      </w:r>
    </w:p>
    <w:p>
      <w:pPr>
        <w:spacing w:after="0" w:line="2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Quality management plays an essential role in contract manufacturing of drugs or drug products, conducting clinical trials, preventing defects, improving our product candidates and services and assuring the safety and efficacy of our product candidates. Our goal is to maintain a robust quality management program which includes the following broad pillars of quality:</w:t>
      </w:r>
    </w:p>
    <w:p>
      <w:pPr>
        <w:spacing w:after="0" w:line="59" w:lineRule="exact"/>
        <w:rPr>
          <w:sz w:val="20"/>
          <w:szCs w:val="20"/>
          <w:color w:val="auto"/>
        </w:rPr>
      </w:pPr>
    </w:p>
    <w:p>
      <w:pPr>
        <w:ind w:left="2620" w:right="109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monitoring and assuring regulatory compliance for clinical trials, manufacturing and testing of good applicable practice (“GxP”) (e.g., GCP, GLP and GMP regulated)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monitoring and providing oversight of all GxP suppliers (e.g., contract development manufacturing organizations and CROs);</w:t>
      </w:r>
    </w:p>
    <w:p>
      <w:pPr>
        <w:spacing w:after="0" w:line="87"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establishing and maintaining an integrated, robust quality management system for clinical, manufacturing, supply chain and distribution operations;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cultivating a proactive, preventative quality culture and employee and supplier training to ensure quality.</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Our future success depends on our ability to maintain and continuously improve our quality management program. A quality or safety issue may result in adverse inspection reports, warning letters, monetary sanctions, injunction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future products, which may result in difficulty in successfully launching product candidates and the loss of potential future sales, which could have an adverse effect on our business, financial condition, and results of operations.</w:t>
      </w:r>
    </w:p>
    <w:p>
      <w:pPr>
        <w:spacing w:after="0" w:line="185" w:lineRule="exact"/>
        <w:rPr>
          <w:sz w:val="20"/>
          <w:szCs w:val="20"/>
          <w:color w:val="auto"/>
        </w:rPr>
      </w:pPr>
    </w:p>
    <w:p>
      <w:pPr>
        <w:ind w:left="1980" w:right="1199"/>
        <w:spacing w:after="0" w:line="323" w:lineRule="auto"/>
        <w:rPr>
          <w:sz w:val="20"/>
          <w:szCs w:val="20"/>
          <w:color w:val="auto"/>
        </w:rPr>
      </w:pPr>
      <w:r>
        <w:rPr>
          <w:rFonts w:ascii="Arial" w:cs="Arial" w:eastAsia="Arial" w:hAnsi="Arial"/>
          <w:sz w:val="11"/>
          <w:szCs w:val="11"/>
          <w:b w:val="1"/>
          <w:bCs w:val="1"/>
          <w:i w:val="1"/>
          <w:iCs w:val="1"/>
          <w:color w:val="auto"/>
        </w:rPr>
        <w:t>Even if we obtain FDA approval for a product candidate in the United States, we may never obtain approval for or commercialize our product candidates in any other jurisdiction, which would limit our ability to realize the drug candidate’s full market potential.</w:t>
      </w:r>
    </w:p>
    <w:p>
      <w:pPr>
        <w:spacing w:after="0" w:line="2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order to market any products outside of the United States, we must establish and comply with numerous and varying regulatory requirements of other countries regarding safety and effectiveness. Clinical trials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72"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3" w:lineRule="auto"/>
        <w:rPr>
          <w:sz w:val="20"/>
          <w:szCs w:val="20"/>
          <w:color w:val="auto"/>
        </w:rPr>
      </w:pPr>
      <w:r>
        <w:rPr>
          <w:rFonts w:ascii="Arial" w:cs="Arial" w:eastAsia="Arial" w:hAnsi="Arial"/>
          <w:sz w:val="11"/>
          <w:szCs w:val="11"/>
          <w:color w:val="auto"/>
        </w:rPr>
        <w:t>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13"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outside of the United States process may include all of the risks associated with obtaining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187" w:lineRule="exact"/>
        <w:rPr>
          <w:sz w:val="20"/>
          <w:szCs w:val="20"/>
          <w:color w:val="auto"/>
        </w:rPr>
      </w:pPr>
    </w:p>
    <w:p>
      <w:pPr>
        <w:jc w:val="both"/>
        <w:ind w:left="1980" w:right="1219"/>
        <w:spacing w:after="0" w:line="263" w:lineRule="auto"/>
        <w:rPr>
          <w:sz w:val="20"/>
          <w:szCs w:val="20"/>
          <w:color w:val="auto"/>
        </w:rPr>
      </w:pPr>
      <w:r>
        <w:rPr>
          <w:rFonts w:ascii="Arial" w:cs="Arial" w:eastAsia="Arial" w:hAnsi="Arial"/>
          <w:sz w:val="12"/>
          <w:szCs w:val="12"/>
          <w:b w:val="1"/>
          <w:bCs w:val="1"/>
          <w:i w:val="1"/>
          <w:iCs w:val="1"/>
          <w:color w:val="auto"/>
        </w:rPr>
        <w:t>Even if we obtain regulatory approval for our product candidates, we will still face extensive ongoing quality and regulatory obligations and continued regulatory review, which may result in significant additional expense, and our product may face future development and quality or regulatory compliance difficulties.</w:t>
      </w:r>
    </w:p>
    <w:p>
      <w:pPr>
        <w:spacing w:after="0" w:line="50" w:lineRule="exact"/>
        <w:rPr>
          <w:sz w:val="20"/>
          <w:szCs w:val="20"/>
          <w:color w:val="auto"/>
        </w:rPr>
      </w:pPr>
    </w:p>
    <w:p>
      <w:pPr>
        <w:ind w:left="1980" w:right="939" w:firstLine="294"/>
        <w:spacing w:after="0" w:line="308" w:lineRule="auto"/>
        <w:rPr>
          <w:sz w:val="20"/>
          <w:szCs w:val="20"/>
          <w:color w:val="auto"/>
        </w:rPr>
      </w:pPr>
      <w:r>
        <w:rPr>
          <w:rFonts w:ascii="Arial" w:cs="Arial" w:eastAsia="Arial" w:hAnsi="Arial"/>
          <w:sz w:val="10"/>
          <w:szCs w:val="10"/>
          <w:color w:val="auto"/>
        </w:rPr>
        <w:t>Any product candidate for which we obtain marketing approval will be subject to extensive and ongoing regulatory requirements, including for manufacturing processes, post-approval clinical data, labeling, packaging, distribution, adverse event reporting, storage, recordkeeping, traceability, conduct of potential post-market studies and post-market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current cGMP, requirements relating to manufacturing, quality control, quality assurance and corresponding maintenance of records and documents, requirements regarding the distribution of samples to physicians, prior notification/review and/or approval of advertising and promotional materials by the competent authorities, recordkeeping and GCP requirements for any clinical trials that we conduct post-approval. Even if marketing approval of a product candidate is granted, the approval may be subject to limitations on the indicated uses for which the product may be marketed or to the conditions of approval, including any requirement to implement a REMS. If a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which could limit sales of the product.</w:t>
      </w:r>
    </w:p>
    <w:p>
      <w:pPr>
        <w:spacing w:after="0" w:line="249" w:lineRule="exact"/>
        <w:rPr>
          <w:sz w:val="20"/>
          <w:szCs w:val="20"/>
          <w:color w:val="auto"/>
        </w:rPr>
      </w:pPr>
    </w:p>
    <w:p>
      <w:pPr>
        <w:ind w:left="1980" w:right="959" w:firstLine="294"/>
        <w:spacing w:after="0" w:line="278" w:lineRule="auto"/>
        <w:rPr>
          <w:sz w:val="20"/>
          <w:szCs w:val="20"/>
          <w:color w:val="auto"/>
        </w:rPr>
      </w:pPr>
      <w:r>
        <w:rPr>
          <w:rFonts w:ascii="Arial" w:cs="Arial" w:eastAsia="Arial" w:hAnsi="Arial"/>
          <w:sz w:val="11"/>
          <w:szCs w:val="11"/>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or delay, limit or ultimately restrict the commercialization of such product. The FDA and other relevant regulatory authorities closely regulates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 candidates for their approved indications or in a manner which regulators believe to be truthful and non-misleading, we may be subject to enforcement action. Moreover, in the EU we will be prohibited from promoting prescription-only medicinal products to members 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72"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individuals who are not healthcare professionals. Violations of the Federal Food, Drug, and Cosmetic Act in the United States and other comparable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11"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In addition, later discovery of previously unknown adverse events or other problems with our product candidates, manufacturers or manufacturing processes, or failure to comply with regulatory requirements, may negatively impact our business and the price of our Common Shares and may yield various results, including:</w:t>
      </w:r>
    </w:p>
    <w:p>
      <w:pPr>
        <w:spacing w:after="0" w:line="59" w:lineRule="exact"/>
        <w:rPr>
          <w:sz w:val="20"/>
          <w:szCs w:val="20"/>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restrictions on the manufacture such product candidates;</w:t>
      </w:r>
    </w:p>
    <w:p>
      <w:pPr>
        <w:spacing w:after="0" w:line="87"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restrictions on the labeling or marketing of such product candidates, including a “black box” warning or contraindication on the product label or communications containing warnings or other safety information about the product;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restrictions on product distribution or use;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requirements to conduct post-marketing studies or clinical trials, or any regulatory holds on our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requirement of a REMS (or equivalent outside the United States);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Warning or Untitled Letters or similar communications from other relevant regulatory authorities;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withdrawal of the product candidates from the market;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refusal to approve pending applications or supplements to approved applications that we submit;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recall of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fines, restitution or disgorgement of profits or revenues;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suspension, variation or withdrawal of marketing approvals;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refusal to permit the import or export of our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product seizure;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lawsuits, injunctions or the imposition of civil or criminal penalties.</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Non-compliance by us or any current or future collaborator with regulatory requirements, including safety monitoring or pharmacovigilance can also result in significant financial penalties.</w:t>
      </w:r>
    </w:p>
    <w:p>
      <w:pPr>
        <w:spacing w:after="0" w:line="187" w:lineRule="exact"/>
        <w:rPr>
          <w:sz w:val="20"/>
          <w:szCs w:val="20"/>
          <w:color w:val="auto"/>
        </w:rPr>
      </w:pPr>
    </w:p>
    <w:p>
      <w:pPr>
        <w:jc w:val="both"/>
        <w:ind w:left="1980" w:right="859"/>
        <w:spacing w:after="0" w:line="259" w:lineRule="auto"/>
        <w:rPr>
          <w:sz w:val="20"/>
          <w:szCs w:val="20"/>
          <w:color w:val="auto"/>
        </w:rPr>
      </w:pPr>
      <w:r>
        <w:rPr>
          <w:rFonts w:ascii="Arial" w:cs="Arial" w:eastAsia="Arial" w:hAnsi="Arial"/>
          <w:sz w:val="12"/>
          <w:szCs w:val="12"/>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52"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We have sought, or may in the future seek, Breakthrough Therapy Designation, Fast Track Designation, Regenerative Medicine Advanced Therapy Designation or orphan drug designation for certain of our product candidates. ARU-1801, a gene therapy in development by Aruvant for the treatment of sickle cell disease, has received orphan drug designation and rare pediatric disease designation by the FDA, as well as priority review and orphan designation by the EMA. In addition, two gene therapies under development by Sio Gene Therapies, AXO-AAV-GM1, in development for the treatment of GM1 gangliosidosis, and AXO-AAV-GM2, in development for the treatment of GM2 gangliosidosis, also known as Tay-Sachs and Sandhoff diseases, have received rare pediatric disease designation and orphan drug designation (in the case of AXO-AAV-GM1) and rare pediatric disease designation (in the case of AXO-AAV-GM2) from the FDA.</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A breakthrough therapy is defined as a therapy that is intended, alone or in combination with one or more other therapies, to treat a serious or life-threatening disease or condition, and preliminary clinical evidence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72"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19"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we believe that the designation is no longer supported by data from our clinical development program. Fast Track Designation alone does not guarantee qualification for the FDA’s priority review procedures.</w:t>
      </w:r>
    </w:p>
    <w:p>
      <w:pPr>
        <w:spacing w:after="0" w:line="100"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sane drug. The applicable period is seven years in the United States. A similar data exclusivity scheme exists in the EEA, the European Commission, on the basis of a scientific opinion by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designation is granted only if there is no satisfactory method of diagnosis, prevention, or treatment, or, if such a method exists, the medicine must be of significant benefit to those affected by the condition. Orphan designation in the EU entitles a party to financial incentives such as reduction of fees or fee waivers and ten years of market exclusivity following drug or biological product approval. This orphan market exclusivity period prevents the European Commission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72"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28"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24"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2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If we obtain orphan drug exclusivity for a product, that exclusivity may not effectively protect the product from competition because different drugs can be approved for the same condition. Even after an orphan drug is approved, the FDA or the EMA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Upcoming legislative reforms in the EU may result in a reduction of market exclusivity periods for orphan medicinal products and/or imposition of additional requirements for grant of such exclusivity.</w:t>
      </w:r>
    </w:p>
    <w:p>
      <w:pPr>
        <w:spacing w:after="0" w:line="187"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b w:val="1"/>
          <w:bCs w:val="1"/>
          <w:i w:val="1"/>
          <w:iCs w:val="1"/>
          <w:color w:val="auto"/>
        </w:rPr>
        <w:t>Certain of our gene therapy product candidates are based on novel technologies and the regulatory landscape that governs these product candidates we may develop is rigorous, complex, uncertain and subject to change, which makes it difficult to predict the time and cost of developing the product candidates and subsequently obtaining regulatory approval.</w:t>
      </w:r>
    </w:p>
    <w:p>
      <w:pPr>
        <w:spacing w:after="0" w:line="50"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The clinical study requirements of the FDA, the EMA and other regulatory agencies and the criteria these regulators use to determine the safety and efficacy of a product candidate vary substantially according to the type, complexity, novelty and intended use and market of the potential product candidates. The regulatory approval process for novel product candidates such as our gene therapies can be more expensive and take longer than for other, better known or more extensively studied pharmaceutical or other product candidates. Currently, a limited number of gene therapy products have been approved by the FDA, the EMA and the European Commission. Given the few precedents of approved gene therapy products, it is difficult to determine how long it will take or how much it will cost to obtain regulatory approvals for our product candidates in the United States, the EU or other jurisdictions. Approvals by the EMA and the European Commission may not be indicative of what the FDA may require for approval.</w:t>
      </w:r>
    </w:p>
    <w:p>
      <w:pPr>
        <w:spacing w:after="0" w:line="102"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Regulatory requirements governing the development of gene therapy products have changed frequently and may continue to change in the future. The FDA has established the Office of Tissues and Advanced Therapies within the Center for Biologics Evaluation and Research (the “CBER”), to consolidate the review of gene therapy and related products, and to advise the CBER on its review. The FDA can put an IND on clinical hold if the information in an IND is not sufficient to assess the risks in pediatric patients. In addition to FDA oversight and oversight by IRBs, under guidelines promulgated by the National Institutes of Health (“NIH”) gene therapy clinical trials funded by NIH are also subject to review and oversight by an institutional biosafety committee (“IBC”), a local institutional committee that reviews and oversees research utilizing recombinant or synthetic nucleic acid molecules at that institution. Before a clinical study can begin at any institution, that institution’s IRB, and, where applicable, its IBC assesses the safety of the research and identifies any potential risk to public</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72"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Moreover, serious adverse events or developments in clinical trials of gene therapy product candidates conducted by others may cause the FDA or other regulatory bodies to initiate a clinical hold on our clinical trials or otherwise change the requirements for approval of any of our product candidates.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30"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 gene therapies can be more expensive and take longer than for other, better known, or more extensively studied pharmaceutical or other product candidates. In addition, because of the evolving regulatory landscape for novel product candidates such as our gene therapies, there is a heightened risk relating to changes in regulatory requirements, such as the required trial size, the size of safety databases and duration of clinical follow-up required for approval, which could develop in a manner that adversely impacts our business, financial condition and results of operations.</w:t>
      </w:r>
    </w:p>
    <w:p>
      <w:pPr>
        <w:spacing w:after="0" w:line="103"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Further, as we are developing novel potential treatments for diseases in which there is little clinical experience with new endpoints and methodologies, there is heightened risk that the FDA, the EMA or other regulatory bodies may not consider the clinical trial endpoints to provide clinically meaningful results, and the resulting clinical data and results may be more difficult to analyze. The prospectively designed natural history studies with the same endpoints as our corresponding clinical trials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87"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Even if our product candidates receive marketing approval, they may fail to achieve market acceptance by physicians, patients, third-party payors or others in the medical community necessary for commercial success.</w:t>
      </w:r>
    </w:p>
    <w:p>
      <w:pPr>
        <w:spacing w:after="0" w:line="43"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commercial success of our product candidates will depend upon their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for any product candidates we may develop, if approved for commercial sale, will depend on a number of factors, including:</w:t>
      </w:r>
    </w:p>
    <w:p>
      <w:pPr>
        <w:spacing w:after="0" w:line="48" w:lineRule="exact"/>
        <w:rPr>
          <w:sz w:val="20"/>
          <w:szCs w:val="20"/>
          <w:color w:val="auto"/>
        </w:rPr>
      </w:pPr>
    </w:p>
    <w:p>
      <w:pPr>
        <w:ind w:left="2620" w:hanging="288"/>
        <w:spacing w:after="0"/>
        <w:tabs>
          <w:tab w:leader="none" w:pos="26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efficacy and safety of such product candidates as demonstrated in pivotal clinical trials and published in peer-reviewed journals;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potential and perceived advantages compared to alternative treatments, including any similar generic treatments;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ability to offer these products for sale at competitive prices;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ability to offer appropriate patient financial assistance programs, such as commercial insurance co-pay assistance;</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72"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convenience and ease of dosing and administration compared to alternative treatments;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clinical indications for which the product candidate is approved by FDA or comparable non-U.S. regulatory agencies;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product labeling or product insert requirements of the FDA or other comparable non-U.S. regulatory authorities, including any limitations, contraindications or warnings contained in a product’s approved labeling;</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restrictions on how the product is dispensed or distributed;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timing of market introduction of competitive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publicity concerning these products or competing products and treatments;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favorable third-party coverage and sufficient reimbursement;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prevalence and severity of any side effects or AEs.</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19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If approved, our product candidates regulated as biologics may face competition from biosimilars approved through an abbreviated regulatory pathway.</w:t>
      </w:r>
    </w:p>
    <w:p>
      <w:pPr>
        <w:spacing w:after="0" w:line="4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The Patient Protection and Affordable Care Act, as amended by the Health Care and Education Reconciliation Act of 2010 (the “ACA”), includes a subtitle called the Biologics Price Competition and Innovation Act of 2009 (the “BPCIA”), which created an abbreviated approval pathway under section 351(k) of the Public Health Service Act (“PHSA”) for biological products that are biosimilar to or interchangeable with</w:t>
      </w:r>
    </w:p>
    <w:p>
      <w:pPr>
        <w:spacing w:after="0" w:line="1" w:lineRule="exact"/>
        <w:rPr>
          <w:sz w:val="20"/>
          <w:szCs w:val="20"/>
          <w:color w:val="auto"/>
        </w:rPr>
      </w:pPr>
    </w:p>
    <w:p>
      <w:pPr>
        <w:ind w:left="1980" w:right="879"/>
        <w:spacing w:after="0" w:line="275" w:lineRule="auto"/>
        <w:rPr>
          <w:sz w:val="20"/>
          <w:szCs w:val="20"/>
          <w:color w:val="auto"/>
        </w:rPr>
      </w:pPr>
      <w:r>
        <w:rPr>
          <w:rFonts w:ascii="Arial" w:cs="Arial" w:eastAsia="Arial" w:hAnsi="Arial"/>
          <w:sz w:val="11"/>
          <w:szCs w:val="11"/>
          <w:color w:val="auto"/>
        </w:rPr>
        <w:t>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While the full impact of these provisions is unclear at this time,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72"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185"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b w:val="1"/>
          <w:bCs w:val="1"/>
          <w:i w:val="1"/>
          <w:iCs w:val="1"/>
          <w:color w:val="auto"/>
        </w:rPr>
        <w:t>If, in the future, we are unable to establish sales, marketing and distribution capabilities or enter into agreements with third parties to sell, market and distribute any product candidates we may develop, we may not be successful in commercializing those product candidates if and when they are approved.</w:t>
      </w:r>
    </w:p>
    <w:p>
      <w:pPr>
        <w:spacing w:after="0" w:line="50"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We do not currently have any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compliance, managerial and other non-technical capabilities or make arrangements with third parties to perform these services. To achieve commercial success for any product for which we obtain marketing approval, we will need a sales and marketing organization or outsource these functions to third parties. In the future, we may choose to build a focused sales, marketing, and commercial support infrastructure to market and sell our product candidates, if and when they are approved. We may also elect to enter into collaborations or strategic partnerships with third parties to engage in commercialization activities with respect to selected product candidates, indications or geographic territories, including territories outside the United States, although there is no guarantee we will be able to enter into these arrangements even if the intent is to do so.</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Factors that may inhibit our efforts to commercialize any approved product on our own include:</w:t>
      </w:r>
    </w:p>
    <w:p>
      <w:pPr>
        <w:spacing w:after="0" w:line="87" w:lineRule="exact"/>
        <w:rPr>
          <w:sz w:val="20"/>
          <w:szCs w:val="20"/>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to recruit and retain adequate numbers of effective sales, marketing, reimbursement, customer service, medical affairs, and other support personnel;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of sales personnel to obtain access to physicians or persuade adequate numbers of physicians to prescribe any future approved products;</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of reimbursement professionals to negotiate arrangements for formulary access, reimbursement, and other acceptance by payors;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to price products at a sufficient price point to ensure an adequate and attractive level of profitability;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restricted or closed distribution channels that make it difficult to distribute our products to segments of the patient population;</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relative to companies with more extensive product lines;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commercialization organization.</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72"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If we are unable to build our own sales force or negotiate a collaborative relationship for the commercialization of any product candidate, we may be forced to delay potential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any product candidate to market or generate product revenue. We could enter into arrangements with collaborative partners at an earlier stage than otherwise would be ideal and we may be required to relinquish certain rights to our product candidate or otherwise agree to terms unfavorable to us, any of which may have an adverse effect on our business, operating results and prospects.</w:t>
      </w:r>
    </w:p>
    <w:p>
      <w:pPr>
        <w:spacing w:after="0" w:line="10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or them.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 candidates, if approved.</w:t>
      </w:r>
    </w:p>
    <w:p>
      <w:pPr>
        <w:spacing w:after="0" w:line="200" w:lineRule="exact"/>
        <w:rPr>
          <w:sz w:val="20"/>
          <w:szCs w:val="20"/>
          <w:color w:val="auto"/>
        </w:rPr>
      </w:pPr>
    </w:p>
    <w:p>
      <w:pPr>
        <w:jc w:val="both"/>
        <w:ind w:left="1980" w:right="1219"/>
        <w:spacing w:after="0" w:line="375" w:lineRule="auto"/>
        <w:rPr>
          <w:sz w:val="20"/>
          <w:szCs w:val="20"/>
          <w:color w:val="auto"/>
        </w:rPr>
      </w:pPr>
      <w:r>
        <w:rPr>
          <w:rFonts w:ascii="Arial" w:cs="Arial" w:eastAsia="Arial" w:hAnsi="Arial"/>
          <w:sz w:val="10"/>
          <w:szCs w:val="10"/>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1"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 candidates for which we obtain marketing approval. Such laws include, without limitation:</w:t>
      </w:r>
    </w:p>
    <w:p>
      <w:pPr>
        <w:spacing w:after="0" w:line="48" w:lineRule="exact"/>
        <w:rPr>
          <w:sz w:val="20"/>
          <w:szCs w:val="20"/>
          <w:color w:val="auto"/>
        </w:rPr>
      </w:pPr>
    </w:p>
    <w:p>
      <w:pPr>
        <w:ind w:left="2620" w:right="859" w:hanging="288"/>
        <w:spacing w:after="0" w:line="276" w:lineRule="auto"/>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72"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79" w:hanging="288"/>
        <w:spacing w:after="0" w:line="280" w:lineRule="auto"/>
        <w:tabs>
          <w:tab w:leader="none" w:pos="26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$11,665 to $23,331 for each false claim or statement for penalties assessed after June 19, 2020, with respect to violations occurring after November 2, 2015, plus treble damages, and exclude the entity from participation in Medicare, Medicaid and other federal healthcare programs;</w:t>
      </w:r>
    </w:p>
    <w:p>
      <w:pPr>
        <w:spacing w:after="0" w:line="52" w:lineRule="exact"/>
        <w:rPr>
          <w:rFonts w:ascii="Arial" w:cs="Arial" w:eastAsia="Arial" w:hAnsi="Arial"/>
          <w:sz w:val="11"/>
          <w:szCs w:val="11"/>
          <w:color w:val="auto"/>
        </w:rPr>
      </w:pPr>
    </w:p>
    <w:p>
      <w:pPr>
        <w:ind w:left="2620" w:right="899" w:hanging="288"/>
        <w:spacing w:after="0" w:line="25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65" w:lineRule="exact"/>
        <w:rPr>
          <w:rFonts w:ascii="Arial" w:cs="Arial" w:eastAsia="Arial" w:hAnsi="Arial"/>
          <w:sz w:val="12"/>
          <w:szCs w:val="12"/>
          <w:color w:val="auto"/>
        </w:rPr>
      </w:pPr>
    </w:p>
    <w:p>
      <w:pPr>
        <w:ind w:left="2620" w:right="999" w:hanging="288"/>
        <w:spacing w:after="0" w:line="255"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and their business associates, defined as independent contractors or agents of covered entities that create, receive or obtain protected health information in connection with providing a service for or on behalf of a covered entity;</w:t>
      </w:r>
    </w:p>
    <w:p>
      <w:pPr>
        <w:spacing w:after="0" w:line="65" w:lineRule="exact"/>
        <w:rPr>
          <w:rFonts w:ascii="Arial" w:cs="Arial" w:eastAsia="Arial" w:hAnsi="Arial"/>
          <w:sz w:val="12"/>
          <w:szCs w:val="12"/>
          <w:color w:val="auto"/>
        </w:rPr>
      </w:pPr>
    </w:p>
    <w:p>
      <w:pPr>
        <w:ind w:left="2620" w:right="1139" w:hanging="288"/>
        <w:spacing w:after="0" w:line="379" w:lineRule="auto"/>
        <w:tabs>
          <w:tab w:leader="none" w:pos="26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5" w:lineRule="exact"/>
        <w:rPr>
          <w:rFonts w:ascii="Arial" w:cs="Arial" w:eastAsia="Arial" w:hAnsi="Arial"/>
          <w:sz w:val="10"/>
          <w:szCs w:val="10"/>
          <w:color w:val="auto"/>
        </w:rPr>
      </w:pPr>
    </w:p>
    <w:p>
      <w:pPr>
        <w:ind w:left="2620" w:right="839" w:hanging="288"/>
        <w:spacing w:after="0" w:line="285" w:lineRule="auto"/>
        <w:tabs>
          <w:tab w:leader="none" w:pos="26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50" w:lineRule="exact"/>
        <w:rPr>
          <w:rFonts w:ascii="Arial" w:cs="Arial" w:eastAsia="Arial" w:hAnsi="Arial"/>
          <w:sz w:val="11"/>
          <w:szCs w:val="11"/>
          <w:color w:val="auto"/>
        </w:rPr>
      </w:pPr>
    </w:p>
    <w:p>
      <w:pPr>
        <w:ind w:left="2620" w:right="839" w:hanging="288"/>
        <w:spacing w:after="0" w:line="254"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pacing w:after="0" w:line="66" w:lineRule="exact"/>
        <w:rPr>
          <w:rFonts w:ascii="Arial" w:cs="Arial" w:eastAsia="Arial" w:hAnsi="Arial"/>
          <w:sz w:val="12"/>
          <w:szCs w:val="12"/>
          <w:color w:val="auto"/>
        </w:rPr>
      </w:pPr>
    </w:p>
    <w:p>
      <w:pPr>
        <w:ind w:left="2620" w:right="899" w:hanging="288"/>
        <w:spacing w:after="0" w:line="255"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72"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80" w:lineRule="auto"/>
        <w:rPr>
          <w:sz w:val="20"/>
          <w:szCs w:val="20"/>
          <w:color w:val="auto"/>
        </w:rPr>
      </w:pPr>
      <w:r>
        <w:rPr>
          <w:rFonts w:ascii="Arial" w:cs="Arial" w:eastAsia="Arial" w:hAnsi="Arial"/>
          <w:sz w:val="11"/>
          <w:szCs w:val="11"/>
          <w:color w:val="auto"/>
        </w:rPr>
        <w:t>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Healthcare legislative measures aimed at reducing healthcare costs may have a material adverse effect on our business and results of operations.</w:t>
      </w:r>
    </w:p>
    <w:p>
      <w:pPr>
        <w:spacing w:after="0" w:line="101"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The United States and many other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13"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72"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point-of-sale discounts off negotiated prices of applicable brand drugs to eligible beneficiaries during their coverage gap period, as a condition for the manufacturer’s outpatient drugs to be covered under Medicare Part D.</w:t>
      </w:r>
    </w:p>
    <w:p>
      <w:pPr>
        <w:spacing w:after="0" w:line="115"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pacing w:after="0" w:line="111"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remain in effect through 2029 unless additional Congressional action is taken. Pursuant to the CARES Act and subsequent legislation, these reductions were suspended from May 1, 2020 through December 31, 2021 due to the COVID-19 pandemic. As the legislation currently stands, the reductions will go back into effect as of January 2022 and will remain in effect through 2030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19"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Current Congressional proposals include direct price negotiation by Medicare in Medicare Parts B and D, international reference pricing for certain Medicare drugs, and inflationary rebates on Part B and Part D drugs whose prices increase above a certain amount, and Part D drug benefit redesign. At the federal level, the former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implemented several of these provisions to date. In May 2019, Centers for Medicare and Medicaid Services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These modifications to the safe harbors are being challenged in court and HHS has delayed their implementation until January 1, 2023; however, the rule may be repealed through legislative action before such time.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Several pending legislative efforts, including President Biden’s larger Build Back Better legislative agenda, incorporate these drug pricing reforms in addition to policies aimed at redesigning the Medicare Part D benefit and adopting drug price transparency measures.</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72"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Recent federal legislation and actions by state and local governments in the United States may permit reimportation of drugs from foreign countries into the United States, including foreign countries where the drugs are sold at lower prices than in the United States, which could materially adversely affect our operating results.</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Moreover, upcoming legislative and policy changes in the EU, some of which may materialize as early as 2022,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2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52" w:lineRule="exact"/>
        <w:rPr>
          <w:sz w:val="20"/>
          <w:szCs w:val="20"/>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demand for our product candidates, if approved;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ability to receive or set a price that we believe is fair for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ability to generate revenue and achieve or maintain profitability;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 of taxes that we are required to pay;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availability of capital.</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200"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Coverage and adequate reimbursement may not be available for our product candidates, which could make it difficult for us to sell our product candidates profitably.</w:t>
      </w:r>
    </w:p>
    <w:p>
      <w:pPr>
        <w:spacing w:after="0" w:line="43"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Market acceptance and sales of any approved product candidates that we develop will depend in part on the extent to which coverage and adequate reimbursement for these product candidates and related treatments will be available from third-party payors, including government health administration authorities and private health insurers. The target patient populations for our drugs are often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There is no assurance that our product candidates, if approved, would achieve adequate coverage and reimbursement levels.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the United States, no uniform policy of coverage and reimbursement for product candidates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72"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reimbursement to be provided for any product candidates that we develop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candidates unless coverage is provided and reimbursement is adequate to cover a significant portion of the cost of the product candidates. Further, from time to time, typically on an annual basis, payment rates are updated and revised by third-party payors. Such updates could impact the demand for our product candidates, to the extent that patients who are prescribed our product candidates, if approved, are not separately reimbursed for the cost of the product.</w:t>
      </w:r>
    </w:p>
    <w:p>
      <w:pPr>
        <w:spacing w:after="0" w:line="11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 candidates. A primary trend in the U.S. healthcare industry and elsewhere is cost containment. Increasingly, third-party payors are requiring that pharmaceutical companies provide them with predetermined discounts from list prices and are challenging the prices for product candidates.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to limited levels, we may not be able to successfully commercialize any product candidates that we develop.</w:t>
      </w:r>
    </w:p>
    <w:p>
      <w:pPr>
        <w:spacing w:after="0" w:line="119"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Additionally, there have been a number of legislative and regulatory proposals to change the healthcare system in the United States and in some other jurisdictions that could affect our ability to sell any future drugs profitably. These legislative and regulatory changes may negatively impact the reimbursement for any future drugs, following approval. There can be no assurance that our candidates, if approved,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 candidates are sold will not harm our ability to sell our product candidates profitably, if they are approved for sale.</w:t>
      </w:r>
    </w:p>
    <w:p>
      <w:pPr>
        <w:spacing w:after="0" w:line="113"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In the EU, similar political, economic and regulatory developments may affect our ability to profitably commercialize our product candidates, if approved. In addition to continuing pressure on prices and cost containment measures, legislative developments in the EU or the EU Member State may harm our ability to sell our product candidates profitably, if they are approved for sale.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In markets outside of the United States and EU, reimbursement and healthcare payment systems vary significantly by country, and many countries have instituted price ceilings on specific products and therapies. All of this could affect our ability to commercialize our product candidates, if approved.</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72"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50" w:lineRule="exact"/>
        <w:rPr>
          <w:sz w:val="20"/>
          <w:szCs w:val="20"/>
          <w:color w:val="auto"/>
        </w:rPr>
      </w:pPr>
    </w:p>
    <w:p>
      <w:pPr>
        <w:ind w:left="1980" w:right="879" w:firstLine="294"/>
        <w:spacing w:after="0" w:line="275" w:lineRule="auto"/>
        <w:rPr>
          <w:sz w:val="20"/>
          <w:szCs w:val="20"/>
          <w:color w:val="auto"/>
        </w:rPr>
      </w:pPr>
      <w:r>
        <w:rPr>
          <w:rFonts w:ascii="Arial" w:cs="Arial" w:eastAsia="Arial" w:hAnsi="Arial"/>
          <w:sz w:val="11"/>
          <w:szCs w:val="11"/>
          <w:color w:val="auto"/>
        </w:rPr>
        <w:t>We may face competition in the United States for our product candidates, if approved,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any of our product candidates. The regulatory and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Risks Related to Our Business and Industry</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We depend on the knowledge and skills of our senior leaders, and may not be able to manage our business effectively if we are unable to attract and retain key personnel.</w:t>
      </w:r>
    </w:p>
    <w:p>
      <w:pPr>
        <w:spacing w:after="0" w:line="4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benefited substantially from the leadership, performance and vision of our senior leaders, in particular, our founder and Executive Chairman, Vivek Ramaswamy, our Chief Executive Officer, Matthew Gline, and other senior executives of ours and of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relation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key personnel of ours or of the Vants.</w:t>
      </w:r>
    </w:p>
    <w:p>
      <w:pPr>
        <w:spacing w:after="0" w:line="117"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Our senior leaders and key employees may terminate their positions with us at any time. Due to the small number of employees at some of the Vants, the loss of key employee may have a larger impact on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72"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316" w:lineRule="auto"/>
        <w:rPr>
          <w:sz w:val="20"/>
          <w:szCs w:val="20"/>
          <w:color w:val="auto"/>
        </w:rPr>
      </w:pPr>
      <w:r>
        <w:rPr>
          <w:rFonts w:ascii="Arial" w:cs="Arial" w:eastAsia="Arial" w:hAnsi="Arial"/>
          <w:sz w:val="10"/>
          <w:szCs w:val="10"/>
          <w:color w:val="auto"/>
        </w:rPr>
        <w:t>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 skilled junior, mid-level and senior managers as well as junior, mid-level and senior scientific and medical personnel.</w:t>
      </w:r>
    </w:p>
    <w:p>
      <w:pPr>
        <w:spacing w:after="0" w:line="187"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b w:val="1"/>
          <w:bCs w:val="1"/>
          <w:i w:val="1"/>
          <w:iCs w:val="1"/>
          <w:color w:val="auto"/>
        </w:rPr>
        <w:t>Changes in funding for, or disruptions to the operations of,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52"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ability of the FDA to review and approve new products or take action with respect to other regulatory matters can be affected by a variety of factors, including government budget and funding levels, ability to hire and retain key personnel and accept payment of user fees, the availability of personnel and other resources in light of governmental “stay at home” orders in response to the COVID-19 pandemic,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Disruptions at the FDA and other agencies may also slow the time necessary for new drugs to be reviewed and/or approved, or for other actions to be taken, by relevant government agencies, which would adversely affect our business. For example, over the last several years, including for 35 days beginning on December 22, 2018, the U.S. government has shut down several times and certain regulatory agencies, such as the FDA and the SEC, have had to furlough critical FDA, SEC and other government employees and stop critical activities. Since March 2020, foreign and domestic inspections by the FDA have largely been on hold due to impacts of the COVID-19 pandemic, with the FDA announcing plans in July 2020 to resume prioritized domestic inspections. In April 2021, the FDA issued guidance describing how it will request and conduct voluntary remote interactive evaluations of manufacturing and outsourcing facilities as well as facilities involved in non-clinical and clinical research. With respect to pre-approval inspections, the FDA has been using other tools and approaches where possible, including requesting existing inspection reports from other foreign regulatory partners, requesting information from applicants, and requesting records and other information directly from facilities and other inspected entities. Should the FDA determine that an inspection is necessary for approval of a marketing application and an inspection cannot be completed during the review cycle due to restrictions on travel and there are other identified deficiencies, the FDA has stated that it generally intends to issue a complete response letter. Further, if there is inadequate information to make a determination on the acceptability of a facility without other</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72"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identified deficiencies, the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and may experience delays in their regulatory activities. Additionally, as of June 23, 2020, the FDA noted it is continuing to ensure timely reviews of applications for medical products during the COVID-19 pandemic in line with its user fee performance goals. On July 16, 2020, the FDA noted that it is continuing to expedite oncology product development with its staff teleworking full-time.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If a prolonged government shutdown or disruption to the operations of the FDA occurs, it could significantly impact the ability of the FDA to timely review and process our regulatory submissions, which could have a material adverse effect on our business. Similarly, a prolonged government shutdown or disruption to the operations of the USPTO could prevent the timely review of our patent applications, which could delay the issuance of any U.S. patents to which we might otherwise be entitled. Future government shutdowns and similar events could impact our ability to access the public markets and obtain necessary capital in order to properly capitalize and continue our operations.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We will need to expand our organization and may experience difficulties in managing this growth, which could disrupt operations.</w:t>
      </w:r>
    </w:p>
    <w:p>
      <w:pPr>
        <w:spacing w:after="0" w:line="9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In connection with our continued growth and the Business Combination,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2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product candidates and our business will be harmed.</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72"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Our international operations may expose us to business, legal, regulatory, political, operational, financial and economic risks associated with conducting business globally.</w:t>
      </w:r>
    </w:p>
    <w:p>
      <w:pPr>
        <w:spacing w:after="0" w:line="4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Part of our business strategy involves potential expansion internationally with third-party collaborators to seek regulatory approval for our product candidates globally. Doing business internationally involves a number of risks, including but not limited to:</w:t>
      </w:r>
    </w:p>
    <w:p>
      <w:pPr>
        <w:spacing w:after="0" w:line="52" w:lineRule="exact"/>
        <w:rPr>
          <w:sz w:val="20"/>
          <w:szCs w:val="20"/>
          <w:color w:val="auto"/>
        </w:rPr>
      </w:pPr>
    </w:p>
    <w:p>
      <w:pPr>
        <w:ind w:left="2620" w:right="879" w:hanging="288"/>
        <w:spacing w:after="0" w:line="276" w:lineRule="auto"/>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51"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by us or our collaborators to obtain appropriate licenses or regulatory approvals for the sale or use of our product candidate, if approved, in various countries;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difficulties in managing operations in different jurisdictions;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complexities associated with managing multiple payor-reimbursement regimes or self-pay systems;</w:t>
      </w:r>
    </w:p>
    <w:p>
      <w:pPr>
        <w:spacing w:after="0" w:line="87"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enforcing contracts and collecting accounts receivable and exposure to currency exchange rate fluctuations;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varying protection for intellectual property rights;</w:t>
      </w:r>
    </w:p>
    <w:p>
      <w:pPr>
        <w:spacing w:after="0" w:line="87" w:lineRule="exact"/>
        <w:rPr>
          <w:rFonts w:ascii="Arial" w:cs="Arial" w:eastAsia="Arial" w:hAnsi="Arial"/>
          <w:sz w:val="12"/>
          <w:szCs w:val="12"/>
          <w:color w:val="auto"/>
        </w:rPr>
      </w:pPr>
    </w:p>
    <w:p>
      <w:pPr>
        <w:ind w:left="2620" w:right="1399" w:hanging="288"/>
        <w:spacing w:after="0" w:line="276" w:lineRule="auto"/>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natural disasters, political and economic instability, including wars, terrorism and political unrest, outbreak of disease, boycotts, curtailment of trade and other business restrictions; and</w:t>
      </w:r>
    </w:p>
    <w:p>
      <w:pPr>
        <w:spacing w:after="0" w:line="51" w:lineRule="exact"/>
        <w:rPr>
          <w:rFonts w:ascii="Arial" w:cs="Arial" w:eastAsia="Arial" w:hAnsi="Arial"/>
          <w:sz w:val="12"/>
          <w:szCs w:val="12"/>
          <w:color w:val="auto"/>
        </w:rPr>
      </w:pPr>
    </w:p>
    <w:p>
      <w:pPr>
        <w:ind w:left="2620" w:right="899" w:hanging="288"/>
        <w:spacing w:after="0" w:line="298" w:lineRule="auto"/>
        <w:tabs>
          <w:tab w:leader="none" w:pos="26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0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Any of these risks, if encountered, could significantly harm our future international expansion and operations and, consequently, negatively impact our financial condition, results of operations and cash flows.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78"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any eventual commercialization of our product candidates and our business, results of operations, financial condition and cash flows could be adversely affected.</w:t>
      </w:r>
    </w:p>
    <w:p>
      <w:pPr>
        <w:spacing w:after="0" w:line="11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72"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340" w:lineRule="auto"/>
        <w:rPr>
          <w:sz w:val="20"/>
          <w:szCs w:val="20"/>
          <w:color w:val="auto"/>
        </w:rPr>
      </w:pPr>
      <w:r>
        <w:rPr>
          <w:rFonts w:ascii="Arial" w:cs="Arial" w:eastAsia="Arial" w:hAnsi="Arial"/>
          <w:sz w:val="10"/>
          <w:szCs w:val="10"/>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There are a number of large pharmaceutical and biotechnology companies that are currently pursuing the development and commercialization of products for the treatment of the indications that we are pursuing, including, but not limited to:</w:t>
      </w:r>
    </w:p>
    <w:p>
      <w:pPr>
        <w:spacing w:after="0" w:line="52" w:lineRule="exact"/>
        <w:rPr>
          <w:sz w:val="20"/>
          <w:szCs w:val="20"/>
          <w:color w:val="auto"/>
        </w:rPr>
      </w:pPr>
    </w:p>
    <w:p>
      <w:pPr>
        <w:ind w:left="2620" w:right="97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Roflumilast, a PDE4 inhibitor, a potential competitor to tapinarof, in development by Dermavant Sciences (“Dermavant”) for the topical treatment of psoriasis and atopic dermatitis;</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Ruxolitinib, a topical Janus kinase inhibitor, a potential competitor to tapinarof, in development by Dermavant for the topical treatment of atopic dermatitis;</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Teprotumumab, an insulin-like growth factor-1 receptor inhibitor, a potential competitor to IMVT-1401, in development by Immunovant for the treatment of thyroid eye disease;</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Efgartigimod, an anti-FcRn antibody fragment, and nipocalimab, an anti-FcRn antibody, both potential competitors to IMVT-1401, in development by Immunovant for the treatment of myasthenia gravis; and</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CTX001, a gene-editing therapy, and LentiGlobin, a gene therapy delivering a modified form of adult hemoglobin, both potential competitors to ARU-1801, in development by Aruvant for the treatment of sickle cell disease.</w:t>
      </w:r>
    </w:p>
    <w:p>
      <w:pPr>
        <w:spacing w:after="0" w:line="115" w:lineRule="exact"/>
        <w:rPr>
          <w:sz w:val="20"/>
          <w:szCs w:val="20"/>
          <w:color w:val="auto"/>
        </w:rPr>
      </w:pPr>
    </w:p>
    <w:p>
      <w:pPr>
        <w:ind w:left="1980" w:right="1119" w:firstLine="294"/>
        <w:spacing w:after="0" w:line="298" w:lineRule="auto"/>
        <w:rPr>
          <w:sz w:val="20"/>
          <w:szCs w:val="20"/>
          <w:color w:val="auto"/>
        </w:rPr>
      </w:pPr>
      <w:r>
        <w:rPr>
          <w:rFonts w:ascii="Arial" w:cs="Arial" w:eastAsia="Arial" w:hAnsi="Arial"/>
          <w:sz w:val="11"/>
          <w:szCs w:val="11"/>
          <w:color w:val="auto"/>
        </w:rPr>
        <w:t>If any of these or other competitors, including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105" w:lineRule="exact"/>
        <w:rPr>
          <w:sz w:val="20"/>
          <w:szCs w:val="20"/>
          <w:color w:val="auto"/>
        </w:rPr>
      </w:pPr>
    </w:p>
    <w:p>
      <w:pPr>
        <w:ind w:left="1980" w:right="1139" w:firstLine="294"/>
        <w:spacing w:after="0" w:line="263" w:lineRule="auto"/>
        <w:rPr>
          <w:sz w:val="20"/>
          <w:szCs w:val="20"/>
          <w:color w:val="auto"/>
        </w:rPr>
      </w:pPr>
      <w:r>
        <w:rPr>
          <w:rFonts w:ascii="Arial" w:cs="Arial" w:eastAsia="Arial" w:hAnsi="Arial"/>
          <w:sz w:val="12"/>
          <w:szCs w:val="12"/>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22"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72"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22"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9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The markets in which our healthcare technology Vants participate are competitive, and if we do not compete effectively, our business and operating results could be adversely affected.</w:t>
      </w:r>
    </w:p>
    <w:p>
      <w:pPr>
        <w:spacing w:after="0" w:line="43" w:lineRule="exact"/>
        <w:rPr>
          <w:sz w:val="20"/>
          <w:szCs w:val="20"/>
          <w:color w:val="auto"/>
        </w:rPr>
      </w:pPr>
    </w:p>
    <w:p>
      <w:pPr>
        <w:ind w:left="1980" w:right="939" w:firstLine="294"/>
        <w:spacing w:after="0" w:line="313" w:lineRule="auto"/>
        <w:rPr>
          <w:sz w:val="20"/>
          <w:szCs w:val="20"/>
          <w:color w:val="auto"/>
        </w:rPr>
      </w:pPr>
      <w:r>
        <w:rPr>
          <w:rFonts w:ascii="Arial" w:cs="Arial" w:eastAsia="Arial" w:hAnsi="Arial"/>
          <w:sz w:val="10"/>
          <w:szCs w:val="10"/>
          <w:color w:val="auto"/>
        </w:rPr>
        <w:t>The overall market for healthcare technologies and software is global, rapidly evolving, competitive and subject to changing technology and shifting customer focus. Our healthcare technology Vants, including Datavant, a healthcare data infrastructure company, Lokavant, a clinical trial technology company, and Alyvant, a salesforce technology company, face competition from well-established providers of these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0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pacing w:after="0" w:line="187"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b w:val="1"/>
          <w:bCs w:val="1"/>
          <w:i w:val="1"/>
          <w:iCs w:val="1"/>
          <w:color w:val="auto"/>
        </w:rPr>
        <w:t>We and our subsidiaries are subject to litigation and investigation risks which could adversely affect their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50"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us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04"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We maintain insurance policies for litigation and various business risks, but such policies may not be adequate to compensate us for potential losses. In addition, such insurance may not be available to us in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72"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future on economically reasonable terms, or at all. Further, our insurance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which could have a material adverse effect on the business, results of operations, and financial condition of us and our subsidiaries, as applicable, could impact the ability to consummate a transaction that is challenged or otherwise subject to such litigation and could cause the market value of our Common Shares to decline.</w:t>
      </w:r>
    </w:p>
    <w:p>
      <w:pPr>
        <w:spacing w:after="0" w:line="200"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b w:val="1"/>
          <w:bCs w:val="1"/>
          <w:i w:val="1"/>
          <w:iCs w:val="1"/>
          <w:color w:val="auto"/>
        </w:rPr>
        <w:t>Negative public opinion and increased regulatory scrutiny of gene therapy and genetic research may damage public perception of our gene therapy product candidates and any future products or adversely affect our ability to conduct our business or obtain and maintain marketing approvals for our product candidates.</w:t>
      </w:r>
    </w:p>
    <w:p>
      <w:pPr>
        <w:spacing w:after="0" w:line="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Public perception may be influenced by claims that gene therapy, including gene editing technologies, is unsafe or unethical, and research activities and adverse events in the field, even if not ultimately attributable to us or our product candidates, could result in increased governmental regulation, unfavorable public perception, challenges in recruiting patients to participate in our clinical studies, potential regulatory delays in the testing or approval of our potential products, stricter labeling requirements for those product candidates that are approved and a decrease in demand for any such product. More restrictive government regulations or negative public opinion would have a negative effect on our business or financial condition and may delay or impair the development and commercialization of our product candidates or demand for any approved products.</w:t>
      </w:r>
    </w:p>
    <w:p>
      <w:pPr>
        <w:spacing w:after="0" w:line="185"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may not hold a controlling stake in certain of our subsidiaries and thus may not be able to direct our business or the development of our product candidates.</w:t>
      </w:r>
    </w:p>
    <w:p>
      <w:pPr>
        <w:spacing w:after="0" w:line="43"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For certain of the Vants, including Arbutus, Datavant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Our business and operations would suffer in the event of system failures, cyber-attacks or a deficiency in our cyber-security.</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Our computer systems, as well as those of various third parties on which we presently rely, or may rely on in the future, including our CROs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computer hackers, sovereign governments and cyber terrorists, have generally increased over time, along with the number, intensity and sophistication of attempted attacks and intrusions from around the world.</w:t>
      </w:r>
    </w:p>
    <w:p>
      <w:pPr>
        <w:spacing w:after="0" w:line="115"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We generally require our third-party providers to implement effective security measures and to identify and correct for any such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72"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recourse against such third parties and we may have to expend significant resources to mitigate the impact of such an event, and to develop and implement protections to prevent future events of this nature from occurring.</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cannot to anticipate all possible types of security threats and we cannot guarantee that our data protection efforts and our investment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of the aforementioned security events were to occur, it could result in a material disruption of our drug development programs and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personal, confidential or proprietary information, we could incur liability and reputational damage and the further development of any product candidate could be delayed. The costs related to significant security breaches or disruptions could be material and exceed the limits of the cybersecurity insurance we maintain against such risks.</w:t>
      </w:r>
    </w:p>
    <w:p>
      <w:pPr>
        <w:spacing w:after="0" w:line="188"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 including in particular our healthcare technology businesses.</w:t>
      </w:r>
    </w:p>
    <w:p>
      <w:pPr>
        <w:spacing w:after="0" w:line="50"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Failure to comply with these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30"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There are numerous U.S. federal and state laws and regulations related to the privacy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change business practices. Congress has considered expanding the scope of the HIPAA privacy and security regulations and we may in the future become subject to them ourselves, which would require additional expenditures and create additional risks.</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In addition, many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and companies that provide technologies for processing personal health information, imposes stringent data privacy and security requirements and obligations with respect to the personal health information of California</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72"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residents. Among other things, the CMIA requires that a pharmaceutical company obtain a signed, written authorization from a patient or company employee in order to disclose his or her personal health information, with limited exceptions, and requires security measures to protect the information. The CMIA authorizes administrative fines and civil penalties of up to $25,000 for willful violations and up to $250,000 if the violation is for purposes of financial gain, as well as criminal fines. In addition, the California Consumer Privacy Act of 2018 (the “CCPA”), which went into effect on January 1, 2020, requires covered businesses to provide substantial disclosures to California residents and honor such residents’ data protection and privacy rights, including the right to opt-out of certain sales of personal information. The CCPA provides for civil penalties for violations, as well as a private right of action for certain data breaches that result in the compromise of highly sensitive personal information, which may increase the likelihood of, and risks associated with, data breach litigation. The CCPA has been amended several times, including by the California Privacy Rights Act (the “CPRA”), a ballot initiative that passed in November 2020 which, among other things, created a new state agency vested with authority to implement and enforce the CCPA and the CPRA. Effective in most material aspects starting on January 1, 2023, the CPRA will expand California residents’ rights with respect to certain sensitive personal information and give California residents’ a right to opt out of the sharing of certain personal information for targeted online advertising. Virginia and Colorado also recently enacted CCPA/CPRA-like laws, the Virginia Consumer Data Privacy Act (the “VDCPA”) and the Colorado Privacy Act (“CPA”), to provide their respective residents with similar rights. New legislation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effects on our business of the CMIA, CCPA, CPRA, VDCPA, CPA and other similar state laws and general consumer protection authorities are potentially significant, and may require us to modify our data processing practices and policies and to incur substantial costs and expenses in an effort to comply.</w:t>
      </w:r>
    </w:p>
    <w:p>
      <w:pPr>
        <w:spacing w:after="0" w:line="118" w:lineRule="exact"/>
        <w:rPr>
          <w:sz w:val="20"/>
          <w:szCs w:val="20"/>
          <w:color w:val="auto"/>
        </w:rPr>
      </w:pPr>
    </w:p>
    <w:p>
      <w:pPr>
        <w:ind w:left="1980" w:right="999" w:firstLine="294"/>
        <w:spacing w:after="0" w:line="303" w:lineRule="auto"/>
        <w:rPr>
          <w:sz w:val="20"/>
          <w:szCs w:val="20"/>
          <w:color w:val="auto"/>
        </w:rPr>
      </w:pPr>
      <w:r>
        <w:rPr>
          <w:rFonts w:ascii="Arial" w:cs="Arial" w:eastAsia="Arial" w:hAnsi="Arial"/>
          <w:sz w:val="10"/>
          <w:szCs w:val="10"/>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Arial" w:cs="Arial" w:eastAsia="Arial" w:hAnsi="Arial"/>
          <w:sz w:val="10"/>
          <w:szCs w:val="10"/>
          <w:i w:val="1"/>
          <w:iCs w:val="1"/>
          <w:color w:val="auto"/>
        </w:rPr>
        <w:t>inter alia</w:t>
      </w:r>
      <w:r>
        <w:rPr>
          <w:rFonts w:ascii="Arial" w:cs="Arial" w:eastAsia="Arial" w:hAnsi="Arial"/>
          <w:sz w:val="10"/>
          <w:szCs w:val="10"/>
          <w:color w:val="auto"/>
        </w:rPr>
        <w:t>: (i) accountability and transparency requirements, and enhanced requirements for obtaining valid consent; (ii) obligations to consider data protection as any new products or services are developed and to limit the amount of personal data processed;</w:t>
      </w:r>
    </w:p>
    <w:p>
      <w:pPr>
        <w:spacing w:after="0" w:line="1" w:lineRule="exact"/>
        <w:rPr>
          <w:sz w:val="20"/>
          <w:szCs w:val="20"/>
          <w:color w:val="auto"/>
        </w:rPr>
      </w:pPr>
    </w:p>
    <w:p>
      <w:pPr>
        <w:ind w:left="1980" w:right="839" w:hanging="8"/>
        <w:spacing w:after="0" w:line="306" w:lineRule="auto"/>
        <w:tabs>
          <w:tab w:leader="none" w:pos="2190" w:val="left"/>
        </w:tabs>
        <w:numPr>
          <w:ilvl w:val="0"/>
          <w:numId w:val="32"/>
        </w:numPr>
        <w:rPr>
          <w:rFonts w:ascii="Arial" w:cs="Arial" w:eastAsia="Arial" w:hAnsi="Arial"/>
          <w:sz w:val="10"/>
          <w:szCs w:val="10"/>
          <w:color w:val="auto"/>
        </w:rPr>
      </w:pPr>
      <w:r>
        <w:rPr>
          <w:rFonts w:ascii="Arial" w:cs="Arial" w:eastAsia="Arial" w:hAnsi="Arial"/>
          <w:sz w:val="10"/>
          <w:szCs w:val="10"/>
          <w:color w:val="auto"/>
        </w:rPr>
        <w:t>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Until recently, one such data transfer mechanism was the EU-US Privacy Shield, but the Privacy Shield was invalidated for international transfers of personal data in July 2020 by the Court of Justice of the European Union (“CJEU”). 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It remains to be seen whether SCCs will remain available and whether additional means for lawful data transfers will become available.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w:t>
      </w: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72"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border processing activities, even such company does not have an establishment in the EU member state in question and the competent authority bringing the claim is not the lead supervisory authority.</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Further, as of January 1, 2021, and the expiry of transitional arrangements agreed to between the United Kingdom and EU (</w:t>
      </w:r>
      <w:r>
        <w:rPr>
          <w:rFonts w:ascii="Arial" w:cs="Arial" w:eastAsia="Arial" w:hAnsi="Arial"/>
          <w:sz w:val="10"/>
          <w:szCs w:val="10"/>
          <w:i w:val="1"/>
          <w:iCs w:val="1"/>
          <w:color w:val="auto"/>
        </w:rPr>
        <w:t>i.e</w:t>
      </w:r>
      <w:r>
        <w:rPr>
          <w:rFonts w:ascii="Arial" w:cs="Arial" w:eastAsia="Arial" w:hAnsi="Arial"/>
          <w:sz w:val="10"/>
          <w:szCs w:val="10"/>
          <w:color w:val="auto"/>
        </w:rPr>
        <w:t>., following the United Kingdom’s exit from the EU – 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03"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If we or our third 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 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17"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Data privacy remains an evolving landscape at both the domestic and international level, with new regulations coming into effect. It is possible that these laws may be interpreted and applied in a manner that is inconsistent with our practices and our efforts to comply with the evolving data protection rules may be unsuccessful.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9"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b w:val="1"/>
          <w:bCs w:val="1"/>
          <w:i w:val="1"/>
          <w:iCs w:val="1"/>
          <w:color w:val="auto"/>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50" w:lineRule="exact"/>
        <w:rPr>
          <w:sz w:val="20"/>
          <w:szCs w:val="20"/>
          <w:color w:val="auto"/>
        </w:rPr>
      </w:pPr>
    </w:p>
    <w:p>
      <w:pPr>
        <w:ind w:left="1980" w:right="1059" w:firstLine="294"/>
        <w:spacing w:after="0" w:line="298" w:lineRule="auto"/>
        <w:rPr>
          <w:sz w:val="20"/>
          <w:szCs w:val="20"/>
          <w:color w:val="auto"/>
        </w:rPr>
      </w:pPr>
      <w:r>
        <w:rPr>
          <w:rFonts w:ascii="Arial" w:cs="Arial" w:eastAsia="Arial" w:hAnsi="Arial"/>
          <w:sz w:val="11"/>
          <w:szCs w:val="11"/>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72"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16" w:lineRule="exact"/>
        <w:rPr>
          <w:sz w:val="20"/>
          <w:szCs w:val="20"/>
          <w:color w:val="auto"/>
        </w:rPr>
      </w:pPr>
    </w:p>
    <w:p>
      <w:pPr>
        <w:ind w:left="1980" w:right="879" w:firstLine="294"/>
        <w:spacing w:after="0" w:line="307" w:lineRule="auto"/>
        <w:rPr>
          <w:sz w:val="20"/>
          <w:szCs w:val="20"/>
          <w:color w:val="auto"/>
        </w:rPr>
      </w:pPr>
      <w:r>
        <w:rPr>
          <w:rFonts w:ascii="Arial" w:cs="Arial" w:eastAsia="Arial" w:hAnsi="Arial"/>
          <w:sz w:val="10"/>
          <w:szCs w:val="10"/>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179"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Potential product liability lawsuits against us could cause us to incur substantial liabilities and limit commercialization of any product candidates that we may develop.</w:t>
      </w:r>
    </w:p>
    <w:p>
      <w:pPr>
        <w:spacing w:after="0" w:line="4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The use of existing product candidates in clinical trials and the sale of any product candidates for which we obtain marketing approval exposes us to the risk of product liability claims. Product liability claims might be brought against us by consumers, health care providers, other pharmaceutical companies or others taking or otherwise coming into contact with our product candidates. On occasion, large judgments have been awarded in class action lawsuits where drugs have had unanticipated harmful effects. If we cannot successfully defend against product liability claims, it could incur substantial liability and costs. In addition, regardless of merit or eventual outcome, product liability claims may result in:</w:t>
      </w:r>
    </w:p>
    <w:p>
      <w:pPr>
        <w:spacing w:after="0" w:line="50" w:lineRule="exact"/>
        <w:rPr>
          <w:sz w:val="20"/>
          <w:szCs w:val="20"/>
          <w:color w:val="auto"/>
        </w:rPr>
      </w:pPr>
    </w:p>
    <w:p>
      <w:pPr>
        <w:ind w:left="2620" w:hanging="288"/>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impairment of our business reputation and significant negative media attention;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delay or termination of clinical trials, or withdrawal of participants from our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distraction of management’s attention from our primary business;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substantial monetary awards to patients or other claimants;</w:t>
      </w:r>
    </w:p>
    <w:p>
      <w:pPr>
        <w:spacing w:after="0" w:line="87" w:lineRule="exact"/>
        <w:rPr>
          <w:rFonts w:ascii="Arial" w:cs="Arial" w:eastAsia="Arial" w:hAnsi="Arial"/>
          <w:sz w:val="12"/>
          <w:szCs w:val="12"/>
          <w:color w:val="auto"/>
        </w:rPr>
      </w:pPr>
    </w:p>
    <w:p>
      <w:pPr>
        <w:ind w:left="5580" w:right="2759" w:hanging="3248"/>
        <w:spacing w:after="0" w:line="448" w:lineRule="auto"/>
        <w:tabs>
          <w:tab w:leader="none" w:pos="2616"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inability to commercialize existing product candidates or any future product candidate, if approved; 54</w:t>
      </w:r>
    </w:p>
    <w:p>
      <w:pPr>
        <w:sectPr>
          <w:pgSz w:w="11900" w:h="16838" w:orient="portrait"/>
          <w:cols w:equalWidth="0" w:num="1">
            <w:col w:w="10159"/>
          </w:cols>
          <w:pgMar w:left="300" w:top="372"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decreased demand for existing product candidates or any future product candidate, if approved;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product candidates, we intend to acquire insurance coverage to include the sale of commercial product candidates; however, it may be unable to obtain product liability insurance on commercially reasonable terms or in adequate amounts. A successful product liability claim or series of claims brought against us could adversely affect our results of operations and business, including preventing or limiting the commercialization of any product candidates, if approved, that we develop.</w:t>
      </w:r>
    </w:p>
    <w:p>
      <w:pPr>
        <w:spacing w:after="0" w:line="187"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harm our business.</w:t>
      </w:r>
    </w:p>
    <w:p>
      <w:pPr>
        <w:spacing w:after="0" w:line="4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30" w:lineRule="exact"/>
        <w:rPr>
          <w:sz w:val="20"/>
          <w:szCs w:val="20"/>
          <w:color w:val="auto"/>
        </w:rPr>
      </w:pPr>
    </w:p>
    <w:p>
      <w:pPr>
        <w:jc w:val="both"/>
        <w:ind w:left="1980" w:right="1259" w:firstLine="294"/>
        <w:spacing w:after="0" w:line="259" w:lineRule="auto"/>
        <w:rPr>
          <w:sz w:val="20"/>
          <w:szCs w:val="20"/>
          <w:color w:val="auto"/>
        </w:rPr>
      </w:pPr>
      <w:r>
        <w:rPr>
          <w:rFonts w:ascii="Arial" w:cs="Arial" w:eastAsia="Arial" w:hAnsi="Arial"/>
          <w:sz w:val="12"/>
          <w:szCs w:val="12"/>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24"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ind w:left="1980" w:right="1139"/>
        <w:spacing w:after="0" w:line="323" w:lineRule="auto"/>
        <w:rPr>
          <w:sz w:val="20"/>
          <w:szCs w:val="20"/>
          <w:color w:val="auto"/>
        </w:rPr>
      </w:pPr>
      <w:r>
        <w:rPr>
          <w:rFonts w:ascii="Arial" w:cs="Arial" w:eastAsia="Arial" w:hAnsi="Arial"/>
          <w:sz w:val="11"/>
          <w:szCs w:val="11"/>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2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72"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increasing use of social media platforms presents new risks and challenges.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color w:val="auto"/>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193"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b w:val="1"/>
          <w:bCs w:val="1"/>
          <w:i w:val="1"/>
          <w:iCs w:val="1"/>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headquarters are located in the United Kingdom. The United Kingdom formally exited the EU, commonly referred to as Brexit, on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January 31, 2020. Under the terms of its departure, the United Kingdom entered a transition period (the “Transition Period”), during which it continued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follow all EU rules. The Transition Period ended on December 31, 2020. On December 30, 2020, the United Kingdom and European Union signed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Trade and Cooperation Agreement, which includes an agreement on free trade between the two parties.</w:t>
      </w:r>
    </w:p>
    <w:p>
      <w:pPr>
        <w:spacing w:after="0" w:line="141"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There is considerable uncertainty resulting from a lack of precedent and the complexity of the United Kingdom and the EU’s intertwined legal regimes as to how Brexit (following the Transition Period) will impact the life sciences industry in Europe, including our company, including with respect to ongoing or future clinical trials. The impact will largely depend on the model and means by which the United Kingdom’s relationship with the EU is governed post-Brexit and the extent to which the United Kingdom chooses to diverge from the EU regulatory framework. For example, following the Transition Period, Great Britain will no longer be covered by the centralized procedures for obtaining EU-wide marketing authorizations and our products will therefore require a separate marketing authorization to allow us to market such products in Great Britain.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 candidates in the United Kingdom and/or the EEA and restrict our ability to generate revenue and achieve and sustain profitability. In the short term, following the expiry of the Transition Period there is a risk of disrupted import and export processes due to a lack of administrative processing capacity by the respective United Kingdom and EU customs agencies that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72"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63" w:lineRule="auto"/>
        <w:rPr>
          <w:sz w:val="20"/>
          <w:szCs w:val="20"/>
          <w:color w:val="auto"/>
        </w:rPr>
      </w:pPr>
      <w:r>
        <w:rPr>
          <w:rFonts w:ascii="Arial" w:cs="Arial" w:eastAsia="Arial" w:hAnsi="Arial"/>
          <w:sz w:val="12"/>
          <w:szCs w:val="12"/>
          <w:color w:val="auto"/>
        </w:rPr>
        <w:t>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122"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If any of these outcomes occur, we may be forced to restrict or delay efforts to seek regulatory approval in the United Kingdom and/or EEA for our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28" w:lineRule="exact"/>
        <w:rPr>
          <w:sz w:val="20"/>
          <w:szCs w:val="20"/>
          <w:color w:val="auto"/>
        </w:rPr>
      </w:pPr>
    </w:p>
    <w:p>
      <w:pPr>
        <w:jc w:val="both"/>
        <w:ind w:left="1980" w:right="1159" w:firstLine="294"/>
        <w:spacing w:after="0" w:line="298" w:lineRule="auto"/>
        <w:rPr>
          <w:sz w:val="20"/>
          <w:szCs w:val="20"/>
          <w:color w:val="auto"/>
        </w:rPr>
      </w:pPr>
      <w:r>
        <w:rPr>
          <w:rFonts w:ascii="Arial" w:cs="Arial" w:eastAsia="Arial" w:hAnsi="Arial"/>
          <w:sz w:val="11"/>
          <w:szCs w:val="11"/>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 candidates and, accordingly, have a material adverse effect on our business, financial condition, results of operations or prospects.</w:t>
      </w:r>
    </w:p>
    <w:p>
      <w:pPr>
        <w:spacing w:after="0" w:line="10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addition, we may be required to pay taxes or duties or be subjected to other hurdles in connection with the importation of our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 candidates, or incur significant additional expenses to operate our business, which could significantly and materially harm or delay our ability to generate revenues or achieve profitability of our business.</w:t>
      </w:r>
    </w:p>
    <w:p>
      <w:pPr>
        <w:spacing w:after="0" w:line="128"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Risks Related to Our Intellectual Property</w:t>
      </w:r>
    </w:p>
    <w:p>
      <w:pPr>
        <w:spacing w:after="0" w:line="78" w:lineRule="exact"/>
        <w:rPr>
          <w:sz w:val="20"/>
          <w:szCs w:val="20"/>
          <w:color w:val="auto"/>
        </w:rPr>
      </w:pPr>
    </w:p>
    <w:p>
      <w:pPr>
        <w:ind w:left="1980" w:right="959"/>
        <w:spacing w:after="0" w:line="375" w:lineRule="auto"/>
        <w:rPr>
          <w:sz w:val="20"/>
          <w:szCs w:val="20"/>
          <w:color w:val="auto"/>
        </w:rPr>
      </w:pPr>
      <w:r>
        <w:rPr>
          <w:rFonts w:ascii="Arial" w:cs="Arial" w:eastAsia="Arial" w:hAnsi="Arial"/>
          <w:sz w:val="10"/>
          <w:szCs w:val="10"/>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1"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and product candidates. Our success depends in large part on our ability to obtain and maintain patent protection in the United States and other countries with respect to our product candidates and any future product candidates. We seek to protect our proprietary position by in-licensing or acquiring intellectual property and filing patent applications in the United States and abroad related to our current and future development programs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 candidates, in whole or in part, and may not effectively prevent others from commercializing competitive product candidates, or that an alteration to our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20"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It is also possible that we will fail to identify patentable aspects of our research and development output before it is too late to obtain patent protection. Although we enter into non-disclosure and confidentiality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72"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product candidates may not be protected by patents in all jurisdictions. We generally apply for patents in those countries where we intend to make, have made, use, offer for sale, or sell product candidates and where we assess the risk of infringement to justify the cost of seeking patent protection. However, we do not seek protection in all countries where we intend to sell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122" w:lineRule="exact"/>
        <w:rPr>
          <w:sz w:val="20"/>
          <w:szCs w:val="20"/>
          <w:color w:val="auto"/>
        </w:rPr>
      </w:pPr>
    </w:p>
    <w:p>
      <w:pPr>
        <w:ind w:left="1980" w:right="879" w:firstLine="294"/>
        <w:spacing w:after="0" w:line="275" w:lineRule="auto"/>
        <w:rPr>
          <w:sz w:val="20"/>
          <w:szCs w:val="20"/>
          <w:color w:val="auto"/>
        </w:rPr>
      </w:pPr>
      <w:r>
        <w:rPr>
          <w:rFonts w:ascii="Arial" w:cs="Arial" w:eastAsia="Arial" w:hAnsi="Arial"/>
          <w:sz w:val="11"/>
          <w:szCs w:val="11"/>
          <w:color w:val="auto"/>
        </w:rPr>
        <w:t>The patent applications that we own or in-license may fail to result in issued patents with claims that cover our product candidates or any future product candidate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product candidates or any future product candidate,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 candidates or limit the length of terms of patent protection we may have for our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If any of our patents are challenged, invalidated, circumvented by third parties or otherwise limited or expire prior to the commercialization of our product candidates, and if we do not own or have exclusive rights to other enforceable patents protecting our product candidates or other technologies, competitors and other third parties could market product candidates and use processes that are substantially similar to, or superior to, ours and our business would suffer.</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72"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b w:val="1"/>
          <w:bCs w:val="1"/>
          <w:i w:val="1"/>
          <w:iCs w:val="1"/>
          <w:color w:val="auto"/>
        </w:rPr>
        <w:t>If the patent applications we hold or have in-licensed with respect to our product candidates fail to issue, if their breadth or strength of protection is threatened, or if they fail to provide meaningful exclusivity for our product candidates or any future product candidate, it could dissuade companies from collaborating with us to develop product candidates, and threaten our ability to commercialize, future drugs.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41"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pacing w:after="0" w:line="116"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post-grant review or interference proceedings in the U.S. or in</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72"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4" w:lineRule="auto"/>
        <w:rPr>
          <w:sz w:val="20"/>
          <w:szCs w:val="20"/>
          <w:color w:val="auto"/>
        </w:rPr>
      </w:pPr>
      <w:r>
        <w:rPr>
          <w:rFonts w:ascii="Arial" w:cs="Arial" w:eastAsia="Arial" w:hAnsi="Arial"/>
          <w:sz w:val="10"/>
          <w:szCs w:val="10"/>
          <w:color w:val="auto"/>
        </w:rPr>
        <w:t xml:space="preserve">other jurisdictions challenging our patent rights or the patent rights of others. A third party may also claim that our owned or licensed patent rights are invalid or unenforceable in a litigation. For example, three U.S. patents (U.S. Patent Nos. 8,058,069, 9,364,435 and 9,404,127) relating to lipid nanoparticle molar ratios and the aggregation of lipid nanoparticles that Genevant Sciences (“Genevant”) exclusively licenses from Arbutus Biopharma Corp. (“Arbutus”) were the subject of </w:t>
      </w:r>
      <w:r>
        <w:rPr>
          <w:rFonts w:ascii="Arial" w:cs="Arial" w:eastAsia="Arial" w:hAnsi="Arial"/>
          <w:sz w:val="10"/>
          <w:szCs w:val="10"/>
          <w:i w:val="1"/>
          <w:iCs w:val="1"/>
          <w:color w:val="auto"/>
        </w:rPr>
        <w:t>inter partes</w:t>
      </w:r>
      <w:r>
        <w:rPr>
          <w:rFonts w:ascii="Arial" w:cs="Arial" w:eastAsia="Arial" w:hAnsi="Arial"/>
          <w:sz w:val="10"/>
          <w:szCs w:val="10"/>
          <w:color w:val="auto"/>
        </w:rPr>
        <w:t xml:space="preserve"> review proceedings brought by Moderna Therapeutics, Inc. (“Moderna”) before the Patent Trial and Appeal Board of the USPTO (“PTAB”). The PTAB upheld all claims of U.S. Patent No. 8,058,069, invalidated some of the claims of U.S. Patent</w:t>
      </w:r>
    </w:p>
    <w:p>
      <w:pPr>
        <w:spacing w:after="0" w:line="1" w:lineRule="exact"/>
        <w:rPr>
          <w:sz w:val="20"/>
          <w:szCs w:val="20"/>
          <w:color w:val="auto"/>
        </w:rPr>
      </w:pPr>
    </w:p>
    <w:p>
      <w:pPr>
        <w:ind w:left="1980" w:right="859"/>
        <w:spacing w:after="0" w:line="275" w:lineRule="auto"/>
        <w:rPr>
          <w:sz w:val="20"/>
          <w:szCs w:val="20"/>
          <w:color w:val="auto"/>
        </w:rPr>
      </w:pPr>
      <w:r>
        <w:rPr>
          <w:rFonts w:ascii="Arial" w:cs="Arial" w:eastAsia="Arial" w:hAnsi="Arial"/>
          <w:sz w:val="11"/>
          <w:szCs w:val="11"/>
          <w:color w:val="auto"/>
        </w:rPr>
        <w:t>No. 9,364,435 and invalidated all claims of U.S. Patent No. 9,404,127. The United States Court of Appeals for the Federal Circuit (the “Federal Circuit”) heard oral arguments with respect to U.S. Patent Nos. 8,058,069 and 9,364,435 in October 2021 and decisions are pending. The Federal Circuit vacated and remanded the PTAB’s decision on U.S. Patent No. 9,494,127. The PTAB’s decision with respect to U.S. Patent No. 9,494,127 had been held in administrative abeyance pending a review following a recent Supreme Court ruling in an unrelated case. The matter is now pending before the Federal Circuit and at the briefing stage. Additionally, one European patent (EU patent no. EP2279254) relating to lipid nanoparticle molar ratios that Genevant exclusively licenses from Arbutus is the subject of an opposition proceeding brought by Merck Sharp &amp; Dohme Corporation and Moderna at the European Patent Office Opposition Division. The outcome following legal assertions of invalidity and unenforceability is unpredictable. An adverse determination in any such submission, proceeding or litigation could reduce the scope of, or invalidate, our patent rights, allow third parties to commercialize our technology or product candidates and compete directly with us, without payment to us, result in our inability to manufacture or commercialize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19"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 party may develop a competitive product that provides benefits similar to one or more of our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 candidates, it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175"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b w:val="1"/>
          <w:bCs w:val="1"/>
          <w:i w:val="1"/>
          <w:iCs w:val="1"/>
          <w:color w:val="auto"/>
        </w:rPr>
        <w:t>Patent terms and their scope may be inadequate to protect our competitive position on current and future product candidates for an adequate amount of time.</w:t>
      </w:r>
    </w:p>
    <w:p>
      <w:pPr>
        <w:spacing w:after="0" w:line="43"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72"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13" w:lineRule="auto"/>
        <w:rPr>
          <w:sz w:val="20"/>
          <w:szCs w:val="20"/>
          <w:color w:val="auto"/>
        </w:rPr>
      </w:pPr>
      <w:r>
        <w:rPr>
          <w:rFonts w:ascii="Arial" w:cs="Arial" w:eastAsia="Arial" w:hAnsi="Arial"/>
          <w:sz w:val="10"/>
          <w:szCs w:val="10"/>
          <w:color w:val="auto"/>
        </w:rPr>
        <w:t>issuing the patent. Also, the patent term may be extended for a period of time to compensate for at least a portion of the time a product candidate was undergoing FDA regulatory review. However, the life of a patent, and the protection it affords, are limited. Even if patents covering product candidates are obtained, once the patent life has expired, we may be open to competition from competitive product candidates, including generics or biosimilars. Given the amount of time required for the development, testing and regulatory review of new product candidates, patents protecting such candidates might expire before or shortly after such candidates are commercialized. For example, the patent covering the use of tapinarof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ours.</w:t>
      </w:r>
    </w:p>
    <w:p>
      <w:pPr>
        <w:spacing w:after="0" w:line="174" w:lineRule="exact"/>
        <w:rPr>
          <w:sz w:val="20"/>
          <w:szCs w:val="20"/>
          <w:color w:val="auto"/>
        </w:rPr>
      </w:pPr>
    </w:p>
    <w:p>
      <w:pPr>
        <w:ind w:left="1980" w:right="979"/>
        <w:spacing w:after="0" w:line="375" w:lineRule="auto"/>
        <w:rPr>
          <w:sz w:val="20"/>
          <w:szCs w:val="20"/>
          <w:color w:val="auto"/>
        </w:rPr>
      </w:pPr>
      <w:r>
        <w:rPr>
          <w:rFonts w:ascii="Arial" w:cs="Arial" w:eastAsia="Arial" w:hAnsi="Arial"/>
          <w:sz w:val="10"/>
          <w:szCs w:val="10"/>
          <w:b w:val="1"/>
          <w:bCs w:val="1"/>
          <w:i w:val="1"/>
          <w:iCs w:val="1"/>
          <w:color w:val="auto"/>
        </w:rPr>
        <w:t>We do not currently and may not in the future own or license any issued composition of matter patents covering certain of our product candidates, including tapinarof, and we cannot be certain that any of our other issued patents will provide adequate protection for such product candidates.</w:t>
      </w:r>
    </w:p>
    <w:p>
      <w:pPr>
        <w:spacing w:after="0" w:line="1"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While we generally seek composition of matter patents for our product candidates, such patents may not be available for all of our product candidates. For example, we do not own or in-license any issued composition of matter patents in the United States or any other jurisdiction with respect to tapinarof. Instead, we rely on an issued U.S. patent claiming topical formulations of tapinarof, including the formulation studied in Phase 3,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1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Method-of-use patents protect the use of a product for the specified method and formulation patents cover formulations of the API. These types of patents do not prevent a competitor or other third 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3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 candidates is not sufficient to impede such competition or is otherwise threatened, it could dissuade companies from collaborating with us to develop, and threaten our ability to commercialize, our product candidates. Any of the foregoing could have a material adverse effect on our business, financial condition, results of operations and prospects.</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i w:val="1"/>
          <w:iCs w:val="1"/>
          <w:color w:val="auto"/>
        </w:rPr>
        <w:t>If we do not obtain protection under the Hatch-Waxman Amendments by extending the patent term, our business may be harmed.</w:t>
      </w:r>
    </w:p>
    <w:p>
      <w:pPr>
        <w:spacing w:after="0" w:line="78"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Our commercial success will largely depend on our ability to obtain and maintain patent and other intellectual property in the United States and other countries with respect to our proprietary technology, product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72"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298" w:lineRule="auto"/>
        <w:rPr>
          <w:sz w:val="20"/>
          <w:szCs w:val="20"/>
          <w:color w:val="auto"/>
        </w:rPr>
      </w:pPr>
      <w:r>
        <w:rPr>
          <w:rFonts w:ascii="Arial" w:cs="Arial" w:eastAsia="Arial" w:hAnsi="Arial"/>
          <w:sz w:val="11"/>
          <w:szCs w:val="11"/>
          <w:color w:val="auto"/>
        </w:rPr>
        <w:t>candidates and our target indications. Given the amount of time required for the development, testing and regulatory review of new product candidates, patents protecting our product candidates might expire before or shortly after such candidate begins to be commercialized. We expect to seek extensions of patent terms in the United States and, if available, in other countries where we are prosecuting patents.</w:t>
      </w:r>
    </w:p>
    <w:p>
      <w:pPr>
        <w:spacing w:after="0" w:line="10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w:t>
      </w:r>
    </w:p>
    <w:p>
      <w:pPr>
        <w:spacing w:after="0" w:line="120"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177" w:lineRule="exact"/>
        <w:rPr>
          <w:sz w:val="20"/>
          <w:szCs w:val="20"/>
          <w:color w:val="auto"/>
        </w:rPr>
      </w:pPr>
    </w:p>
    <w:p>
      <w:pPr>
        <w:jc w:val="both"/>
        <w:ind w:left="1980" w:right="1079"/>
        <w:spacing w:after="0" w:line="263"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5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product candidates or any future product candidate, our competitors might be able to enter the market earlier than anticipated, which would have an adverse effect on our business.</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72"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b w:val="1"/>
          <w:bCs w:val="1"/>
          <w:i w:val="1"/>
          <w:iCs w:val="1"/>
          <w:color w:val="auto"/>
        </w:rPr>
        <w:t>We rely on certain in-licensed patents and other intellectual property rights in connection with our development of certain product candidates and, if we fail to comply with our obligations under our existing and any future intellectual property licenses with third parties, we could lose license rights that are important to our business.</w:t>
      </w:r>
    </w:p>
    <w:p>
      <w:pPr>
        <w:spacing w:after="0" w:line="50"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Our ability to develop and commercialize product candidates is dependent on licenses to patent rights and other intellectual property granted to it by third parties. Further, development and commercialization of our current product candidates, and development of any future product candidates, may require us to enter into additional license or collaboration agreements.</w:t>
      </w:r>
    </w:p>
    <w:p>
      <w:pPr>
        <w:spacing w:after="0" w:line="122" w:lineRule="exact"/>
        <w:rPr>
          <w:sz w:val="20"/>
          <w:szCs w:val="20"/>
          <w:color w:val="auto"/>
        </w:rPr>
      </w:pPr>
    </w:p>
    <w:p>
      <w:pPr>
        <w:ind w:left="1980" w:right="979" w:firstLine="294"/>
        <w:spacing w:after="0" w:line="279" w:lineRule="auto"/>
        <w:rPr>
          <w:sz w:val="20"/>
          <w:szCs w:val="20"/>
          <w:color w:val="auto"/>
        </w:rPr>
      </w:pPr>
      <w:r>
        <w:rPr>
          <w:rFonts w:ascii="Arial" w:cs="Arial" w:eastAsia="Arial" w:hAnsi="Arial"/>
          <w:sz w:val="11"/>
          <w:szCs w:val="11"/>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spacing w:after="0" w:line="54" w:lineRule="exact"/>
        <w:rPr>
          <w:sz w:val="20"/>
          <w:szCs w:val="20"/>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financial or other obligations under the license agreement;</w:t>
      </w:r>
    </w:p>
    <w:p>
      <w:pPr>
        <w:spacing w:after="0" w:line="87" w:lineRule="exact"/>
        <w:rPr>
          <w:rFonts w:ascii="Arial" w:cs="Arial" w:eastAsia="Arial" w:hAnsi="Arial"/>
          <w:sz w:val="12"/>
          <w:szCs w:val="12"/>
          <w:color w:val="auto"/>
        </w:rPr>
      </w:pPr>
    </w:p>
    <w:p>
      <w:pPr>
        <w:ind w:left="2620" w:right="127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extent to which our technology and product candidates infringe on intellectual property of the licensor that is not subject to the licensing agreement;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sublicensing of patent and other rights;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diligence obligations under the license agreements and what activities satisfy those diligence obligations;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inventorship or ownership of inventions and know-how resulting from the joint creation or use of intellectual property by our licensors and us and our partners;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priority of invention of patented technology.</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If disputes over intellectual property that we have licensed prevent or impair our ability to maintain our current licensing arrangements on acceptable terms, we may be unable to successfully develop and commercialize our product candidates. If our licenses are terminated, we may lose our rights to develop and market our technology and product candidates, lose patent protection for our product candidates and technology, experience significant delays in the development and commercialization of our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15"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Moreover, if disputes over intellectual property that we license prevent or impair our ability to maintain other licensing arrangements on commercially acceptable terms,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72"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05"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In addition, in some circumstances, we may not have the right to control the preparation, filing and prosecution of patent applications, or to maintain or enforce the patents, covering technology that it licenses from third parties. For example, pursuant to the license agreement we have with the Cincinnati Children’s Hospital Medical Center (“CCHMC”), CCHMC controls such activities for certain patents licensed to ASG under such agreement, subject to ASG’s right to review and comment.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 candidates that are the subject of such licensed rights could be adversely affected.</w:t>
      </w:r>
    </w:p>
    <w:p>
      <w:pPr>
        <w:spacing w:after="0" w:line="103"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IMVT-1401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tapinarof in China, including Hong Kong, Macau or Taiwan, as such rights were retained by Welichem Biotech Inc.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92"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b w:val="1"/>
          <w:bCs w:val="1"/>
          <w:i w:val="1"/>
          <w:iCs w:val="1"/>
          <w:color w:val="auto"/>
        </w:rPr>
        <w:t>Third party claims or litigation alleging infringement, misappropriation or other violations of third-party patents or other proprietary rights or seeking to invalidate our patents or other proprietary rights, may delay or prevent the development and commercialization of our product candidates and any future product candidate.</w:t>
      </w:r>
    </w:p>
    <w:p>
      <w:pPr>
        <w:spacing w:after="0" w:line="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and post-grant review before the USPTO, as well as oppositions and similar processes in other</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72"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8" w:lineRule="auto"/>
        <w:rPr>
          <w:sz w:val="20"/>
          <w:szCs w:val="20"/>
          <w:color w:val="auto"/>
        </w:rPr>
      </w:pPr>
      <w:r>
        <w:rPr>
          <w:rFonts w:ascii="Arial" w:cs="Arial" w:eastAsia="Arial" w:hAnsi="Arial"/>
          <w:sz w:val="11"/>
          <w:szCs w:val="11"/>
          <w:color w:val="auto"/>
        </w:rPr>
        <w:t>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 candidates. For example, we are aware of third-party patents and patent applications that, if issued as patents, could be construed in a manner that negatively impacts the commercialization of ARU-1801. If any such patents were held by a court of competent jurisdiction to cover ARU-1801, we may be required to cease development or commercialization of ARU-1801 unless we obtain a license under the applicable patents, or until such patents expire. Such a license may not be available on commercially reasonable terms, may only be available on a non-exclusive basis or may not be available at all. We could also be required to pay damages, which could be significant, including treble damages and attorneys’ fees if we are found to have willfully infringed such patents.</w:t>
      </w:r>
    </w:p>
    <w:p>
      <w:pPr>
        <w:spacing w:after="0" w:line="116"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Additionally,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any of our product candidates,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2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and/or other forms of compensation to third parties.</w:t>
      </w:r>
    </w:p>
    <w:p>
      <w:pPr>
        <w:spacing w:after="0" w:line="120"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Some of our competitors may be able to sustain the costs of complex intellectual property litigation more effectively than we can because the competitors have substantially greater resources. In addition, intellectual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72"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59" w:lineRule="auto"/>
        <w:rPr>
          <w:sz w:val="20"/>
          <w:szCs w:val="20"/>
          <w:color w:val="auto"/>
        </w:rPr>
      </w:pPr>
      <w:r>
        <w:rPr>
          <w:rFonts w:ascii="Arial" w:cs="Arial" w:eastAsia="Arial" w:hAnsi="Arial"/>
          <w:sz w:val="12"/>
          <w:szCs w:val="12"/>
          <w:color w:val="auto"/>
        </w:rPr>
        <w:t>property litigation, regardless of its outcome, may cause negative publicity, adversely impact prospective customers, cause product shipment delays, or prohibit us from manufacturing, marketing or otherwise commercializing our product candidates,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24"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177"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identify relevant third-party patents or may incorrectly interpret the relevance, scope or expiration of a third-party patent, which might harm our ability to develop and market our product candidates.</w:t>
      </w:r>
    </w:p>
    <w:p>
      <w:pPr>
        <w:spacing w:after="0" w:line="43"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 issue. Therefore, patent applications covering our product candidates could have been filed by others without our knowledge. Additionally, pending patent applications that have been published can, subject to certain limitations, be later amended in a manner that could cover our product candidates, any future product candidates, or the use thereof, provided such pending patent applications result in issued patents. Our ability to develop and market our product candidate or any future product candidates can be adversely affected in jurisdictions where such patents are issued.</w:t>
      </w:r>
    </w:p>
    <w:p>
      <w:pPr>
        <w:spacing w:after="0" w:line="103"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product candidates or any future product candidates, if approved.</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0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43"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Competitors may infringe, misappropriate or otherwise violate our patents, the patents of our licensors or our other intellectual property rights. To counter infringement or unauthorized use, we may be required to file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72"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5" w:lineRule="auto"/>
        <w:rPr>
          <w:sz w:val="20"/>
          <w:szCs w:val="20"/>
          <w:color w:val="auto"/>
        </w:rPr>
      </w:pPr>
      <w:r>
        <w:rPr>
          <w:rFonts w:ascii="Arial" w:cs="Arial" w:eastAsia="Arial" w:hAnsi="Arial"/>
          <w:sz w:val="11"/>
          <w:szCs w:val="11"/>
          <w:color w:val="auto"/>
        </w:rPr>
        <w:t xml:space="preserve">and prosecute legal claims against one or more third parties, which can be expensive and time-consuming, even if ultimately successful. In addition, 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123"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Even if we establish infringement,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2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2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72"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cases, we may decide that the more prudent course of action is to simply monitor the situation or initiate or seek some other non-litigious action or solution.</w:t>
      </w:r>
    </w:p>
    <w:p>
      <w:pPr>
        <w:spacing w:after="0" w:line="187" w:lineRule="exact"/>
        <w:rPr>
          <w:sz w:val="20"/>
          <w:szCs w:val="20"/>
          <w:color w:val="auto"/>
        </w:rPr>
      </w:pPr>
    </w:p>
    <w:p>
      <w:pPr>
        <w:ind w:left="1980" w:right="979"/>
        <w:spacing w:after="0" w:line="375" w:lineRule="auto"/>
        <w:rPr>
          <w:sz w:val="20"/>
          <w:szCs w:val="20"/>
          <w:color w:val="auto"/>
        </w:rPr>
      </w:pPr>
      <w:r>
        <w:rPr>
          <w:rFonts w:ascii="Arial" w:cs="Arial" w:eastAsia="Arial" w:hAnsi="Arial"/>
          <w:sz w:val="10"/>
          <w:szCs w:val="10"/>
          <w:b w:val="1"/>
          <w:bCs w:val="1"/>
          <w:i w:val="1"/>
          <w:iCs w:val="1"/>
          <w:color w:val="auto"/>
        </w:rPr>
        <w:t>Because many of the patents we own are owned by our subsidiaries, and in certain cases by subsidiaries that are not or will not be directly commercializing products, we may not be in a position to obtain a permanent injunction against a third party that is found to infringe our patents.</w:t>
      </w:r>
    </w:p>
    <w:p>
      <w:pPr>
        <w:spacing w:after="0" w:line="1"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Many patents that we own are assigned to our subsidiaries or to their respective subsidiaries. For example, any patents that Immunovant owns are assigned to its wholly-owned subsidiary Immunovant Sciences GmbH and any patents that Dermavant owns are assigned to its wholly-owned subsidiary Dermavant Sciences GmbH. If a third party is found to be infringing such patents, we and our direct subsidiaries may not be able to permanently enjoin the third party from making, using, offering for sale or selling the infringing product or activity for the remaining life of such patent in the United States or other jurisdictions when the patent is assigned to a subsidiary, which is not the entity that is or would be commercializing a potentially competitive product or service. In such a circumstance, such third party may be able to compete with us or our subsidiaries, which could have a material adverse effect on our competitive position, business, financial condition, results of operations, and prospects.</w:t>
      </w:r>
    </w:p>
    <w:p>
      <w:pPr>
        <w:spacing w:after="0" w:line="187"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Changes in U.S. patent law or the patent law of other countries or jurisdictions could diminish the value of patents in general, thereby impairing our ability to protect our product candidates.</w:t>
      </w:r>
    </w:p>
    <w:p>
      <w:pPr>
        <w:spacing w:after="0" w:line="4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2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recently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17"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15"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In addition, the United States federal government retains certain rights in inventions produced with its financial assistance under the Bayh-Dole Act. The federal government retains a “nonexclusive, nontransferable,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72"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in-licensed patent rights and technology for certain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 party of its reserved rights could have a material adverse effect on our competitive position, business, financial condition, results of operations, and prospects.</w:t>
      </w:r>
    </w:p>
    <w:p>
      <w:pPr>
        <w:spacing w:after="0" w:line="19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The validity, scope and enforceability of any patents listed in the Orange Book that cover our product candidates or patents that cover our biologic product candidates can be challenged by third parties.</w:t>
      </w:r>
    </w:p>
    <w:p>
      <w:pPr>
        <w:spacing w:after="0" w:line="4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If one of our product candidates is approved by the FDA and if a third party files an application under Section 505(b)(2) or an abbreviated new drug application (“ANDA”) under Section 505(j) for a generic product containing any of our product candidates, including tapinarof (which, following the natural expiration of our method of use patent family, will be protected only by our formulation patent), and relies in whole or in part on studies conducted by or for us, the third party will be required to certify to the FDA that either: (1) there is no patent information listed in the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product. A certification under 21 CFR § 314.94(a)(12)(i)(A)(4) that the new product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16"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Moreover, a third party may challenge the current patents, or patents that may issue in the future, within our portfolio, which could result in the invalidation of some or all of the patents that might otherwise be eligible for listing in the Orange Book for one of our products. If a third party successfully challenges all of the patents that</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72"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might otherwise be eligible for listing in the Orange Book for one of our products before an ANDA or 505(b)(2) NDA is filed we will be unable to obtain a 30-month stay of FDA approval of a 505(b)(2) or ANDA.</w:t>
      </w:r>
    </w:p>
    <w:p>
      <w:pPr>
        <w:spacing w:after="0" w:line="11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For example, our three issued U.S. patents covering tapinarof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tapinarof and successfully challenging the validity of the three patents or successfully designing around the three patents. Any successful challenge against the three patents and/or designing around one or more of the patents could result in a generic version of tapinarof being commercialized before the expiration of the three patents. If the three patents are successfully challenged or designed around, our business, results of operations, financial condition and prospects would be harmed.</w:t>
      </w:r>
    </w:p>
    <w:p>
      <w:pPr>
        <w:spacing w:after="0" w:line="128"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17"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product candidates.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78"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11"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 candidates and may also export infringing product candidates to territories where we have patent protection, but enforcement is not as strong as that in the United States. These product candidates may compete with our product candidates and our patents or other intellectual property rights may not be effective or sufficient to prevent them from competing.</w:t>
      </w:r>
    </w:p>
    <w:p>
      <w:pPr>
        <w:spacing w:after="0" w:line="97"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do not have patent rights in all countries in which a market may exist. Moreover, in jurisdictions where we do have patent rights, proceedings to enforce such rights could result in substantial costs and divert our efforts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72"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 candidates and services that are the same as or similar to our product candidates and services, and our competitive position would be harmed.</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 candidates,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7"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i w:val="1"/>
          <w:iCs w:val="1"/>
          <w:color w:val="auto"/>
        </w:rPr>
        <w:t>If we are unable to protect the confidentiality of any trade secrets, our business and competitive position would be harmed.</w:t>
      </w:r>
    </w:p>
    <w:p>
      <w:pPr>
        <w:spacing w:after="0" w:line="7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to seeking patents for any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Because we rely and expect to continue to rely on third parties to manufacture our product candidates and future product candidates, and we collaborate and expect to continue to collaborate with third parties on the development of current and future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72"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13"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 party’s discovery of our trade secrets, including our proprietary software, would impair our competitive position and have an adverse impact on our business.</w:t>
      </w:r>
    </w:p>
    <w:p>
      <w:pPr>
        <w:spacing w:after="0" w:line="117"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 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 party, our competitive position would be harmed.</w:t>
      </w:r>
    </w:p>
    <w:p>
      <w:pPr>
        <w:spacing w:after="0" w:line="188" w:lineRule="exact"/>
        <w:rPr>
          <w:sz w:val="20"/>
          <w:szCs w:val="20"/>
          <w:color w:val="auto"/>
        </w:rPr>
      </w:pPr>
    </w:p>
    <w:p>
      <w:pPr>
        <w:ind w:left="1980" w:right="979"/>
        <w:spacing w:after="0" w:line="375" w:lineRule="auto"/>
        <w:rPr>
          <w:sz w:val="20"/>
          <w:szCs w:val="20"/>
          <w:color w:val="auto"/>
        </w:rPr>
      </w:pPr>
      <w:r>
        <w:rPr>
          <w:rFonts w:ascii="Arial" w:cs="Arial" w:eastAsia="Arial" w:hAnsi="Arial"/>
          <w:sz w:val="10"/>
          <w:szCs w:val="10"/>
          <w:b w:val="1"/>
          <w:bCs w:val="1"/>
          <w:i w:val="1"/>
          <w:iCs w:val="1"/>
          <w:color w:val="auto"/>
        </w:rPr>
        <w:t>Certain software utilized in our computational drug discovery efforts may include third party open source software. Any failure to comply with the terms of one or more open source software licenses could adversely affect our business, subject us to litigation, or create potential liability.</w:t>
      </w:r>
    </w:p>
    <w:p>
      <w:pPr>
        <w:spacing w:after="0" w:line="1"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Certain software utilized in our computational drug discovery efforts may include third 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15"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Use of open source software may entail greater risks than use of third-party commercial software, as open source licensors generally do not provide warranties, controls on the origin of the software or other contractual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72"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306" w:lineRule="auto"/>
        <w:rPr>
          <w:sz w:val="20"/>
          <w:szCs w:val="20"/>
          <w:color w:val="auto"/>
        </w:rPr>
      </w:pPr>
      <w:r>
        <w:rPr>
          <w:rFonts w:ascii="Arial" w:cs="Arial" w:eastAsia="Arial" w:hAnsi="Arial"/>
          <w:sz w:val="10"/>
          <w:szCs w:val="10"/>
          <w:color w:val="auto"/>
        </w:rPr>
        <w:t>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w:t>
      </w:r>
    </w:p>
    <w:p>
      <w:pPr>
        <w:spacing w:after="0" w:line="1"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191"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43"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and product candidates and could result in our inability to develop, manufacture or commercialize our product candidates without infringing third-party patent rights. Such intellectual property rights could be awarded to a third party, and we could be required to obtain a license from such third party to commercialize our current or future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or ownership of our patents and other intellectual property.</w:t>
      </w:r>
    </w:p>
    <w:p>
      <w:pPr>
        <w:spacing w:after="0" w:line="7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72"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as exclusive ownership of, or right to use, intellectual property that is important to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2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addition, while it is our policy to require our employees,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187"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43"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15"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product candidates, if approved. Any of the foregoing could harm our business, financial condition, results of operations and prospects.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successful in obtaining necessary intellectual property rights to future product candidates through acquisitions and in-licenses.</w:t>
      </w:r>
    </w:p>
    <w:p>
      <w:pPr>
        <w:spacing w:after="0" w:line="101"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A third 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72"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i w:val="1"/>
          <w:iCs w:val="1"/>
          <w:color w:val="auto"/>
        </w:rPr>
        <w:t>Any trademarks we have obtained or may obtain may be infringed or successfully challenged, resulting in harm to our business.</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rely on trademarks as one means to distinguish product candidates that are approved for marketing from the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19"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78"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 xml:space="preserve">Once granted, patents may remain open to invalidity challenges including opposition, interference, re-examination, post-grant review, </w:t>
      </w:r>
      <w:r>
        <w:rPr>
          <w:rFonts w:ascii="Arial" w:cs="Arial" w:eastAsia="Arial" w:hAnsi="Arial"/>
          <w:sz w:val="10"/>
          <w:szCs w:val="10"/>
          <w:i w:val="1"/>
          <w:iCs w:val="1"/>
          <w:color w:val="auto"/>
        </w:rPr>
        <w:t>inter partes</w:t>
      </w:r>
      <w:r>
        <w:rPr>
          <w:rFonts w:ascii="Arial" w:cs="Arial" w:eastAsia="Arial" w:hAnsi="Arial"/>
          <w:sz w:val="10"/>
          <w:szCs w:val="10"/>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72"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2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Moreover, if a third party has intellectual property rights that cover the practice of our technology, we may not be able to fully exercise or extract value from our intellectual property rights. The following examples are illustrative:</w:t>
      </w:r>
    </w:p>
    <w:p>
      <w:pPr>
        <w:spacing w:after="0" w:line="52" w:lineRule="exact"/>
        <w:rPr>
          <w:sz w:val="20"/>
          <w:szCs w:val="20"/>
          <w:color w:val="auto"/>
        </w:rPr>
      </w:pPr>
    </w:p>
    <w:p>
      <w:pPr>
        <w:ind w:left="2620" w:right="91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others may be able to make formulations or compositions that are the same as or similar to product candidates, but that are not covered by the claims of the patents that we own;</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others may be able to make product candidates that are similar to product candidates that we intend to commercialize that are not covered by the patents that we exclusively licensed and have the right to enforce;</w:t>
      </w:r>
    </w:p>
    <w:p>
      <w:pPr>
        <w:spacing w:after="0" w:line="51"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our licensor or any collaborators might not have been the first to make or reduce to practice the inventions covered by the issued patents or pending patent applications that we own or have exclusively licensed;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we or our licensor or any collaborators might not have been the first to file patent applications covering certain of our inventions;</w:t>
      </w:r>
    </w:p>
    <w:p>
      <w:pPr>
        <w:spacing w:after="0" w:line="98" w:lineRule="exact"/>
        <w:rPr>
          <w:rFonts w:ascii="Arial" w:cs="Arial" w:eastAsia="Arial" w:hAnsi="Arial"/>
          <w:sz w:val="11"/>
          <w:szCs w:val="11"/>
          <w:color w:val="auto"/>
        </w:rPr>
      </w:pPr>
    </w:p>
    <w:p>
      <w:pPr>
        <w:ind w:left="2620" w:right="137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w:t>
      </w:r>
    </w:p>
    <w:p>
      <w:pPr>
        <w:spacing w:after="0" w:line="51" w:lineRule="exact"/>
        <w:rPr>
          <w:rFonts w:ascii="Arial" w:cs="Arial" w:eastAsia="Arial" w:hAnsi="Arial"/>
          <w:sz w:val="12"/>
          <w:szCs w:val="12"/>
          <w:color w:val="auto"/>
        </w:rPr>
      </w:pPr>
    </w:p>
    <w:p>
      <w:pPr>
        <w:ind w:left="2620" w:right="879" w:hanging="288"/>
        <w:spacing w:after="0" w:line="289" w:lineRule="auto"/>
        <w:tabs>
          <w:tab w:leader="none" w:pos="26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47" w:lineRule="exact"/>
        <w:rPr>
          <w:rFonts w:ascii="Arial" w:cs="Arial" w:eastAsia="Arial" w:hAnsi="Arial"/>
          <w:sz w:val="11"/>
          <w:szCs w:val="11"/>
          <w:color w:val="auto"/>
        </w:rPr>
      </w:pPr>
    </w:p>
    <w:p>
      <w:pPr>
        <w:ind w:left="2620" w:right="89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third parties performing manufacturing or testing for us using our product candidates or technologies could use the intellectual property of others without obtaining a proper license;</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parties may assert an ownership interest in our intellectual property and, if successful, such disputes may preclude us from exercising exclusive rights over that intellectual property;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may not develop or in-license additional proprietary technologies that are patentable;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may not be able to obtain and maintain necessary licenses on commercially reasonable terms, or at all;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patents of others may harm our business; and</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may choose not to file a patent application in order to maintain certain trade secrets or know-how, and a third party may subsequently file a patent application covering such intellectual property.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Should any of these events occur, they could significantly harm our business and results of operations.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72"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Securities, our Jurisdiction of Incorporation and Certain Tax Matters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listing of our securities on Nasdaq did not benefit from the process undertaken in connection with an underwritten initial public offering.</w:t>
      </w:r>
    </w:p>
    <w:p>
      <w:pPr>
        <w:spacing w:after="0" w:line="101"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Our Common Shares and our Warrants are listed on Nasdaq under the symbols “ROIV” and “ROIVW,” respectively. Unlike an underwritten initial public offering of our securities, the initial listing of our securities as a result of the Business Combination did not benefit from the following:</w:t>
      </w:r>
    </w:p>
    <w:p>
      <w:pPr>
        <w:spacing w:after="0" w:line="29" w:lineRule="exact"/>
        <w:rPr>
          <w:sz w:val="20"/>
          <w:szCs w:val="20"/>
          <w:color w:val="auto"/>
        </w:rPr>
      </w:pPr>
    </w:p>
    <w:p>
      <w:pPr>
        <w:ind w:left="2620" w:right="859" w:hanging="288"/>
        <w:spacing w:after="0" w:line="276" w:lineRule="auto"/>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book-building process undertaken by underwriters that helps to inform efficient price discovery with respect to opening trades of newly listed securities;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underwriter support to help stabilize, maintain or affect the public price of the new issue immediately after listing; and</w:t>
      </w:r>
    </w:p>
    <w:p>
      <w:pPr>
        <w:spacing w:after="0" w:line="87" w:lineRule="exact"/>
        <w:rPr>
          <w:rFonts w:ascii="Arial" w:cs="Arial" w:eastAsia="Arial" w:hAnsi="Arial"/>
          <w:sz w:val="12"/>
          <w:szCs w:val="12"/>
          <w:color w:val="auto"/>
        </w:rPr>
      </w:pPr>
    </w:p>
    <w:p>
      <w:pPr>
        <w:ind w:left="2620" w:right="899" w:hanging="288"/>
        <w:spacing w:after="0" w:line="323" w:lineRule="auto"/>
        <w:tabs>
          <w:tab w:leader="none" w:pos="26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underwriter due diligence review of the offering and potential liability for material misstatements or omissions of fact in a prospectus used in connection with the securities being offered or for statements made by its securities analysts or other personnel.</w:t>
      </w:r>
    </w:p>
    <w:p>
      <w:pPr>
        <w:spacing w:after="0" w:line="92"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If our performance does not meet market expectations, the price of our securities may decline.</w:t>
      </w:r>
    </w:p>
    <w:p>
      <w:pPr>
        <w:spacing w:after="0" w:line="78"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9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Factors affecting the trading price of our Common Shares may include:</w:t>
      </w:r>
    </w:p>
    <w:p>
      <w:pPr>
        <w:spacing w:after="0" w:line="87" w:lineRule="exact"/>
        <w:rPr>
          <w:sz w:val="20"/>
          <w:szCs w:val="20"/>
          <w:color w:val="auto"/>
        </w:rPr>
      </w:pPr>
    </w:p>
    <w:p>
      <w:pPr>
        <w:ind w:left="2620" w:right="1059" w:hanging="288"/>
        <w:spacing w:after="0" w:line="276" w:lineRule="auto"/>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actual or anticipated fluctuations in our quarterly and annual financial results or the quarterly and annual financial results of companies perceived to be similar to it;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the market’s expectations about operating results;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operating results failing to meet market expectations in a particular period;</w:t>
      </w:r>
    </w:p>
    <w:p>
      <w:pPr>
        <w:spacing w:after="0" w:line="87" w:lineRule="exact"/>
        <w:rPr>
          <w:rFonts w:ascii="Arial" w:cs="Arial" w:eastAsia="Arial" w:hAnsi="Arial"/>
          <w:sz w:val="12"/>
          <w:szCs w:val="12"/>
          <w:color w:val="auto"/>
        </w:rPr>
      </w:pPr>
    </w:p>
    <w:p>
      <w:pPr>
        <w:ind w:left="2620" w:right="1039" w:hanging="288"/>
        <w:spacing w:after="0" w:line="323" w:lineRule="auto"/>
        <w:tabs>
          <w:tab w:leader="none" w:pos="26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results of clinical trials or pre-clinical studies conducted by us and the Vants;</w:t>
      </w:r>
    </w:p>
    <w:p>
      <w:pPr>
        <w:spacing w:after="0" w:line="87"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financial estimates and recommendations by securities analysts concerning us, the Vants or the biopharmaceutical industry and market in general;</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operating and stock price performance of other companies that investors deem comparable to us;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laws and regulations affecting our and the Vants’ businesses;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commencement of, or involvement in, litigation involving MAAC or us;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our capital structure, such as future issuances of securities or the incurrence of debt;</w:t>
      </w:r>
    </w:p>
    <w:p>
      <w:pPr>
        <w:spacing w:after="0" w:line="87" w:lineRule="exact"/>
        <w:rPr>
          <w:rFonts w:ascii="Arial" w:cs="Arial" w:eastAsia="Arial" w:hAnsi="Arial"/>
          <w:sz w:val="12"/>
          <w:szCs w:val="12"/>
          <w:color w:val="auto"/>
        </w:rPr>
      </w:pPr>
    </w:p>
    <w:p>
      <w:pPr>
        <w:ind w:left="2620" w:right="919" w:hanging="288"/>
        <w:spacing w:after="0" w:line="298" w:lineRule="auto"/>
        <w:tabs>
          <w:tab w:leader="none" w:pos="26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volume of our Common Shares available for public sale, which may be limited due to, among other reasons, the extent of redemptions by MAAC stockholders in connection with the consummation of the Business Consummation and the relatively limited free float of our Common Shares, particularly prior to the expiration of the lock-up provisions described elsewhere in this prospectus;</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72"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significant change in our board of directors or management;</w:t>
      </w:r>
    </w:p>
    <w:p>
      <w:pPr>
        <w:spacing w:after="0" w:line="87"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sales of substantial amounts of our Common Shares directors, executive officers or significant shareholders or the perception that such sales could occur; and</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general economic and political conditions such as recessions, interest rates, fuel prices, international currency fluctuations and acts of war or terrorism.</w:t>
      </w:r>
    </w:p>
    <w:p>
      <w:pPr>
        <w:spacing w:after="0" w:line="115"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172" w:lineRule="exact"/>
        <w:rPr>
          <w:sz w:val="20"/>
          <w:szCs w:val="20"/>
          <w:color w:val="auto"/>
        </w:rPr>
      </w:pPr>
    </w:p>
    <w:p>
      <w:pPr>
        <w:ind w:left="1980" w:right="979"/>
        <w:spacing w:after="0" w:line="298" w:lineRule="auto"/>
        <w:rPr>
          <w:sz w:val="20"/>
          <w:szCs w:val="20"/>
          <w:color w:val="auto"/>
        </w:rPr>
      </w:pPr>
      <w:r>
        <w:rPr>
          <w:rFonts w:ascii="Arial" w:cs="Arial" w:eastAsia="Arial" w:hAnsi="Arial"/>
          <w:sz w:val="11"/>
          <w:szCs w:val="11"/>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33"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1" w:lineRule="exact"/>
        <w:rPr>
          <w:sz w:val="20"/>
          <w:szCs w:val="20"/>
          <w:color w:val="auto"/>
        </w:rPr>
      </w:pPr>
    </w:p>
    <w:p>
      <w:pPr>
        <w:ind w:left="1980" w:right="1179" w:hanging="8"/>
        <w:spacing w:after="0" w:line="260" w:lineRule="auto"/>
        <w:tabs>
          <w:tab w:leader="none" w:pos="2150" w:val="left"/>
        </w:tabs>
        <w:numPr>
          <w:ilvl w:val="0"/>
          <w:numId w:val="40"/>
        </w:numPr>
        <w:rPr>
          <w:rFonts w:ascii="Arial" w:cs="Arial" w:eastAsia="Arial" w:hAnsi="Arial"/>
          <w:sz w:val="12"/>
          <w:szCs w:val="12"/>
          <w:color w:val="auto"/>
        </w:rPr>
      </w:pPr>
      <w:r>
        <w:rPr>
          <w:rFonts w:ascii="Arial" w:cs="Arial" w:eastAsia="Arial" w:hAnsi="Arial"/>
          <w:sz w:val="12"/>
          <w:szCs w:val="12"/>
          <w:color w:val="auto"/>
        </w:rPr>
        <w:t>having service of process made upon such warrant holder in any such enforcement action by service upon such warrant holder’s counsel in the foreign action as agent for such warrant holder.</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72"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40" w:lineRule="auto"/>
        <w:rPr>
          <w:sz w:val="20"/>
          <w:szCs w:val="20"/>
          <w:color w:val="auto"/>
        </w:rPr>
      </w:pPr>
      <w:r>
        <w:rPr>
          <w:rFonts w:ascii="Arial" w:cs="Arial" w:eastAsia="Arial" w:hAnsi="Arial"/>
          <w:sz w:val="10"/>
          <w:szCs w:val="10"/>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Our Warrants were initially issued by MAAC in registered form under a warrant agreement between Continental Stock Transfer &amp; Trust Company (“CST”), as warrant agent, and us but American Stock Transfer &amp; Trust Company has assumed CST’s responsibilities as warrant agent under the warrant agreement.</w:t>
      </w:r>
    </w:p>
    <w:p>
      <w:pPr>
        <w:spacing w:after="0" w:line="122"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191"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have and will continue to incur increased costs as a result of operating as a public company and our management has and will continue to devote a substantial amount of time to new compliance initiatives.</w:t>
      </w:r>
    </w:p>
    <w:p>
      <w:pPr>
        <w:spacing w:after="0" w:line="43"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spacing w:after="0" w:line="124"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As a public company, we are subject to the reporting requirements of the Exchange Act, the Sarbanes-Oxley Act and the Dodd-Frank Act, as well as rules adopted, and to be adopted, by the SEC and the Nasdaq.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b w:val="1"/>
          <w:bCs w:val="1"/>
          <w:i w:val="1"/>
          <w:iCs w:val="1"/>
          <w:color w:val="auto"/>
        </w:rPr>
        <w:t>Our failure to timely and effectively implement controls and procedures required by Section 404(a) of the Sarbanes-Oxley Act that will be applicable to us after the Business Combination is consummated could have a material adverse effect on our business.</w:t>
      </w:r>
    </w:p>
    <w:p>
      <w:pPr>
        <w:spacing w:after="0" w:line="20"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Management is implementing controls and procedures that it expects will adequately respond to the increased regulatory compliance and reporting requirements applicable after the Business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72"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Combination.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22"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28" w:lineRule="exact"/>
        <w:rPr>
          <w:sz w:val="20"/>
          <w:szCs w:val="20"/>
          <w:color w:val="auto"/>
        </w:rPr>
      </w:pPr>
    </w:p>
    <w:p>
      <w:pPr>
        <w:ind w:left="1980" w:right="979" w:firstLine="294"/>
        <w:spacing w:after="0" w:line="326" w:lineRule="auto"/>
        <w:rPr>
          <w:sz w:val="20"/>
          <w:szCs w:val="20"/>
          <w:color w:val="auto"/>
        </w:rPr>
      </w:pPr>
      <w:r>
        <w:rPr>
          <w:rFonts w:ascii="Arial" w:cs="Arial" w:eastAsia="Arial" w:hAnsi="Arial"/>
          <w:sz w:val="10"/>
          <w:szCs w:val="10"/>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redeem your unexpired Warrants prior to their exercise at a time that is disadvantageous to you, thereby making your Warrants worthless.</w:t>
      </w:r>
    </w:p>
    <w:p>
      <w:pPr>
        <w:spacing w:after="0" w:line="10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 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pacing w:after="0" w:line="11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72"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185"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Changes in laws or regulations, or a failure to comply with any laws and regulations, may adversely affect our business, investments and results of operations.</w:t>
      </w:r>
    </w:p>
    <w:p>
      <w:pPr>
        <w:spacing w:after="0" w:line="4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5"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2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Our memorandum of association and bye-laws contain provisions that could make it more difficult for a third-party to acquire us without the consent of our board of directors. These provisions provide for:</w:t>
      </w:r>
    </w:p>
    <w:p>
      <w:pPr>
        <w:spacing w:after="0" w:line="52" w:lineRule="exact"/>
        <w:rPr>
          <w:sz w:val="20"/>
          <w:szCs w:val="20"/>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classified board of directors with staggered three-year terms;</w:t>
      </w:r>
    </w:p>
    <w:p>
      <w:pPr>
        <w:spacing w:after="0" w:line="87" w:lineRule="exact"/>
        <w:rPr>
          <w:rFonts w:ascii="Arial" w:cs="Arial" w:eastAsia="Arial" w:hAnsi="Arial"/>
          <w:sz w:val="12"/>
          <w:szCs w:val="12"/>
          <w:color w:val="auto"/>
        </w:rPr>
      </w:pPr>
    </w:p>
    <w:p>
      <w:pPr>
        <w:ind w:left="2620" w:right="1219" w:hanging="288"/>
        <w:spacing w:after="0" w:line="276" w:lineRule="auto"/>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ability of our board of directors to determine the powers, preferences and rights of preference shares and to cause us to issue the preference shares without shareholder approval;</w:t>
      </w:r>
    </w:p>
    <w:p>
      <w:pPr>
        <w:spacing w:after="0" w:line="51" w:lineRule="exact"/>
        <w:rPr>
          <w:rFonts w:ascii="Arial" w:cs="Arial" w:eastAsia="Arial" w:hAnsi="Arial"/>
          <w:sz w:val="12"/>
          <w:szCs w:val="12"/>
          <w:color w:val="auto"/>
        </w:rPr>
      </w:pPr>
    </w:p>
    <w:p>
      <w:pPr>
        <w:ind w:left="2620" w:right="899" w:hanging="288"/>
        <w:spacing w:after="0" w:line="263" w:lineRule="auto"/>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requiring advance notice for shareholder proposals and nominations and placing limitations on convening shareholder meetings.</w:t>
      </w:r>
    </w:p>
    <w:p>
      <w:pPr>
        <w:spacing w:after="0" w:line="162"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9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43"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72"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85"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Common Shares,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Pursuant to our 2021 Equity Incentive Plan (the “2021 EIP”), we are authorized to grant options and other share-based awards to our employees, directors and consultants. The aggregate number of shares initially reserved for issuance under the 2021 EIP will be increased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If securities analysts publish negative evaluations of our shares, the price of our Common Shares could decline.</w:t>
      </w:r>
    </w:p>
    <w:p>
      <w:pPr>
        <w:spacing w:after="0" w:line="78"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200" w:lineRule="exact"/>
        <w:rPr>
          <w:sz w:val="20"/>
          <w:szCs w:val="20"/>
          <w:color w:val="auto"/>
        </w:rPr>
      </w:pPr>
    </w:p>
    <w:p>
      <w:pPr>
        <w:ind w:left="1980" w:right="1779"/>
        <w:spacing w:after="0" w:line="276" w:lineRule="auto"/>
        <w:rPr>
          <w:sz w:val="20"/>
          <w:szCs w:val="20"/>
          <w:color w:val="auto"/>
        </w:rPr>
      </w:pPr>
      <w:r>
        <w:rPr>
          <w:rFonts w:ascii="Arial" w:cs="Arial" w:eastAsia="Arial" w:hAnsi="Arial"/>
          <w:sz w:val="12"/>
          <w:szCs w:val="12"/>
          <w:b w:val="1"/>
          <w:bCs w:val="1"/>
          <w:i w:val="1"/>
          <w:iCs w:val="1"/>
          <w:color w:val="auto"/>
        </w:rPr>
        <w:t>Our founder and certain of our largest shareholders will own a substantial portion of our Common Shares. As a result, there may be limited liquidity for our Common Shares.</w:t>
      </w:r>
    </w:p>
    <w:p>
      <w:pPr>
        <w:spacing w:after="0" w:line="43"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Our founder and certain of our largest shareholders hold a significant percentage of our Common Shares. Such shareholders are subject to certain lock-up arrangements and as a result there may initially be limited liquidity in the trading market for our Common Shares. In addition, even once the applicable lock-up periods expire, the liquidity for our Common Shares may remain limited given the substantial holdings of such</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72"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shareholders, which could make the price of our Common Shares more volatile and may make it more difficult for investors to buy or sell large amounts of our Common Shares.</w:t>
      </w:r>
    </w:p>
    <w:p>
      <w:pPr>
        <w:spacing w:after="0" w:line="187"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43"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pacing w:after="0" w:line="18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43"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Bermuda law differs from the laws in effect in the U.S. and may afford less protection to our shareholders.</w:t>
      </w:r>
    </w:p>
    <w:p>
      <w:pPr>
        <w:spacing w:after="0" w:line="78" w:lineRule="exact"/>
        <w:rPr>
          <w:sz w:val="20"/>
          <w:szCs w:val="20"/>
          <w:color w:val="auto"/>
        </w:rPr>
      </w:pPr>
    </w:p>
    <w:p>
      <w:pPr>
        <w:ind w:left="1980" w:right="839" w:firstLine="294"/>
        <w:spacing w:after="0" w:line="308" w:lineRule="auto"/>
        <w:rPr>
          <w:sz w:val="20"/>
          <w:szCs w:val="20"/>
          <w:color w:val="auto"/>
        </w:rPr>
      </w:pPr>
      <w:r>
        <w:rPr>
          <w:rFonts w:ascii="Arial" w:cs="Arial" w:eastAsia="Arial" w:hAnsi="Arial"/>
          <w:sz w:val="10"/>
          <w:szCs w:val="10"/>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0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72"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There are regulatory limitations on the ownership and transfer of our Common Shares.</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become subject to unanticipated tax liabilities and higher effective tax rates.</w:t>
      </w:r>
    </w:p>
    <w:p>
      <w:pPr>
        <w:spacing w:after="0" w:line="78"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additional tax liability could materially adversely affect our results of operations.</w:t>
      </w:r>
    </w:p>
    <w:p>
      <w:pPr>
        <w:spacing w:after="0" w:line="187"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4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are incorporated under the laws of Bermuda. We currently have subsidiaries in the U.S., U.K., Switzerland, China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they could require it to adjust its transfer prices and thereby reallocate its income to reflect these revised transfer prices, which could result in a higher tax liability to</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72"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24"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15"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Changes in our effective tax rate may reduce our net income in future periods.</w:t>
      </w:r>
    </w:p>
    <w:p>
      <w:pPr>
        <w:spacing w:after="0" w:line="78"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Our tax position could be adversely impacted by changes in tax rates, tax laws, tax practice, tax treaties or tax regulations or changes in the interpretation thereof by the tax authorities in Europe (including the U.K. and Switzerland), the U.S., Bermuda, China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or the interpretation of such tax laws, and changes in U.S. generally accepted accounting principles; and (7) challenges to the transfer pricing policies related to our structure.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IRS may not agree that we should be treated as a non-U.S. corporation for U.S. federal income tax purposes.</w:t>
      </w:r>
    </w:p>
    <w:p>
      <w:pPr>
        <w:spacing w:after="0" w:line="78" w:lineRule="exact"/>
        <w:rPr>
          <w:sz w:val="20"/>
          <w:szCs w:val="20"/>
          <w:color w:val="auto"/>
        </w:rPr>
      </w:pPr>
    </w:p>
    <w:p>
      <w:pPr>
        <w:jc w:val="both"/>
        <w:ind w:left="1980" w:right="1239" w:firstLine="294"/>
        <w:spacing w:after="0" w:line="263" w:lineRule="auto"/>
        <w:rPr>
          <w:sz w:val="20"/>
          <w:szCs w:val="20"/>
          <w:color w:val="auto"/>
        </w:rPr>
      </w:pPr>
      <w:r>
        <w:rPr>
          <w:rFonts w:ascii="Arial" w:cs="Arial" w:eastAsia="Arial" w:hAnsi="Arial"/>
          <w:sz w:val="12"/>
          <w:szCs w:val="12"/>
          <w:color w:val="auto"/>
        </w:rPr>
        <w:t>Under current U.S. federal income tax law, a corporation generally will be considered to be a U.S. corporation for U.S. federal income tax purposes only if it is created or organized in the United States or under the law of the United States or of any State. Accordingly, under generally applicable U.S. federal income tax</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72"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8" w:lineRule="auto"/>
        <w:rPr>
          <w:sz w:val="20"/>
          <w:szCs w:val="20"/>
          <w:color w:val="auto"/>
        </w:rPr>
      </w:pPr>
      <w:r>
        <w:rPr>
          <w:rFonts w:ascii="Arial" w:cs="Arial" w:eastAsia="Arial" w:hAnsi="Arial"/>
          <w:sz w:val="11"/>
          <w:szCs w:val="11"/>
          <w:color w:val="auto"/>
        </w:rPr>
        <w:t>rules, we, while we were not created or organized in the United States or under the law of the United States or of any State but is instead a Bermuda incorporated entity and tax resident of the U.K., would generally be classified as a non-U.S. corporation. Section 7874 of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“U.S. Holders” of us would be subject to U.S. withholding tax. We believe that we should not be treated as a U.S. corporation for U.S. federal income tax purposes under Section 7874 of the Code. However, the interpretation of Treasury regulations relating to the required ownership of us is subject to uncertainty and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188" w:lineRule="exact"/>
        <w:rPr>
          <w:sz w:val="20"/>
          <w:szCs w:val="20"/>
          <w:color w:val="auto"/>
        </w:rPr>
      </w:pPr>
    </w:p>
    <w:p>
      <w:pPr>
        <w:ind w:left="1980" w:right="899"/>
        <w:spacing w:after="0" w:line="375" w:lineRule="auto"/>
        <w:rPr>
          <w:sz w:val="20"/>
          <w:szCs w:val="20"/>
          <w:color w:val="auto"/>
        </w:rPr>
      </w:pPr>
      <w:r>
        <w:rPr>
          <w:rFonts w:ascii="Arial" w:cs="Arial" w:eastAsia="Arial" w:hAnsi="Arial"/>
          <w:sz w:val="10"/>
          <w:szCs w:val="10"/>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1"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16"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believe that we will not be classified as a CFC in the current taxable year. However, it is possible that our non-U.S. subsidiaries could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U.S. holders of our Common Shares may suffer adverse tax consequences if we are characterized as a passive foreign investment company.</w:t>
      </w:r>
    </w:p>
    <w:p>
      <w:pPr>
        <w:spacing w:after="0" w:line="101"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72"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3" w:lineRule="auto"/>
        <w:rPr>
          <w:sz w:val="20"/>
          <w:szCs w:val="20"/>
          <w:color w:val="auto"/>
        </w:rPr>
      </w:pPr>
      <w:r>
        <w:rPr>
          <w:rFonts w:ascii="Arial" w:cs="Arial" w:eastAsia="Arial" w:hAnsi="Arial"/>
          <w:sz w:val="10"/>
          <w:szCs w:val="10"/>
          <w:color w:val="auto"/>
        </w:rPr>
        <w:t>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10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w:t>
      </w:r>
    </w:p>
    <w:p>
      <w:pPr>
        <w:spacing w:after="0" w:line="12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Recently adopted Treasury regulations (the “New Regulations”), modify certain of the rules described above. Such modifications include, for example, permitting asset value to be determined more frequently than on a quarterly basis and treating a non-U.S. corporation as publicly traded for a taxable year if the stock of such corporation is publicly traded, other than in de minimis quantities, for at least twenty trading days during such taxable year.</w:t>
      </w:r>
    </w:p>
    <w:p>
      <w:pPr>
        <w:spacing w:after="0" w:line="12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The New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New Regulations and certain other Treasury regulations for such year and all subsequent years. Investors who are U.S. holders should consult their own tax advisors regarding the impact and applicability of the New Regulations.</w:t>
      </w:r>
    </w:p>
    <w:p>
      <w:pPr>
        <w:spacing w:after="0" w:line="128"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Because our Common Shares should be considered to be “publicly traded” for the current taxable year that ends on March 31, 2022, we should apply the 50% passive asset test using the fair market value of our assets. This determination, however, is subject to uncertainty. In addition, our status may also depend, in part, on how quickly we utilize our cash on-hand and cash from future financings in our business.</w:t>
      </w:r>
    </w:p>
    <w:p>
      <w:pPr>
        <w:spacing w:after="0" w:line="105"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Based on the foregoing, with respect to the taxable year that ended on March 31, 2021, we believe that we were not a PFIC (based in part on our belief that we were not classified as a CFC in the taxable year that ended on March 31, 2021) and presently do not anticipate that we will be a PFIC based upon the expected value of our assets, including any goodwill and intangible property, and the expected nature and composition of our income and assets. However, our status as a PFIC is a fact-intensive determination made on an annual basis, and we cannot provide any assurances regarding our PFIC status for the current or future taxable years. Our U.S. counsel expresses no opinion with respect to our PFIC status for the current or future taxable years. We will determine our PFIC status for each taxable year and make such determination available to U.S. holders.</w:t>
      </w:r>
    </w:p>
    <w:p>
      <w:pPr>
        <w:spacing w:after="0" w:line="113"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We have implemented structures and arrangements intended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recently finalized U.S. Treasury regulations, of which we are continuing to assess the impact, may also adversely affect the treatment of these structures and arrangements with respect to our PFIC status.</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72"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Any sales of Common Shares or Warrants by the Holders pursuant to this prospectus will be solely for the Holders’ respective accounts. The Company will not receive any proceeds from any such sales.</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Company will receive up to an aggregate of approximately $353.6 million from the exercise of the Warrants, assuming the exercise in full of all of the Warrants for cash. The Company expects to use any such net proceeds from the exercise of the Warrants for general corporate purposes. The Company will have broad discretion over the use of proceeds from the exercise of the Warrants. There is no assurance that the holders of the Warrants will elect to exercise any or all of such Warrants.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Holders will pay any underwriting fees, discounts and selling commissions incurred by such Holders in connection with any sale of their Common Shares. The Company will bear all other costs, fees and expenses incurred in effecting the registration of the Common Shares covered by this prospectus, including, without limitation, all registration and filing fees, Nasdaq listing fees and fees and expenses of counsel and independent registered public accountants.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72"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DETERMINATION OF OFFERING PRICE</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The offering price of the Common Shares underlying the Warrants offered hereby is determined by reference to the exercise price of the Warrants of $11.50 per share. The Public Warrants are listed on The Nasdaq Global Market under the symbol “ROIVW.”</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cannot currently determine the price or prices at which Common Shares may be sold by the Holders under this prospectus.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72"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auto"/>
        </w:rPr>
        <w:t>MARKET INFORMATION FOR COMMON STOCK AND DIVIDEND POLICY</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Common Shares and Public Warrants are currently listed on The Nasdaq Global Market under the symbols “ROIV” and “ROIVW,” respectively. Prior to the consummation of the Merger, MAAC Class A Shares and MAAC Warrants were listed on Nasdaq under the symbols “MAAC” and “MAACW,” respectively. As of As of October 26, 2021, there were 219 holders of record of our Common Shares and one holder of record of our Public Warrants.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Policy</w:t>
      </w:r>
    </w:p>
    <w:p>
      <w:pPr>
        <w:spacing w:after="0" w:line="82" w:lineRule="exact"/>
        <w:rPr>
          <w:sz w:val="20"/>
          <w:szCs w:val="20"/>
          <w:color w:val="auto"/>
        </w:rPr>
      </w:pPr>
    </w:p>
    <w:p>
      <w:pPr>
        <w:ind w:left="1980" w:right="879" w:firstLine="294"/>
        <w:spacing w:after="0" w:line="326" w:lineRule="auto"/>
        <w:rPr>
          <w:sz w:val="20"/>
          <w:szCs w:val="20"/>
          <w:color w:val="auto"/>
        </w:rPr>
      </w:pPr>
      <w:r>
        <w:rPr>
          <w:rFonts w:ascii="Arial" w:cs="Arial" w:eastAsia="Arial" w:hAnsi="Arial"/>
          <w:sz w:val="10"/>
          <w:szCs w:val="10"/>
          <w:color w:val="auto"/>
        </w:rPr>
        <w:t>We have not declared or paid any dividends on our Common Shares or the Warrants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72"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15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following unaudited pro forma condensed combined balance sheet of Roivant as of June 30, 2021 and the unaudited pro forma condensed combined statements of operations of Roivant for the year ended March 31, 2021 and the three months ended June 30, 2021 are based on the historical financial statements of MAAC and Roivant after giving effect to the Business Combination and PIPE Financing, as outlined below.</w:t>
      </w:r>
    </w:p>
    <w:p>
      <w:pPr>
        <w:spacing w:after="0" w:line="10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unaudited pro forma condensed combined financial information has been prepared in accordance with Article 11 of Regulation S-X, Pro Forma Financial Information, as amended by Release No. 33-10786 “Amendments to Financial Disclosures about Acquired and Disposed Businesses.” The unaudited pro forma condensed combined statements of operations for the year ended March 31, 2021 and the three months ended June 30, 2021 give pro forma effect to the Business Combination and PIPE Financing as if they were completed on April 1, 2020. The unaudited pro forma condensed combined balance sheet as of June 30, 2021 gives pro forma effect to the Business Combination and PIPE Financing as if they were completed on June 30, 2021.</w:t>
      </w:r>
    </w:p>
    <w:p>
      <w:pPr>
        <w:spacing w:after="0" w:line="12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The unaudited pro forma condensed combined financial information is based on and should be read in conjunction with the audited historical financial statements of Roivant for the year ended March 31, 2021, and the unaudited historical financial statements of Roivant as of and for the three months ended June 30, 2021; and the audited historical financial statements of MAAC for the period from July 6, 2020 (inception) through December 31, 2020, and the unaudited historical financial statements of MAAC as of and for the three and six months ended June 30, 2021 and the notes thereto; as well as the disclosures contained in the section titled “Management’s Discussion and Analysis of Financial Condition and Results of Operations,” and the equivalent disclosure in MAAC’s Annual Report on Form 10-K for the year ended December 31, 2020 and its Quarterly Report on Form 10-Q for the three and six months ended June 30, 2021, as filed with the SEC.</w:t>
      </w:r>
    </w:p>
    <w:p>
      <w:pPr>
        <w:spacing w:after="0" w:line="115"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The unaudited pro forma condensed combined financial information has been presented for illustrative purposes only and does not necessarily reflect what Roivant’s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Roivant. The actual financial position and results of operations may differ significantly from the pro forma amounts reflected herein due to a variety of factors. The unaudited pro forma transaction accounting adjustments represent management’s estimates based on information available as of the date of this unaudited pro forma condensed combined financial information and are subject to change as additional information becomes available and analyses are performed.</w:t>
      </w:r>
    </w:p>
    <w:p>
      <w:pPr>
        <w:spacing w:after="0" w:line="115"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On September 30, 2021, Roivant completed its previously announced Business Combination with MAAC through the merger of Roivant’s wholly owned subsidiary, Merger Sub, with MAAC, with MAAC surviving the Business Combination as a wholly owned subsidiary of Roivant.</w:t>
      </w:r>
    </w:p>
    <w:p>
      <w:pPr>
        <w:spacing w:after="0" w:line="9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Prior to the Business Combination, MAAC’s stockholders had the right to elect to redeem all or a portion of their MAAC Class A Shares for a per share price calculated in accordance with MAAC’s governing documents. The unaudited pro forma condensed combined financial statements presented herein reflect the actual redemption of 38,400,312 MAAC Class A Shares by MAAC’s stockholders (the “Redemptions”). The Business Combination Agreement provided that the obligation of Roivant to consummate the Business Combination was conditioned on, among other things, the aggregate proceeds available for release to MAAC from MAAC’s Trust Account being equal to or greater than $210.0 million at the time of Closing (the “Minimum Cash Condition”). As a result of the Redemptions, the proceeds available for release to MAAC from MAAC’s Trust Account were less than $210.0 million and the Minimum Cash Condition was not satisfied. Roivant agreed to waive the Minimum Cash Condition and the Business Combination closed on September 30, 2021.</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72"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BALANCE SHEET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AS OF JUNE 30, 2021</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84"/>
              </w:rPr>
              <w:t>Transaction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99"/>
        </w:trPr>
        <w:tc>
          <w:tcPr>
            <w:tcW w:w="4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98"/>
              </w:rPr>
              <w:t>Roivant</w:t>
            </w:r>
          </w:p>
        </w:tc>
        <w:tc>
          <w:tcPr>
            <w:tcW w:w="80" w:type="dxa"/>
            <w:vAlign w:val="bottom"/>
          </w:tcPr>
          <w:p>
            <w:pPr>
              <w:spacing w:after="0"/>
              <w:rPr>
                <w:sz w:val="8"/>
                <w:szCs w:val="8"/>
                <w:color w:val="auto"/>
              </w:rPr>
            </w:pPr>
          </w:p>
        </w:tc>
        <w:tc>
          <w:tcPr>
            <w:tcW w:w="54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MAAC</w:t>
            </w:r>
          </w:p>
        </w:tc>
        <w:tc>
          <w:tcPr>
            <w:tcW w:w="660" w:type="dxa"/>
            <w:vAlign w:val="bottom"/>
            <w:gridSpan w:val="3"/>
          </w:tcPr>
          <w:p>
            <w:pPr>
              <w:jc w:val="right"/>
              <w:ind w:right="160"/>
              <w:spacing w:after="0" w:line="99" w:lineRule="exact"/>
              <w:rPr>
                <w:sz w:val="20"/>
                <w:szCs w:val="20"/>
                <w:color w:val="auto"/>
              </w:rPr>
            </w:pPr>
            <w:r>
              <w:rPr>
                <w:rFonts w:ascii="Arial" w:cs="Arial" w:eastAsia="Arial" w:hAnsi="Arial"/>
                <w:sz w:val="10"/>
                <w:szCs w:val="10"/>
                <w:b w:val="1"/>
                <w:bCs w:val="1"/>
                <w:color w:val="auto"/>
                <w:w w:val="87"/>
              </w:rPr>
              <w:t>Accounting</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3"/>
        </w:trPr>
        <w:tc>
          <w:tcPr>
            <w:tcW w:w="4420" w:type="dxa"/>
            <w:vAlign w:val="bottom"/>
          </w:tcPr>
          <w:p>
            <w:pPr>
              <w:spacing w:after="0"/>
              <w:rPr>
                <w:sz w:val="9"/>
                <w:szCs w:val="9"/>
                <w:color w:val="auto"/>
              </w:rPr>
            </w:pPr>
          </w:p>
        </w:tc>
        <w:tc>
          <w:tcPr>
            <w:tcW w:w="64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87"/>
              </w:rPr>
              <w:t>(Historical)</w:t>
            </w:r>
          </w:p>
        </w:tc>
        <w:tc>
          <w:tcPr>
            <w:tcW w:w="6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(Historical)</w:t>
            </w:r>
          </w:p>
        </w:tc>
        <w:tc>
          <w:tcPr>
            <w:tcW w:w="6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Adjustments</w:t>
            </w:r>
          </w:p>
        </w:tc>
        <w:tc>
          <w:tcPr>
            <w:tcW w:w="42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Note 3</w:t>
            </w:r>
          </w:p>
        </w:tc>
        <w:tc>
          <w:tcPr>
            <w:tcW w:w="580" w:type="dxa"/>
            <w:vAlign w:val="bottom"/>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Pro Forma</w:t>
            </w:r>
          </w:p>
        </w:tc>
      </w:tr>
      <w:tr>
        <w:trPr>
          <w:trHeight w:val="124"/>
        </w:trPr>
        <w:tc>
          <w:tcPr>
            <w:tcW w:w="4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4420" w:type="dxa"/>
            <w:vAlign w:val="bottom"/>
          </w:tcPr>
          <w:p>
            <w:pPr>
              <w:spacing w:after="0"/>
              <w:rPr>
                <w:sz w:val="20"/>
                <w:szCs w:val="20"/>
                <w:color w:val="auto"/>
              </w:rPr>
            </w:pPr>
            <w:r>
              <w:rPr>
                <w:rFonts w:ascii="Arial" w:cs="Arial" w:eastAsia="Arial" w:hAnsi="Arial"/>
                <w:sz w:val="11"/>
                <w:szCs w:val="11"/>
                <w:color w:val="auto"/>
              </w:rPr>
              <w:t>Current Assets:</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1,996,733</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1,173</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193,821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(a),(b)</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3"/>
              </w:rPr>
              <w:t>2,191,727</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2,711</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2,711</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current assets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58,165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128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58,293</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Due from underwriters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r>
      <w:tr>
        <w:trPr>
          <w:trHeight w:val="133"/>
        </w:trPr>
        <w:tc>
          <w:tcPr>
            <w:tcW w:w="4420" w:type="dxa"/>
            <w:vAlign w:val="bottom"/>
            <w:shd w:val="clear" w:color="auto" w:fill="CCEEFF"/>
          </w:tcPr>
          <w:p>
            <w:pPr>
              <w:ind w:left="420"/>
              <w:spacing w:after="0"/>
              <w:rPr>
                <w:sz w:val="20"/>
                <w:szCs w:val="20"/>
                <w:color w:val="auto"/>
              </w:rPr>
            </w:pPr>
            <w:r>
              <w:rPr>
                <w:rFonts w:ascii="Arial" w:cs="Arial" w:eastAsia="Arial" w:hAnsi="Arial"/>
                <w:sz w:val="11"/>
                <w:szCs w:val="11"/>
                <w:b w:val="1"/>
                <w:bCs w:val="1"/>
                <w:color w:val="auto"/>
              </w:rPr>
              <w:t>Total current assets</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3"/>
              </w:rPr>
              <w:t>2,057,609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1,301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193,821</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3"/>
              </w:rPr>
              <w:t>2,252,731</w:t>
            </w:r>
          </w:p>
        </w:tc>
      </w:tr>
      <w:tr>
        <w:trPr>
          <w:trHeight w:val="131"/>
        </w:trPr>
        <w:tc>
          <w:tcPr>
            <w:tcW w:w="4420" w:type="dxa"/>
            <w:vAlign w:val="bottom"/>
          </w:tcPr>
          <w:p>
            <w:pPr>
              <w:ind w:left="200"/>
              <w:spacing w:after="0"/>
              <w:rPr>
                <w:sz w:val="20"/>
                <w:szCs w:val="20"/>
                <w:color w:val="auto"/>
              </w:rPr>
            </w:pPr>
            <w:r>
              <w:rPr>
                <w:rFonts w:ascii="Arial" w:cs="Arial" w:eastAsia="Arial" w:hAnsi="Arial"/>
                <w:sz w:val="11"/>
                <w:szCs w:val="11"/>
                <w:color w:val="auto"/>
              </w:rPr>
              <w:t>Property and equipment, net</w:t>
            </w: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15,550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15,550</w:t>
            </w:r>
          </w:p>
        </w:tc>
        <w:tc>
          <w:tcPr>
            <w:tcW w:w="60" w:type="dxa"/>
            <w:vAlign w:val="bottom"/>
          </w:tcPr>
          <w:p>
            <w:pPr>
              <w:spacing w:after="0"/>
              <w:rPr>
                <w:sz w:val="11"/>
                <w:szCs w:val="11"/>
                <w:color w:val="auto"/>
              </w:rPr>
            </w:pPr>
          </w:p>
        </w:tc>
      </w:tr>
      <w:tr>
        <w:trPr>
          <w:trHeight w:val="137"/>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lease right-of-use assets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65,163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65,163</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Restricted cash, net of current portion</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8,933</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8,933</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Marketable Securities held in Trust Account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5"/>
              </w:rPr>
              <w:t>410,798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3"/>
              </w:rPr>
              <w:t>(410,798)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(c)</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Investments measured at fair value</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180,359</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180,359</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Long-term investment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100,563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100,563</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26,520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(5,623)</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(b)</w:t>
            </w: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20,897</w:t>
            </w:r>
          </w:p>
        </w:tc>
      </w:tr>
      <w:tr>
        <w:trPr>
          <w:trHeight w:val="20"/>
        </w:trPr>
        <w:tc>
          <w:tcPr>
            <w:tcW w:w="4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4420" w:type="dxa"/>
            <w:vAlign w:val="bottom"/>
            <w:shd w:val="clear" w:color="auto" w:fill="CCEEFF"/>
          </w:tcPr>
          <w:p>
            <w:pPr>
              <w:ind w:left="420"/>
              <w:spacing w:after="0"/>
              <w:rPr>
                <w:sz w:val="20"/>
                <w:szCs w:val="20"/>
                <w:color w:val="auto"/>
              </w:rPr>
            </w:pPr>
            <w:r>
              <w:rPr>
                <w:rFonts w:ascii="Arial" w:cs="Arial" w:eastAsia="Arial" w:hAnsi="Arial"/>
                <w:sz w:val="11"/>
                <w:szCs w:val="11"/>
                <w:b w:val="1"/>
                <w:bCs w:val="1"/>
                <w:color w:val="auto"/>
              </w:rPr>
              <w:t>Total Assets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3"/>
              </w:rPr>
              <w:t>2,454,697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5"/>
              </w:rPr>
              <w:t>412,099</w:t>
            </w:r>
          </w:p>
        </w:tc>
        <w:tc>
          <w:tcPr>
            <w:tcW w:w="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3"/>
              </w:rPr>
              <w:t>(222,600)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3"/>
              </w:rPr>
              <w:t>2,644,196</w:t>
            </w:r>
          </w:p>
        </w:tc>
      </w:tr>
      <w:tr>
        <w:trPr>
          <w:trHeight w:val="142"/>
        </w:trPr>
        <w:tc>
          <w:tcPr>
            <w:tcW w:w="4420" w:type="dxa"/>
            <w:vAlign w:val="bottom"/>
          </w:tcPr>
          <w:p>
            <w:pPr>
              <w:spacing w:after="0"/>
              <w:rPr>
                <w:sz w:val="20"/>
                <w:szCs w:val="20"/>
                <w:color w:val="auto"/>
              </w:rPr>
            </w:pPr>
            <w:r>
              <w:rPr>
                <w:rFonts w:ascii="Arial" w:cs="Arial" w:eastAsia="Arial" w:hAnsi="Arial"/>
                <w:sz w:val="11"/>
                <w:szCs w:val="11"/>
                <w:b w:val="1"/>
                <w:bCs w:val="1"/>
                <w:color w:val="auto"/>
              </w:rPr>
              <w:t>Liabilities, Redeemable Noncontrolling Interest and Shareholders’ Equity</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7"/>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15,014</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3,257</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18,271</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Accrued expenses</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73,788</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5,615</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79,403</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lease liabilities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12,055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12,055</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Deferred consideration liability</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100,000</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current liabilities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8,301</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8,406</w:t>
            </w:r>
          </w:p>
        </w:tc>
      </w:tr>
      <w:tr>
        <w:trPr>
          <w:trHeight w:val="131"/>
        </w:trPr>
        <w:tc>
          <w:tcPr>
            <w:tcW w:w="4420" w:type="dxa"/>
            <w:vAlign w:val="bottom"/>
          </w:tcPr>
          <w:p>
            <w:pPr>
              <w:ind w:left="420"/>
              <w:spacing w:after="0"/>
              <w:rPr>
                <w:sz w:val="20"/>
                <w:szCs w:val="20"/>
                <w:color w:val="auto"/>
              </w:rPr>
            </w:pPr>
            <w:r>
              <w:rPr>
                <w:rFonts w:ascii="Arial" w:cs="Arial" w:eastAsia="Arial" w:hAnsi="Arial"/>
                <w:sz w:val="11"/>
                <w:szCs w:val="11"/>
                <w:b w:val="1"/>
                <w:bCs w:val="1"/>
                <w:color w:val="auto"/>
              </w:rPr>
              <w:t>Total Current Liabilities</w:t>
            </w:r>
          </w:p>
        </w:tc>
        <w:tc>
          <w:tcPr>
            <w:tcW w:w="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209,158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8,977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218,135</w:t>
            </w:r>
          </w:p>
        </w:tc>
        <w:tc>
          <w:tcPr>
            <w:tcW w:w="60" w:type="dxa"/>
            <w:vAlign w:val="bottom"/>
          </w:tcPr>
          <w:p>
            <w:pPr>
              <w:spacing w:after="0"/>
              <w:rPr>
                <w:sz w:val="11"/>
                <w:szCs w:val="11"/>
                <w:color w:val="auto"/>
              </w:rPr>
            </w:pP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Liability instruments measured at fair value</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5,906</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47,355</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18,953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(d)</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72,214</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Operating lease liability, noncurrent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65,263</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65,263</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Deferred underwriting commissions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14,375</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(14,375)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(b)</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186,350</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186,350</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liabilities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8,188</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8,188</w:t>
            </w:r>
          </w:p>
        </w:tc>
      </w:tr>
      <w:tr>
        <w:trPr>
          <w:trHeight w:val="131"/>
        </w:trPr>
        <w:tc>
          <w:tcPr>
            <w:tcW w:w="4420" w:type="dxa"/>
            <w:vAlign w:val="bottom"/>
          </w:tcPr>
          <w:p>
            <w:pPr>
              <w:ind w:left="200"/>
              <w:spacing w:after="0"/>
              <w:rPr>
                <w:sz w:val="20"/>
                <w:szCs w:val="20"/>
                <w:color w:val="auto"/>
              </w:rPr>
            </w:pPr>
            <w:r>
              <w:rPr>
                <w:rFonts w:ascii="Arial" w:cs="Arial" w:eastAsia="Arial" w:hAnsi="Arial"/>
                <w:sz w:val="11"/>
                <w:szCs w:val="11"/>
                <w:b w:val="1"/>
                <w:bCs w:val="1"/>
                <w:color w:val="auto"/>
              </w:rPr>
              <w:t>Total Liabilities</w:t>
            </w:r>
          </w:p>
        </w:tc>
        <w:tc>
          <w:tcPr>
            <w:tcW w:w="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474,865</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70,707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4,578</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550,150</w:t>
            </w:r>
          </w:p>
        </w:tc>
        <w:tc>
          <w:tcPr>
            <w:tcW w:w="60" w:type="dxa"/>
            <w:vAlign w:val="bottom"/>
          </w:tcPr>
          <w:p>
            <w:pPr>
              <w:spacing w:after="0"/>
              <w:rPr>
                <w:sz w:val="11"/>
                <w:szCs w:val="11"/>
                <w:color w:val="auto"/>
              </w:rPr>
            </w:pPr>
          </w:p>
        </w:tc>
      </w:tr>
      <w:tr>
        <w:trPr>
          <w:trHeight w:val="135"/>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Class A common stock subject to possible redemption</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5"/>
              </w:rPr>
              <w:t>336,392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3"/>
              </w:rPr>
              <w:t>(336,392)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(e)</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tcPr>
          <w:p>
            <w:pPr>
              <w:spacing w:after="0"/>
              <w:rPr>
                <w:sz w:val="20"/>
                <w:szCs w:val="20"/>
                <w:color w:val="auto"/>
              </w:rPr>
            </w:pPr>
            <w:r>
              <w:rPr>
                <w:rFonts w:ascii="Arial" w:cs="Arial" w:eastAsia="Arial" w:hAnsi="Arial"/>
                <w:sz w:val="11"/>
                <w:szCs w:val="11"/>
                <w:color w:val="auto"/>
              </w:rPr>
              <w:t>Redeemable noncontrolling interest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22,491</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22,491</w:t>
            </w:r>
          </w:p>
        </w:tc>
      </w:tr>
      <w:tr>
        <w:trPr>
          <w:trHeight w:val="135"/>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Shareholders’ Equity:</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Class A common stock</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(e)</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Class B common stock</w:t>
            </w:r>
          </w:p>
        </w:tc>
        <w:tc>
          <w:tcPr>
            <w:tcW w:w="4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(e)</w:t>
            </w:r>
          </w:p>
        </w:tc>
        <w:tc>
          <w:tcPr>
            <w:tcW w:w="4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Additional paid-in capital</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3,824,974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23,136</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475,316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(e)</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3"/>
              </w:rPr>
              <w:t>4,323,426</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Subscription receivable</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(100,000)</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Retained earnings (accumulated deficit)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5"/>
              </w:rPr>
              <w:t>(2,000,645)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(18,138)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3"/>
              </w:rPr>
              <w:t>(366,100)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(e)</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5"/>
              </w:rPr>
              <w:t>(2,384,883)</w:t>
            </w:r>
          </w:p>
        </w:tc>
      </w:tr>
      <w:tr>
        <w:trPr>
          <w:trHeight w:val="135"/>
        </w:trPr>
        <w:tc>
          <w:tcPr>
            <w:tcW w:w="4420" w:type="dxa"/>
            <w:vAlign w:val="bottom"/>
          </w:tcPr>
          <w:p>
            <w:pPr>
              <w:ind w:left="200"/>
              <w:spacing w:after="0"/>
              <w:rPr>
                <w:sz w:val="20"/>
                <w:szCs w:val="20"/>
                <w:color w:val="auto"/>
              </w:rPr>
            </w:pPr>
            <w:r>
              <w:rPr>
                <w:rFonts w:ascii="Arial" w:cs="Arial" w:eastAsia="Arial" w:hAnsi="Arial"/>
                <w:sz w:val="11"/>
                <w:szCs w:val="11"/>
                <w:color w:val="auto"/>
              </w:rPr>
              <w:t>Accumulated other comprehensive (loss) income</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(1,207)</w:t>
            </w:r>
          </w:p>
        </w:tc>
        <w:tc>
          <w:tcPr>
            <w:tcW w:w="80" w:type="dxa"/>
            <w:vAlign w:val="bottom"/>
          </w:tcPr>
          <w:p>
            <w:pPr>
              <w:spacing w:after="0"/>
              <w:rPr>
                <w:sz w:val="11"/>
                <w:szCs w:val="11"/>
                <w:color w:val="auto"/>
              </w:rPr>
            </w:pPr>
          </w:p>
        </w:tc>
        <w:tc>
          <w:tcPr>
            <w:tcW w:w="5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(1,207)</w:t>
            </w:r>
          </w:p>
        </w:tc>
      </w:tr>
      <w:tr>
        <w:trPr>
          <w:trHeight w:val="135"/>
        </w:trPr>
        <w:tc>
          <w:tcPr>
            <w:tcW w:w="4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234,219</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234,219</w:t>
            </w:r>
          </w:p>
        </w:tc>
      </w:tr>
      <w:tr>
        <w:trPr>
          <w:trHeight w:val="145"/>
        </w:trPr>
        <w:tc>
          <w:tcPr>
            <w:tcW w:w="4420" w:type="dxa"/>
            <w:vAlign w:val="bottom"/>
          </w:tcPr>
          <w:p>
            <w:pPr>
              <w:ind w:left="420"/>
              <w:spacing w:after="0"/>
              <w:rPr>
                <w:sz w:val="20"/>
                <w:szCs w:val="20"/>
                <w:color w:val="auto"/>
              </w:rPr>
            </w:pPr>
            <w:r>
              <w:rPr>
                <w:rFonts w:ascii="Arial" w:cs="Arial" w:eastAsia="Arial" w:hAnsi="Arial"/>
                <w:sz w:val="11"/>
                <w:szCs w:val="11"/>
                <w:b w:val="1"/>
                <w:bCs w:val="1"/>
                <w:color w:val="auto"/>
              </w:rPr>
              <w:t>Total Shareholders’ Equity (Deficit)</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1,957,341</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5,000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109,214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2,071,555</w:t>
            </w:r>
          </w:p>
        </w:tc>
        <w:tc>
          <w:tcPr>
            <w:tcW w:w="60" w:type="dxa"/>
            <w:vAlign w:val="bottom"/>
          </w:tcPr>
          <w:p>
            <w:pPr>
              <w:spacing w:after="0"/>
              <w:rPr>
                <w:sz w:val="12"/>
                <w:szCs w:val="12"/>
                <w:color w:val="auto"/>
              </w:rPr>
            </w:pPr>
          </w:p>
        </w:tc>
      </w:tr>
      <w:tr>
        <w:trPr>
          <w:trHeight w:val="140"/>
        </w:trPr>
        <w:tc>
          <w:tcPr>
            <w:tcW w:w="4420" w:type="dxa"/>
            <w:vAlign w:val="bottom"/>
            <w:shd w:val="clear" w:color="auto" w:fill="CCEEFF"/>
          </w:tcPr>
          <w:p>
            <w:pPr>
              <w:ind w:left="420"/>
              <w:spacing w:after="0"/>
              <w:rPr>
                <w:sz w:val="20"/>
                <w:szCs w:val="20"/>
                <w:color w:val="auto"/>
              </w:rPr>
            </w:pPr>
            <w:r>
              <w:rPr>
                <w:rFonts w:ascii="Arial" w:cs="Arial" w:eastAsia="Arial" w:hAnsi="Arial"/>
                <w:sz w:val="11"/>
                <w:szCs w:val="11"/>
                <w:b w:val="1"/>
                <w:bCs w:val="1"/>
                <w:color w:val="auto"/>
                <w:w w:val="99"/>
              </w:rPr>
              <w:t>Total liabilities, redeemable noncontrolling interest and shareholders’ equity</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3"/>
              </w:rPr>
              <w:t>2,454,697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5"/>
              </w:rPr>
              <w:t>412,099</w:t>
            </w:r>
          </w:p>
        </w:tc>
        <w:tc>
          <w:tcPr>
            <w:tcW w:w="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3"/>
              </w:rPr>
              <w:t>(222,600)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3"/>
              </w:rPr>
              <w:t>2,644,196</w:t>
            </w:r>
          </w:p>
        </w:tc>
      </w:tr>
      <w:tr>
        <w:trPr>
          <w:trHeight w:val="20"/>
        </w:trPr>
        <w:tc>
          <w:tcPr>
            <w:tcW w:w="4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unaudited pro forma condensed combined financial information.</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72"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 COMBINED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OPERATIONS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THREE MONTHS ENDED JUNE 30, 2021</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(A)</w:t>
            </w:r>
          </w:p>
        </w:tc>
        <w:tc>
          <w:tcPr>
            <w:tcW w:w="80" w:type="dxa"/>
            <w:vAlign w:val="bottom"/>
          </w:tcPr>
          <w:p>
            <w:pPr>
              <w:spacing w:after="0"/>
              <w:rPr>
                <w:sz w:val="10"/>
                <w:szCs w:val="10"/>
                <w:color w:val="auto"/>
              </w:rPr>
            </w:pPr>
          </w:p>
        </w:tc>
        <w:tc>
          <w:tcPr>
            <w:tcW w:w="720" w:type="dxa"/>
            <w:vAlign w:val="bottom"/>
            <w:gridSpan w:val="2"/>
          </w:tcPr>
          <w:p>
            <w:pPr>
              <w:jc w:val="right"/>
              <w:ind w:right="458"/>
              <w:spacing w:after="0"/>
              <w:rPr>
                <w:sz w:val="20"/>
                <w:szCs w:val="20"/>
                <w:color w:val="auto"/>
              </w:rPr>
            </w:pPr>
            <w:r>
              <w:rPr>
                <w:rFonts w:ascii="Arial" w:cs="Arial" w:eastAsia="Arial" w:hAnsi="Arial"/>
                <w:sz w:val="10"/>
                <w:szCs w:val="10"/>
                <w:b w:val="1"/>
                <w:bCs w:val="1"/>
                <w:color w:val="auto"/>
              </w:rPr>
              <w:t>(B)</w:t>
            </w:r>
          </w:p>
        </w:tc>
        <w:tc>
          <w:tcPr>
            <w:tcW w:w="840" w:type="dxa"/>
            <w:vAlign w:val="bottom"/>
            <w:gridSpan w:val="3"/>
          </w:tcPr>
          <w:p>
            <w:pPr>
              <w:jc w:val="right"/>
              <w:ind w:right="298"/>
              <w:spacing w:after="0"/>
              <w:rPr>
                <w:sz w:val="20"/>
                <w:szCs w:val="20"/>
                <w:color w:val="auto"/>
              </w:rPr>
            </w:pPr>
            <w:r>
              <w:rPr>
                <w:rFonts w:ascii="Arial" w:cs="Arial" w:eastAsia="Arial" w:hAnsi="Arial"/>
                <w:sz w:val="10"/>
                <w:szCs w:val="10"/>
                <w:b w:val="1"/>
                <w:bCs w:val="1"/>
                <w:color w:val="auto"/>
                <w:w w:val="84"/>
              </w:rPr>
              <w:t>Transaction</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3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7"/>
              </w:rPr>
              <w:t>Roivant</w:t>
            </w:r>
          </w:p>
        </w:tc>
        <w:tc>
          <w:tcPr>
            <w:tcW w:w="80" w:type="dxa"/>
            <w:vAlign w:val="bottom"/>
          </w:tcPr>
          <w:p>
            <w:pPr>
              <w:spacing w:after="0"/>
              <w:rPr>
                <w:sz w:val="8"/>
                <w:szCs w:val="8"/>
                <w:color w:val="auto"/>
              </w:rPr>
            </w:pPr>
          </w:p>
        </w:tc>
        <w:tc>
          <w:tcPr>
            <w:tcW w:w="720" w:type="dxa"/>
            <w:vAlign w:val="bottom"/>
            <w:gridSpan w:val="2"/>
          </w:tcPr>
          <w:p>
            <w:pPr>
              <w:jc w:val="right"/>
              <w:ind w:right="358"/>
              <w:spacing w:after="0" w:line="99" w:lineRule="exact"/>
              <w:rPr>
                <w:sz w:val="20"/>
                <w:szCs w:val="20"/>
                <w:color w:val="auto"/>
              </w:rPr>
            </w:pPr>
            <w:r>
              <w:rPr>
                <w:rFonts w:ascii="Arial" w:cs="Arial" w:eastAsia="Arial" w:hAnsi="Arial"/>
                <w:sz w:val="10"/>
                <w:szCs w:val="10"/>
                <w:b w:val="1"/>
                <w:bCs w:val="1"/>
                <w:color w:val="auto"/>
                <w:w w:val="99"/>
              </w:rPr>
              <w:t>MAAC</w:t>
            </w:r>
          </w:p>
        </w:tc>
        <w:tc>
          <w:tcPr>
            <w:tcW w:w="840" w:type="dxa"/>
            <w:vAlign w:val="bottom"/>
            <w:gridSpan w:val="3"/>
          </w:tcPr>
          <w:p>
            <w:pPr>
              <w:jc w:val="right"/>
              <w:ind w:right="298"/>
              <w:spacing w:after="0" w:line="99" w:lineRule="exact"/>
              <w:rPr>
                <w:sz w:val="20"/>
                <w:szCs w:val="20"/>
                <w:color w:val="auto"/>
              </w:rPr>
            </w:pPr>
            <w:r>
              <w:rPr>
                <w:rFonts w:ascii="Arial" w:cs="Arial" w:eastAsia="Arial" w:hAnsi="Arial"/>
                <w:sz w:val="10"/>
                <w:szCs w:val="10"/>
                <w:b w:val="1"/>
                <w:bCs w:val="1"/>
                <w:color w:val="auto"/>
                <w:w w:val="87"/>
              </w:rPr>
              <w:t>Accounting</w:t>
            </w: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3"/>
        </w:trPr>
        <w:tc>
          <w:tcPr>
            <w:tcW w:w="3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1"/>
              </w:rPr>
              <w:t>(Historical)</w:t>
            </w:r>
          </w:p>
        </w:tc>
        <w:tc>
          <w:tcPr>
            <w:tcW w:w="80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(Historical)</w:t>
            </w:r>
          </w:p>
        </w:tc>
        <w:tc>
          <w:tcPr>
            <w:tcW w:w="8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Adjustments</w:t>
            </w:r>
          </w:p>
        </w:tc>
        <w:tc>
          <w:tcPr>
            <w:tcW w:w="60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w w:val="84"/>
              </w:rPr>
              <w:t>Note 3</w:t>
            </w:r>
          </w:p>
        </w:tc>
        <w:tc>
          <w:tcPr>
            <w:tcW w:w="60" w:type="dxa"/>
            <w:vAlign w:val="bottom"/>
          </w:tcPr>
          <w:p>
            <w:pPr>
              <w:spacing w:after="0"/>
              <w:rPr>
                <w:sz w:val="9"/>
                <w:szCs w:val="9"/>
                <w:color w:val="auto"/>
              </w:rPr>
            </w:pPr>
          </w:p>
        </w:tc>
        <w:tc>
          <w:tcPr>
            <w:tcW w:w="680" w:type="dxa"/>
            <w:vAlign w:val="bottom"/>
            <w:gridSpan w:val="2"/>
          </w:tcPr>
          <w:p>
            <w:pPr>
              <w:jc w:val="right"/>
              <w:ind w:right="138"/>
              <w:spacing w:after="0" w:line="114" w:lineRule="exact"/>
              <w:rPr>
                <w:sz w:val="20"/>
                <w:szCs w:val="20"/>
                <w:color w:val="auto"/>
              </w:rPr>
            </w:pPr>
            <w:r>
              <w:rPr>
                <w:rFonts w:ascii="Arial" w:cs="Arial" w:eastAsia="Arial" w:hAnsi="Arial"/>
                <w:sz w:val="10"/>
                <w:szCs w:val="10"/>
                <w:b w:val="1"/>
                <w:bCs w:val="1"/>
                <w:color w:val="auto"/>
                <w:w w:val="95"/>
              </w:rPr>
              <w:t>Pro Forma</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 net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7,735</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7,735</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38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742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742</w:t>
            </w:r>
          </w:p>
        </w:tc>
      </w:tr>
      <w:tr>
        <w:trPr>
          <w:trHeight w:val="144"/>
        </w:trPr>
        <w:tc>
          <w:tcPr>
            <w:tcW w:w="338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78,626</w:t>
            </w:r>
          </w:p>
        </w:tc>
        <w:tc>
          <w:tcPr>
            <w:tcW w:w="80" w:type="dxa"/>
            <w:vAlign w:val="bottom"/>
          </w:tcPr>
          <w:p>
            <w:pPr>
              <w:spacing w:after="0"/>
              <w:rPr>
                <w:sz w:val="12"/>
                <w:szCs w:val="12"/>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78"/>
              <w:spacing w:after="0"/>
              <w:rPr>
                <w:sz w:val="20"/>
                <w:szCs w:val="20"/>
                <w:color w:val="auto"/>
              </w:rPr>
            </w:pPr>
            <w:r>
              <w:rPr>
                <w:rFonts w:ascii="Arial" w:cs="Arial" w:eastAsia="Arial" w:hAnsi="Arial"/>
                <w:sz w:val="12"/>
                <w:szCs w:val="12"/>
                <w:color w:val="auto"/>
              </w:rPr>
              <w:t>4,127</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(f)</w:t>
            </w:r>
          </w:p>
        </w:tc>
        <w:tc>
          <w:tcPr>
            <w:tcW w:w="60" w:type="dxa"/>
            <w:vAlign w:val="bottom"/>
          </w:tcPr>
          <w:p>
            <w:pPr>
              <w:spacing w:after="0"/>
              <w:rPr>
                <w:sz w:val="12"/>
                <w:szCs w:val="12"/>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2"/>
                <w:szCs w:val="12"/>
                <w:color w:val="auto"/>
              </w:rPr>
              <w:t>82,753</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82,754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5,141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14,143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(f)</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102,038</w:t>
            </w:r>
          </w:p>
        </w:tc>
      </w:tr>
      <w:tr>
        <w:trPr>
          <w:trHeight w:val="144"/>
        </w:trPr>
        <w:tc>
          <w:tcPr>
            <w:tcW w:w="3380" w:type="dxa"/>
            <w:vAlign w:val="bottom"/>
          </w:tcPr>
          <w:p>
            <w:pPr>
              <w:ind w:left="240"/>
              <w:spacing w:after="0"/>
              <w:rPr>
                <w:sz w:val="20"/>
                <w:szCs w:val="20"/>
                <w:color w:val="auto"/>
              </w:rPr>
            </w:pPr>
            <w:r>
              <w:rPr>
                <w:rFonts w:ascii="Arial" w:cs="Arial" w:eastAsia="Arial" w:hAnsi="Arial"/>
                <w:sz w:val="12"/>
                <w:szCs w:val="12"/>
                <w:color w:val="auto"/>
              </w:rPr>
              <w:t>Administrative expenses - related party</w:t>
            </w:r>
          </w:p>
        </w:tc>
        <w:tc>
          <w:tcPr>
            <w:tcW w:w="6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78"/>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74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2"/>
                <w:szCs w:val="12"/>
                <w:color w:val="auto"/>
              </w:rPr>
              <w:t>30</w:t>
            </w:r>
          </w:p>
        </w:tc>
      </w:tr>
      <w:tr>
        <w:trPr>
          <w:trHeight w:val="20"/>
        </w:trPr>
        <w:tc>
          <w:tcPr>
            <w:tcW w:w="3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Total operating expenses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162,122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b w:val="1"/>
                <w:bCs w:val="1"/>
                <w:color w:val="auto"/>
              </w:rPr>
              <w:t>5,171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b w:val="1"/>
                <w:bCs w:val="1"/>
                <w:color w:val="auto"/>
              </w:rPr>
              <w:t>18,270</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185,563</w:t>
            </w:r>
          </w:p>
        </w:tc>
      </w:tr>
      <w:tr>
        <w:trPr>
          <w:trHeight w:val="144"/>
        </w:trPr>
        <w:tc>
          <w:tcPr>
            <w:tcW w:w="338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(154,387)</w:t>
            </w:r>
          </w:p>
        </w:tc>
        <w:tc>
          <w:tcPr>
            <w:tcW w:w="80" w:type="dxa"/>
            <w:vAlign w:val="bottom"/>
          </w:tcPr>
          <w:p>
            <w:pPr>
              <w:spacing w:after="0"/>
              <w:rPr>
                <w:sz w:val="12"/>
                <w:szCs w:val="12"/>
                <w:color w:val="auto"/>
              </w:rPr>
            </w:pPr>
          </w:p>
        </w:tc>
        <w:tc>
          <w:tcPr>
            <w:tcW w:w="720" w:type="dxa"/>
            <w:vAlign w:val="bottom"/>
            <w:gridSpan w:val="2"/>
          </w:tcPr>
          <w:p>
            <w:pPr>
              <w:jc w:val="right"/>
              <w:ind w:right="238"/>
              <w:spacing w:after="0"/>
              <w:rPr>
                <w:sz w:val="20"/>
                <w:szCs w:val="20"/>
                <w:color w:val="auto"/>
              </w:rPr>
            </w:pPr>
            <w:r>
              <w:rPr>
                <w:rFonts w:ascii="Arial" w:cs="Arial" w:eastAsia="Arial" w:hAnsi="Arial"/>
                <w:sz w:val="12"/>
                <w:szCs w:val="12"/>
                <w:b w:val="1"/>
                <w:bCs w:val="1"/>
                <w:color w:val="auto"/>
              </w:rPr>
              <w:t>(5,171)</w:t>
            </w:r>
          </w:p>
        </w:tc>
        <w:tc>
          <w:tcPr>
            <w:tcW w:w="100" w:type="dxa"/>
            <w:vAlign w:val="bottom"/>
          </w:tcPr>
          <w:p>
            <w:pPr>
              <w:spacing w:after="0"/>
              <w:rPr>
                <w:sz w:val="12"/>
                <w:szCs w:val="12"/>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2"/>
                <w:szCs w:val="12"/>
                <w:b w:val="1"/>
                <w:bCs w:val="1"/>
                <w:color w:val="auto"/>
                <w:w w:val="98"/>
              </w:rPr>
              <w:t>(18,270)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(177,828)</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investments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8,619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8,619</w:t>
            </w:r>
          </w:p>
        </w:tc>
      </w:tr>
      <w:tr>
        <w:trPr>
          <w:trHeight w:val="144"/>
        </w:trPr>
        <w:tc>
          <w:tcPr>
            <w:tcW w:w="3380" w:type="dxa"/>
            <w:vAlign w:val="bottom"/>
          </w:tcPr>
          <w:p>
            <w:pPr>
              <w:ind w:left="240"/>
              <w:spacing w:after="0"/>
              <w:rPr>
                <w:sz w:val="20"/>
                <w:szCs w:val="20"/>
                <w:color w:val="auto"/>
              </w:rPr>
            </w:pPr>
            <w:r>
              <w:rPr>
                <w:rFonts w:ascii="Arial" w:cs="Arial" w:eastAsia="Arial" w:hAnsi="Arial"/>
                <w:sz w:val="12"/>
                <w:szCs w:val="12"/>
                <w:color w:val="auto"/>
              </w:rPr>
              <w:t>Change in fair value of debt and liability instruments</w:t>
            </w:r>
          </w:p>
        </w:tc>
        <w:tc>
          <w:tcPr>
            <w:tcW w:w="6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4,585</w:t>
            </w:r>
          </w:p>
        </w:tc>
        <w:tc>
          <w:tcPr>
            <w:tcW w:w="80" w:type="dxa"/>
            <w:vAlign w:val="bottom"/>
          </w:tcPr>
          <w:p>
            <w:pPr>
              <w:spacing w:after="0"/>
              <w:rPr>
                <w:sz w:val="12"/>
                <w:szCs w:val="12"/>
                <w:color w:val="auto"/>
              </w:rPr>
            </w:pPr>
          </w:p>
        </w:tc>
        <w:tc>
          <w:tcPr>
            <w:tcW w:w="720" w:type="dxa"/>
            <w:vAlign w:val="bottom"/>
            <w:gridSpan w:val="2"/>
          </w:tcPr>
          <w:p>
            <w:pPr>
              <w:jc w:val="right"/>
              <w:ind w:right="278"/>
              <w:spacing w:after="0"/>
              <w:rPr>
                <w:sz w:val="20"/>
                <w:szCs w:val="20"/>
                <w:color w:val="auto"/>
              </w:rPr>
            </w:pPr>
            <w:r>
              <w:rPr>
                <w:rFonts w:ascii="Arial" w:cs="Arial" w:eastAsia="Arial" w:hAnsi="Arial"/>
                <w:sz w:val="12"/>
                <w:szCs w:val="12"/>
                <w:color w:val="auto"/>
              </w:rPr>
              <w:t>21,218</w:t>
            </w:r>
          </w:p>
        </w:tc>
        <w:tc>
          <w:tcPr>
            <w:tcW w:w="100" w:type="dxa"/>
            <w:vAlign w:val="bottom"/>
          </w:tcPr>
          <w:p>
            <w:pPr>
              <w:spacing w:after="0"/>
              <w:rPr>
                <w:sz w:val="12"/>
                <w:szCs w:val="12"/>
                <w:color w:val="auto"/>
              </w:rPr>
            </w:pPr>
          </w:p>
        </w:tc>
        <w:tc>
          <w:tcPr>
            <w:tcW w:w="74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2"/>
                <w:szCs w:val="12"/>
                <w:color w:val="auto"/>
              </w:rPr>
              <w:t>25,803</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termination of Sumitomo Options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(66,472)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(66,472)</w:t>
            </w:r>
          </w:p>
        </w:tc>
      </w:tr>
      <w:tr>
        <w:trPr>
          <w:trHeight w:val="144"/>
        </w:trPr>
        <w:tc>
          <w:tcPr>
            <w:tcW w:w="3380" w:type="dxa"/>
            <w:vAlign w:val="bottom"/>
          </w:tcPr>
          <w:p>
            <w:pPr>
              <w:ind w:left="240"/>
              <w:spacing w:after="0"/>
              <w:rPr>
                <w:sz w:val="20"/>
                <w:szCs w:val="20"/>
                <w:color w:val="auto"/>
              </w:rPr>
            </w:pPr>
            <w:r>
              <w:rPr>
                <w:rFonts w:ascii="Arial" w:cs="Arial" w:eastAsia="Arial" w:hAnsi="Arial"/>
                <w:sz w:val="12"/>
                <w:szCs w:val="12"/>
                <w:color w:val="auto"/>
              </w:rPr>
              <w:t>Gain on deconsolidation of subsidiary</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Financing costs - derivative warrant liability</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r>
      <w:tr>
        <w:trPr>
          <w:trHeight w:val="135"/>
        </w:trPr>
        <w:tc>
          <w:tcPr>
            <w:tcW w:w="3380" w:type="dxa"/>
            <w:vAlign w:val="bottom"/>
          </w:tcPr>
          <w:p>
            <w:pPr>
              <w:ind w:left="240"/>
              <w:spacing w:after="0" w:line="135" w:lineRule="exact"/>
              <w:rPr>
                <w:sz w:val="20"/>
                <w:szCs w:val="20"/>
                <w:color w:val="auto"/>
              </w:rPr>
            </w:pPr>
            <w:r>
              <w:rPr>
                <w:rFonts w:ascii="Arial" w:cs="Arial" w:eastAsia="Arial" w:hAnsi="Arial"/>
                <w:sz w:val="12"/>
                <w:szCs w:val="12"/>
                <w:color w:val="auto"/>
              </w:rPr>
              <w:t>Unrealized gain on marketable securities held in trust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380" w:type="dxa"/>
            <w:vAlign w:val="bottom"/>
          </w:tcPr>
          <w:p>
            <w:pPr>
              <w:ind w:left="360"/>
              <w:spacing w:after="0"/>
              <w:rPr>
                <w:sz w:val="20"/>
                <w:szCs w:val="20"/>
                <w:color w:val="auto"/>
              </w:rPr>
            </w:pPr>
            <w:r>
              <w:rPr>
                <w:rFonts w:ascii="Arial" w:cs="Arial" w:eastAsia="Arial" w:hAnsi="Arial"/>
                <w:sz w:val="12"/>
                <w:szCs w:val="12"/>
                <w:color w:val="auto"/>
              </w:rPr>
              <w:t>account</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 expense, net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8"/>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7</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(g)</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w:t>
            </w:r>
          </w:p>
        </w:tc>
      </w:tr>
      <w:tr>
        <w:trPr>
          <w:trHeight w:val="142"/>
        </w:trPr>
        <w:tc>
          <w:tcPr>
            <w:tcW w:w="3380" w:type="dxa"/>
            <w:vAlign w:val="bottom"/>
          </w:tcPr>
          <w:p>
            <w:pPr>
              <w:spacing w:after="0"/>
              <w:rPr>
                <w:sz w:val="20"/>
                <w:szCs w:val="20"/>
                <w:color w:val="auto"/>
              </w:rPr>
            </w:pPr>
            <w:r>
              <w:rPr>
                <w:rFonts w:ascii="Arial" w:cs="Arial" w:eastAsia="Arial" w:hAnsi="Arial"/>
                <w:sz w:val="12"/>
                <w:szCs w:val="12"/>
                <w:b w:val="1"/>
                <w:bCs w:val="1"/>
                <w:color w:val="auto"/>
              </w:rPr>
              <w:t>Loss before income taxes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(100,985)</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4"/>
              </w:rPr>
              <w:t>(26,382)</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(18,277)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(145,644)</w:t>
            </w:r>
          </w:p>
        </w:tc>
        <w:tc>
          <w:tcPr>
            <w:tcW w:w="80" w:type="dxa"/>
            <w:vAlign w:val="bottom"/>
          </w:tcPr>
          <w:p>
            <w:pPr>
              <w:spacing w:after="0"/>
              <w:rPr>
                <w:sz w:val="12"/>
                <w:szCs w:val="12"/>
                <w:color w:val="auto"/>
              </w:rPr>
            </w:pP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expense</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93</w:t>
            </w:r>
          </w:p>
        </w:tc>
      </w:tr>
      <w:tr>
        <w:trPr>
          <w:trHeight w:val="142"/>
        </w:trPr>
        <w:tc>
          <w:tcPr>
            <w:tcW w:w="3380" w:type="dxa"/>
            <w:vAlign w:val="bottom"/>
          </w:tcPr>
          <w:p>
            <w:pPr>
              <w:spacing w:after="0"/>
              <w:rPr>
                <w:sz w:val="20"/>
                <w:szCs w:val="20"/>
                <w:color w:val="auto"/>
              </w:rPr>
            </w:pPr>
            <w:r>
              <w:rPr>
                <w:rFonts w:ascii="Arial" w:cs="Arial" w:eastAsia="Arial" w:hAnsi="Arial"/>
                <w:sz w:val="12"/>
                <w:szCs w:val="12"/>
                <w:b w:val="1"/>
                <w:bCs w:val="1"/>
                <w:color w:val="auto"/>
              </w:rPr>
              <w:t>Net loss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(101,078)</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4"/>
              </w:rPr>
              <w:t>(26,382)</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(18,277)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(145,737)</w:t>
            </w:r>
          </w:p>
        </w:tc>
        <w:tc>
          <w:tcPr>
            <w:tcW w:w="80" w:type="dxa"/>
            <w:vAlign w:val="bottom"/>
          </w:tcPr>
          <w:p>
            <w:pPr>
              <w:spacing w:after="0"/>
              <w:rPr>
                <w:sz w:val="12"/>
                <w:szCs w:val="12"/>
                <w:color w:val="auto"/>
              </w:rPr>
            </w:pP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 attributable to noncontrolling interests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(18,895)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(18,895)</w:t>
            </w:r>
          </w:p>
        </w:tc>
      </w:tr>
      <w:tr>
        <w:trPr>
          <w:trHeight w:val="154"/>
        </w:trPr>
        <w:tc>
          <w:tcPr>
            <w:tcW w:w="3380" w:type="dxa"/>
            <w:vAlign w:val="bottom"/>
          </w:tcPr>
          <w:p>
            <w:pPr>
              <w:spacing w:after="0"/>
              <w:rPr>
                <w:sz w:val="20"/>
                <w:szCs w:val="20"/>
                <w:color w:val="auto"/>
              </w:rPr>
            </w:pPr>
            <w:r>
              <w:rPr>
                <w:rFonts w:ascii="Arial" w:cs="Arial" w:eastAsia="Arial" w:hAnsi="Arial"/>
                <w:sz w:val="12"/>
                <w:szCs w:val="12"/>
                <w:b w:val="1"/>
                <w:bCs w:val="1"/>
                <w:color w:val="auto"/>
              </w:rPr>
              <w:t>Net loss attributable to Roivant Sciences Ltd.</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(82,183)</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(26,382</w:t>
            </w:r>
          </w:p>
        </w:tc>
        <w:tc>
          <w:tcPr>
            <w:tcW w:w="320" w:type="dxa"/>
            <w:vAlign w:val="bottom"/>
          </w:tcPr>
          <w:p>
            <w:pPr>
              <w:jc w:val="right"/>
              <w:ind w:right="238"/>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(18,277</w:t>
            </w:r>
          </w:p>
        </w:tc>
        <w:tc>
          <w:tcPr>
            <w:tcW w:w="320" w:type="dxa"/>
            <w:vAlign w:val="bottom"/>
          </w:tcPr>
          <w:p>
            <w:pPr>
              <w:jc w:val="right"/>
              <w:ind w:right="238"/>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(126,842</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Share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380" w:type="dxa"/>
            <w:vAlign w:val="bottom"/>
          </w:tcPr>
          <w:p>
            <w:pPr>
              <w:ind w:left="240"/>
              <w:spacing w:after="0"/>
              <w:rPr>
                <w:sz w:val="20"/>
                <w:szCs w:val="20"/>
                <w:color w:val="auto"/>
              </w:rPr>
            </w:pPr>
            <w:r>
              <w:rPr>
                <w:rFonts w:ascii="Arial" w:cs="Arial" w:eastAsia="Arial" w:hAnsi="Arial"/>
                <w:sz w:val="12"/>
                <w:szCs w:val="12"/>
                <w:color w:val="auto"/>
              </w:rPr>
              <w:t>Weighted average shares outstanding, basic and diluted</w:t>
            </w:r>
          </w:p>
        </w:tc>
        <w:tc>
          <w:tcPr>
            <w:tcW w:w="6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222,081,975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2"/>
                <w:szCs w:val="12"/>
                <w:color w:val="auto"/>
                <w:w w:val="86"/>
              </w:rPr>
              <w:t>691,559,504</w:t>
            </w:r>
          </w:p>
        </w:tc>
      </w:tr>
      <w:tr>
        <w:trPr>
          <w:trHeight w:val="144"/>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 and diluted net loss per share</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(0.37)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(i)</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(0.18)</w:t>
            </w: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unaudited pro forma condensed combined financial information.</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72"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 COMBINED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OPERATIONS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YEAR ENDED MARCH 31, 2021</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rPr>
              <w:t>(A)</w:t>
            </w:r>
          </w:p>
        </w:tc>
        <w:tc>
          <w:tcPr>
            <w:tcW w:w="80" w:type="dxa"/>
            <w:vAlign w:val="bottom"/>
          </w:tcPr>
          <w:p>
            <w:pPr>
              <w:spacing w:after="0"/>
              <w:rPr>
                <w:sz w:val="10"/>
                <w:szCs w:val="10"/>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(B)</w:t>
            </w:r>
          </w:p>
        </w:tc>
        <w:tc>
          <w:tcPr>
            <w:tcW w:w="84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84"/>
              </w:rPr>
              <w:t>Transaction</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7"/>
              </w:rPr>
              <w:t>Roivant</w:t>
            </w:r>
          </w:p>
        </w:tc>
        <w:tc>
          <w:tcPr>
            <w:tcW w:w="80" w:type="dxa"/>
            <w:vAlign w:val="bottom"/>
          </w:tcPr>
          <w:p>
            <w:pPr>
              <w:spacing w:after="0"/>
              <w:rPr>
                <w:sz w:val="8"/>
                <w:szCs w:val="8"/>
                <w:color w:val="auto"/>
              </w:rPr>
            </w:pPr>
          </w:p>
        </w:tc>
        <w:tc>
          <w:tcPr>
            <w:tcW w:w="72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99"/>
              </w:rPr>
              <w:t>MAAC</w:t>
            </w:r>
          </w:p>
        </w:tc>
        <w:tc>
          <w:tcPr>
            <w:tcW w:w="840" w:type="dxa"/>
            <w:vAlign w:val="bottom"/>
            <w:gridSpan w:val="3"/>
          </w:tcPr>
          <w:p>
            <w:pPr>
              <w:jc w:val="right"/>
              <w:ind w:right="340"/>
              <w:spacing w:after="0" w:line="99" w:lineRule="exact"/>
              <w:rPr>
                <w:sz w:val="20"/>
                <w:szCs w:val="20"/>
                <w:color w:val="auto"/>
              </w:rPr>
            </w:pPr>
            <w:r>
              <w:rPr>
                <w:rFonts w:ascii="Arial" w:cs="Arial" w:eastAsia="Arial" w:hAnsi="Arial"/>
                <w:sz w:val="10"/>
                <w:szCs w:val="10"/>
                <w:b w:val="1"/>
                <w:bCs w:val="1"/>
                <w:color w:val="auto"/>
                <w:w w:val="87"/>
              </w:rPr>
              <w:t>Accounting</w:t>
            </w: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3"/>
        </w:trPr>
        <w:tc>
          <w:tcPr>
            <w:tcW w:w="3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7"/>
              </w:rPr>
              <w:t>(Historical)</w:t>
            </w:r>
          </w:p>
        </w:tc>
        <w:tc>
          <w:tcPr>
            <w:tcW w:w="8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(Historical)</w:t>
            </w:r>
          </w:p>
        </w:tc>
        <w:tc>
          <w:tcPr>
            <w:tcW w:w="8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Adjustments</w:t>
            </w:r>
          </w:p>
        </w:tc>
        <w:tc>
          <w:tcPr>
            <w:tcW w:w="760" w:type="dxa"/>
            <w:vAlign w:val="bottom"/>
            <w:gridSpan w:val="2"/>
          </w:tcPr>
          <w:p>
            <w:pPr>
              <w:jc w:val="right"/>
              <w:ind w:right="500"/>
              <w:spacing w:after="0" w:line="114" w:lineRule="exact"/>
              <w:rPr>
                <w:sz w:val="20"/>
                <w:szCs w:val="20"/>
                <w:color w:val="auto"/>
              </w:rPr>
            </w:pPr>
            <w:r>
              <w:rPr>
                <w:rFonts w:ascii="Arial" w:cs="Arial" w:eastAsia="Arial" w:hAnsi="Arial"/>
                <w:sz w:val="10"/>
                <w:szCs w:val="10"/>
                <w:b w:val="1"/>
                <w:bCs w:val="1"/>
                <w:color w:val="auto"/>
                <w:w w:val="78"/>
              </w:rPr>
              <w:t>Note 3</w:t>
            </w:r>
          </w:p>
        </w:tc>
        <w:tc>
          <w:tcPr>
            <w:tcW w:w="60" w:type="dxa"/>
            <w:vAlign w:val="bottom"/>
          </w:tcPr>
          <w:p>
            <w:pPr>
              <w:spacing w:after="0"/>
              <w:rPr>
                <w:sz w:val="9"/>
                <w:szCs w:val="9"/>
                <w:color w:val="auto"/>
              </w:rPr>
            </w:pPr>
          </w:p>
        </w:tc>
        <w:tc>
          <w:tcPr>
            <w:tcW w:w="68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95"/>
              </w:rPr>
              <w:t>Pro Forma</w:t>
            </w:r>
          </w:p>
        </w:tc>
      </w:tr>
      <w:tr>
        <w:trPr>
          <w:trHeight w:val="133"/>
        </w:trPr>
        <w:tc>
          <w:tcPr>
            <w:tcW w:w="32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 net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23,795</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23,795</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2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2,057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2,057</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832,758</w:t>
            </w:r>
          </w:p>
        </w:tc>
        <w:tc>
          <w:tcPr>
            <w:tcW w:w="80" w:type="dxa"/>
            <w:vAlign w:val="bottom"/>
          </w:tcPr>
          <w:p>
            <w:pPr>
              <w:spacing w:after="0"/>
              <w:rPr>
                <w:sz w:val="12"/>
                <w:szCs w:val="12"/>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53,675</w:t>
            </w:r>
          </w:p>
        </w:tc>
        <w:tc>
          <w:tcPr>
            <w:tcW w:w="760" w:type="dxa"/>
            <w:vAlign w:val="bottom"/>
            <w:gridSpan w:val="2"/>
          </w:tcPr>
          <w:p>
            <w:pPr>
              <w:jc w:val="right"/>
              <w:ind w:right="440"/>
              <w:spacing w:after="0"/>
              <w:rPr>
                <w:sz w:val="20"/>
                <w:szCs w:val="20"/>
                <w:color w:val="auto"/>
              </w:rPr>
            </w:pPr>
            <w:r>
              <w:rPr>
                <w:rFonts w:ascii="Arial" w:cs="Arial" w:eastAsia="Arial" w:hAnsi="Arial"/>
                <w:sz w:val="12"/>
                <w:szCs w:val="12"/>
                <w:color w:val="auto"/>
              </w:rPr>
              <w:t>(f)</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886,433</w:t>
            </w:r>
          </w:p>
        </w:tc>
      </w:tr>
      <w:tr>
        <w:trPr>
          <w:trHeight w:val="144"/>
        </w:trPr>
        <w:tc>
          <w:tcPr>
            <w:tcW w:w="3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259,878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4,411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6"/>
              </w:rPr>
              <w:t>448,454</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(f)</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712,743</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Administrative expenses - related party</w:t>
            </w:r>
          </w:p>
        </w:tc>
        <w:tc>
          <w:tcPr>
            <w:tcW w:w="6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58</w:t>
            </w:r>
          </w:p>
        </w:tc>
      </w:tr>
      <w:tr>
        <w:trPr>
          <w:trHeight w:val="20"/>
        </w:trPr>
        <w:tc>
          <w:tcPr>
            <w:tcW w:w="3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Total operating expenses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1,094,693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4,469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w w:val="96"/>
              </w:rPr>
              <w:t>502,129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1,601,291</w:t>
            </w:r>
          </w:p>
        </w:tc>
      </w:tr>
      <w:tr>
        <w:trPr>
          <w:trHeight w:val="144"/>
        </w:trPr>
        <w:tc>
          <w:tcPr>
            <w:tcW w:w="324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6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(1,070,898)</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(4,469)</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9"/>
              </w:rPr>
              <w:t>(502,129)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(1,577,496)</w:t>
            </w:r>
          </w:p>
        </w:tc>
      </w:tr>
      <w:tr>
        <w:trPr>
          <w:trHeight w:val="144"/>
        </w:trPr>
        <w:tc>
          <w:tcPr>
            <w:tcW w:w="3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investments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(95,533)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(95,533)</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Change in fair value of debt and liability instruments</w:t>
            </w:r>
          </w:p>
        </w:tc>
        <w:tc>
          <w:tcPr>
            <w:tcW w:w="6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29,845</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w w:val="93"/>
              </w:rPr>
              <w:t>(19,372)</w:t>
            </w:r>
          </w:p>
        </w:tc>
        <w:tc>
          <w:tcPr>
            <w:tcW w:w="8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10,473</w:t>
            </w:r>
          </w:p>
        </w:tc>
      </w:tr>
      <w:tr>
        <w:trPr>
          <w:trHeight w:val="135"/>
        </w:trPr>
        <w:tc>
          <w:tcPr>
            <w:tcW w:w="32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Gain on deconsolidation of subsidiary and consolidation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3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of unconsolidated entity</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(115,364)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(115,364)</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Financing costs - derivative warrant liability</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color w:val="auto"/>
              </w:rPr>
              <w:t>6,800</w:t>
            </w:r>
          </w:p>
        </w:tc>
        <w:tc>
          <w:tcPr>
            <w:tcW w:w="8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6,800</w:t>
            </w:r>
          </w:p>
        </w:tc>
      </w:tr>
      <w:tr>
        <w:trPr>
          <w:trHeight w:val="135"/>
        </w:trPr>
        <w:tc>
          <w:tcPr>
            <w:tcW w:w="32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Unrealized gain on marketable securities held in trust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3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(g)</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Other (income) expense</w:t>
            </w:r>
          </w:p>
        </w:tc>
        <w:tc>
          <w:tcPr>
            <w:tcW w:w="6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8,701</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(172)</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13,637</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rPr>
              <w:t>(g),(h)</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22,166</w:t>
            </w:r>
          </w:p>
        </w:tc>
      </w:tr>
      <w:tr>
        <w:trPr>
          <w:trHeight w:val="129"/>
        </w:trPr>
        <w:tc>
          <w:tcPr>
            <w:tcW w:w="32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Income (Loss) from continuing operations before</w:t>
            </w: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32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income taxes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(898,547)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8,281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(515,772)</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(1,406,038)</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Income tax expense</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rPr>
              <w:t>(36)</w:t>
            </w:r>
          </w:p>
        </w:tc>
        <w:tc>
          <w:tcPr>
            <w:tcW w:w="760" w:type="dxa"/>
            <w:vAlign w:val="bottom"/>
            <w:gridSpan w:val="2"/>
          </w:tcPr>
          <w:p>
            <w:pPr>
              <w:jc w:val="right"/>
              <w:ind w:right="440"/>
              <w:spacing w:after="0"/>
              <w:rPr>
                <w:sz w:val="20"/>
                <w:szCs w:val="20"/>
                <w:color w:val="auto"/>
              </w:rPr>
            </w:pPr>
            <w:r>
              <w:rPr>
                <w:rFonts w:ascii="Arial" w:cs="Arial" w:eastAsia="Arial" w:hAnsi="Arial"/>
                <w:sz w:val="12"/>
                <w:szCs w:val="12"/>
                <w:color w:val="auto"/>
              </w:rPr>
              <w:t>(g)</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1,686</w:t>
            </w:r>
          </w:p>
        </w:tc>
      </w:tr>
      <w:tr>
        <w:trPr>
          <w:trHeight w:val="20"/>
        </w:trPr>
        <w:tc>
          <w:tcPr>
            <w:tcW w:w="3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(loss) from continuing operations, net of tax</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(900,233)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8,245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(515,736)</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(1,407,724)</w:t>
            </w:r>
          </w:p>
        </w:tc>
      </w:tr>
      <w:tr>
        <w:trPr>
          <w:trHeight w:val="144"/>
        </w:trPr>
        <w:tc>
          <w:tcPr>
            <w:tcW w:w="3240" w:type="dxa"/>
            <w:vAlign w:val="bottom"/>
          </w:tcPr>
          <w:p>
            <w:pPr>
              <w:ind w:left="240"/>
              <w:spacing w:after="0"/>
              <w:rPr>
                <w:sz w:val="20"/>
                <w:szCs w:val="20"/>
                <w:color w:val="auto"/>
              </w:rPr>
            </w:pPr>
            <w:r>
              <w:rPr>
                <w:rFonts w:ascii="Arial" w:cs="Arial" w:eastAsia="Arial" w:hAnsi="Arial"/>
                <w:sz w:val="12"/>
                <w:szCs w:val="12"/>
                <w:color w:val="auto"/>
              </w:rPr>
              <w:t>Net loss attributable to noncontrolling interests</w:t>
            </w:r>
          </w:p>
        </w:tc>
        <w:tc>
          <w:tcPr>
            <w:tcW w:w="6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(90,999)</w:t>
            </w:r>
          </w:p>
        </w:tc>
        <w:tc>
          <w:tcPr>
            <w:tcW w:w="80" w:type="dxa"/>
            <w:vAlign w:val="bottom"/>
          </w:tcPr>
          <w:p>
            <w:pPr>
              <w:spacing w:after="0"/>
              <w:rPr>
                <w:sz w:val="12"/>
                <w:szCs w:val="12"/>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(90,999)</w:t>
            </w:r>
          </w:p>
        </w:tc>
      </w:tr>
      <w:tr>
        <w:trPr>
          <w:trHeight w:val="129"/>
        </w:trPr>
        <w:tc>
          <w:tcPr>
            <w:tcW w:w="32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Net Income (loss) from continuing operations attributable</w:t>
            </w: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32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to Roivant Sciences Ltd.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(809,234)</w:t>
            </w: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8,245</w:t>
            </w: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(515,736)</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(1,316,725)</w:t>
            </w:r>
          </w:p>
        </w:tc>
      </w:tr>
      <w:tr>
        <w:trPr>
          <w:trHeight w:val="153"/>
        </w:trPr>
        <w:tc>
          <w:tcPr>
            <w:tcW w:w="3240" w:type="dxa"/>
            <w:vAlign w:val="bottom"/>
          </w:tcPr>
          <w:p>
            <w:pPr>
              <w:spacing w:after="0"/>
              <w:rPr>
                <w:sz w:val="20"/>
                <w:szCs w:val="20"/>
                <w:color w:val="auto"/>
              </w:rPr>
            </w:pPr>
            <w:r>
              <w:rPr>
                <w:rFonts w:ascii="Arial" w:cs="Arial" w:eastAsia="Arial" w:hAnsi="Arial"/>
                <w:sz w:val="12"/>
                <w:szCs w:val="12"/>
                <w:b w:val="1"/>
                <w:bCs w:val="1"/>
                <w:color w:val="auto"/>
              </w:rPr>
              <w:t>Earnings per Share</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3240" w:type="dxa"/>
            <w:vAlign w:val="bottom"/>
            <w:shd w:val="clear" w:color="auto" w:fill="CCEEFF"/>
          </w:tcPr>
          <w:p>
            <w:pPr>
              <w:ind w:left="240"/>
              <w:spacing w:after="0"/>
              <w:rPr>
                <w:sz w:val="20"/>
                <w:szCs w:val="20"/>
                <w:color w:val="auto"/>
              </w:rPr>
            </w:pPr>
            <w:r>
              <w:rPr>
                <w:rFonts w:ascii="Arial" w:cs="Arial" w:eastAsia="Arial" w:hAnsi="Arial"/>
                <w:sz w:val="12"/>
                <w:szCs w:val="12"/>
                <w:color w:val="auto"/>
                <w:w w:val="99"/>
              </w:rPr>
              <w:t>Weighted average shares outstanding, basic and diluted</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215,312,273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687,292,597</w:t>
            </w:r>
          </w:p>
        </w:tc>
      </w:tr>
      <w:tr>
        <w:trPr>
          <w:trHeight w:val="153"/>
        </w:trPr>
        <w:tc>
          <w:tcPr>
            <w:tcW w:w="3240" w:type="dxa"/>
            <w:vAlign w:val="bottom"/>
          </w:tcPr>
          <w:p>
            <w:pPr>
              <w:ind w:left="240"/>
              <w:spacing w:after="0"/>
              <w:rPr>
                <w:sz w:val="20"/>
                <w:szCs w:val="20"/>
                <w:color w:val="auto"/>
              </w:rPr>
            </w:pPr>
            <w:r>
              <w:rPr>
                <w:rFonts w:ascii="Arial" w:cs="Arial" w:eastAsia="Arial" w:hAnsi="Arial"/>
                <w:sz w:val="12"/>
                <w:szCs w:val="12"/>
                <w:color w:val="auto"/>
              </w:rPr>
              <w:t>Basic and diluted net loss per share</w:t>
            </w:r>
          </w:p>
        </w:tc>
        <w:tc>
          <w:tcPr>
            <w:tcW w:w="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2"/>
                <w:szCs w:val="12"/>
                <w:color w:val="auto"/>
              </w:rPr>
              <w:t>(i)</w:t>
            </w: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(1.92)</w:t>
            </w:r>
          </w:p>
        </w:tc>
      </w:tr>
    </w:tbl>
    <w:p>
      <w:pPr>
        <w:spacing w:after="0" w:line="12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unaudited pro forma condensed combined financial information.</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72"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PRO FORMA CONDENSED COMBINED FINANCIAL INFORMATION</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1—Description of the Business Combination</w:t>
      </w:r>
    </w:p>
    <w:p>
      <w:pPr>
        <w:spacing w:after="0" w:line="82"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On September 30, 2021, Roivant completed its previously announced Business Combination with MAAC through the merger of Roivant’s wholly owned subsidiary, Merger Sub, with MAAC, with MAAC surviving the Business Combination as a wholly owned subsidiary of Roivant.</w:t>
      </w:r>
    </w:p>
    <w:p>
      <w:pPr>
        <w:spacing w:after="0" w:line="92"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Upon the Closing of the Business Combination, the following transactions occurred: (i) Roivant’s bye-laws were amended and restated, each outstanding Common Share of Roivant was subdivided (and in the case of certain non-voting shares of Roivant, converted) into a number of Common Shares based on a fixed exchange ratio of 2.9262:1 (the “Roivant Exchange Ratio”), and each outstanding equity award of Roivant was subdivided and adjusted into a number comparable equity awards of Roivant based on the Roivant Exchange Ratio (the steps contemplated by this clause (i), collectively, the “Pre-Closing Steps”); and (ii) Merger Sub merged with and into MAAC, with MAAC surviving the Merger.</w:t>
      </w:r>
    </w:p>
    <w:p>
      <w:pPr>
        <w:spacing w:after="0" w:line="11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At the Effective Time (a) each outstanding MAAC Class A Share and MAAC Class B Share (other than treasury shares and any shares held by the MAAC Sponsor, any affiliate of the MAAC Sponsor or any MAAC Independent Director or its transferee) was automatically canceled and extinguished and converted into one Common Share, (b) each outstanding MAAC Class B Share held by the MAAC Sponsor, any affiliate of the MAAC Sponsor or any MAAC Independent Director or its transferee was automatically canceled and extinguished and converted into a number of Common Shares based on the MAAC Sponsor Exchange Ratio, with a portion of such Common Shares issued to the MAAC Sponsor, any affiliate of the MAAC Sponsor or any MAAC Independent Director or its transferee by virtue of the Merger being subject to the vesting and other terms and conditions set forth in the Sponsor Support Agreement (as more fully described below), and (c) each outstanding warrant to purchase MAAC Class A Shares was converted automatically into the right to acquire Common Shares on the terms and subject to the conditions set forth in the MAAC Warrant Agreement. The MAAC Sponsor Exchange Ratio was 0.75.</w:t>
      </w:r>
    </w:p>
    <w:p>
      <w:pPr>
        <w:spacing w:after="0" w:line="117"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Concurrently with the execution of the Business Combination Agreement, MAAC, the MAAC Sponsor, Roivant and each of the MAAC Insiders, entered into the Sponsor Support Agreement, which was subsequently amended on June 9, 2021, to reflect the MAAC Independent Directors and Roivant entering into respective Lock-Up Agreements, and further amended on September 30, 2021.</w:t>
      </w:r>
    </w:p>
    <w:p>
      <w:pPr>
        <w:spacing w:after="0" w:line="12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Pursuant to the Sponsor Support Agreement, among other things, (a) 2,033,591 Common Shares issued to the MAAC Sponsor and 10,000 Common Shares issued to each MAAC Independent Director, each in respect of its MAAC Class B Shares, are subject to the vesting conditions described below and the other restrictions set forth in the Sponsor Support Agreement with respect to the $15 Earn-Out Shares and (b) 1,016,796 Common Shares issued to the MAAC Sponsor and 5,000 Common Shares issued to each MAAC Independent Director, each in respect of its MAAC Class B Shares, will be subject to the vesting conditions described below and the other restrictions set forth in the Sponsor Support Agreement with respect to the $20 Earn-Out Shares. The remaining number of Common Shares issued to the MAAC Sponsor and each MAAC Independent Director are not subject to the vesting conditions described below (the “Retained Shares”).</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$15 Earn-Out Shares will vest if the closing price of the Common Shares is greater than or equal to $15.00 over any twenty out of thirty trading day period during the period commencing on the earlier of (a) the date on which the registration statement of which this prospectus forms a part is declared effective or (b) November 15, 2021, and ending no later than the fifth anniversary of the Closing Date (the “Vesting Period”), and the $20 Earn-Out Shares will vest if the closing price of the Common Shares is greater than or equal to $20.00 over any twenty out of thirty trading day period during the Vesting Period. The Vesting Period will, if a</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72"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2—Basis of Presentation</w:t>
      </w:r>
    </w:p>
    <w:p>
      <w:pPr>
        <w:spacing w:after="0" w:line="82" w:lineRule="exact"/>
        <w:rPr>
          <w:sz w:val="20"/>
          <w:szCs w:val="20"/>
          <w:color w:val="auto"/>
        </w:rPr>
      </w:pPr>
    </w:p>
    <w:p>
      <w:pPr>
        <w:ind w:left="1980" w:right="1139" w:firstLine="294"/>
        <w:spacing w:after="0" w:line="379" w:lineRule="auto"/>
        <w:rPr>
          <w:sz w:val="20"/>
          <w:szCs w:val="20"/>
          <w:color w:val="auto"/>
        </w:rPr>
      </w:pPr>
      <w:r>
        <w:rPr>
          <w:rFonts w:ascii="Arial" w:cs="Arial" w:eastAsia="Arial" w:hAnsi="Arial"/>
          <w:sz w:val="10"/>
          <w:szCs w:val="10"/>
          <w:color w:val="auto"/>
        </w:rPr>
        <w:t>The historical financial information of MAAC and Roivant has been adjusted in the unaudited pro forma condensed combined financial information to reflect transaction accounting adjustments related to the Business Combination and PIPE Financing in accordance with U.S. GAAP.</w:t>
      </w:r>
    </w:p>
    <w:p>
      <w:pPr>
        <w:spacing w:after="0" w:line="69"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Business Combination is a capital transaction in substance whereby MAAC will be treated as the acquired company for financial reporting purposes. This determination was primarily based on the following:</w:t>
      </w:r>
    </w:p>
    <w:p>
      <w:pPr>
        <w:spacing w:after="0" w:line="52" w:lineRule="exact"/>
        <w:rPr>
          <w:sz w:val="20"/>
          <w:szCs w:val="20"/>
          <w:color w:val="auto"/>
        </w:rPr>
      </w:pPr>
    </w:p>
    <w:p>
      <w:pPr>
        <w:ind w:left="2920" w:right="1259" w:hanging="291"/>
        <w:spacing w:after="0" w:line="276" w:lineRule="auto"/>
        <w:tabs>
          <w:tab w:leader="none" w:pos="2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Pre-Business Combination Roivant stockholders own the majority of the issued and outstanding Common Shares of Roivant following the Business Combination.</w:t>
      </w:r>
    </w:p>
    <w:p>
      <w:pPr>
        <w:spacing w:after="0" w:line="51" w:lineRule="exact"/>
        <w:rPr>
          <w:rFonts w:ascii="Arial" w:cs="Arial" w:eastAsia="Arial" w:hAnsi="Arial"/>
          <w:sz w:val="12"/>
          <w:szCs w:val="12"/>
          <w:color w:val="auto"/>
        </w:rPr>
      </w:pPr>
    </w:p>
    <w:p>
      <w:pPr>
        <w:ind w:left="2920" w:right="1439" w:hanging="291"/>
        <w:spacing w:after="0" w:line="276" w:lineRule="auto"/>
        <w:tabs>
          <w:tab w:leader="none" w:pos="2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executive officers of Roivant prior to the Business Combination continue to manage Roivant following the Business Combination.</w:t>
      </w:r>
    </w:p>
    <w:p>
      <w:pPr>
        <w:spacing w:after="0" w:line="51" w:lineRule="exact"/>
        <w:rPr>
          <w:rFonts w:ascii="Arial" w:cs="Arial" w:eastAsia="Arial" w:hAnsi="Arial"/>
          <w:sz w:val="12"/>
          <w:szCs w:val="12"/>
          <w:color w:val="auto"/>
        </w:rPr>
      </w:pPr>
    </w:p>
    <w:p>
      <w:pPr>
        <w:ind w:left="2920" w:right="1059" w:hanging="291"/>
        <w:spacing w:after="0" w:line="276" w:lineRule="auto"/>
        <w:tabs>
          <w:tab w:leader="none" w:pos="2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majority of the board of directors of Roivant is comprised of the individuals who served on the board of directors of Roivant prior to the Business Combination.</w:t>
      </w:r>
    </w:p>
    <w:p>
      <w:pPr>
        <w:spacing w:after="0" w:line="51" w:lineRule="exact"/>
        <w:rPr>
          <w:rFonts w:ascii="Arial" w:cs="Arial" w:eastAsia="Arial" w:hAnsi="Arial"/>
          <w:sz w:val="12"/>
          <w:szCs w:val="12"/>
          <w:color w:val="auto"/>
        </w:rPr>
      </w:pPr>
    </w:p>
    <w:p>
      <w:pPr>
        <w:ind w:left="2920" w:right="1279" w:hanging="291"/>
        <w:spacing w:after="0" w:line="276" w:lineRule="auto"/>
        <w:tabs>
          <w:tab w:leader="none" w:pos="2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Roivant’s operations prior to the Business Combination will continue to be the operations of Roivant following the Business Combination.</w:t>
      </w:r>
    </w:p>
    <w:p>
      <w:pPr>
        <w:spacing w:after="0" w:line="115"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Accordingly, because MAAC does not represent a business for accounting purposes and its primary asset represents cash and cash equivalents, the Business Combination will be treated similar to an equity contribution in exchange for the issuance of Common Shares. The net assets of MAAC will be stated at historical cost, with no goodwill or other intangible assets recorded.</w:t>
      </w:r>
    </w:p>
    <w:p>
      <w:pPr>
        <w:spacing w:after="0" w:line="122"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Roivant and MAAC have different fiscal years. As Roivant’s fiscal year ends on March 31 and MAAC’s fiscal year ends on December 31, the unaudited pro forma condensed combined statement of operations for the fiscal year ended March 31, 2021 was prepared using the following information:</w:t>
      </w:r>
    </w:p>
    <w:p>
      <w:pPr>
        <w:spacing w:after="0" w:line="59" w:lineRule="exact"/>
        <w:rPr>
          <w:sz w:val="20"/>
          <w:szCs w:val="20"/>
          <w:color w:val="auto"/>
        </w:rPr>
      </w:pPr>
    </w:p>
    <w:p>
      <w:pPr>
        <w:ind w:left="2920" w:hanging="291"/>
        <w:spacing w:after="0"/>
        <w:tabs>
          <w:tab w:leader="none" w:pos="2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historical results of Roivant for its fiscal year ended March 31, 2021.</w:t>
      </w:r>
    </w:p>
    <w:p>
      <w:pPr>
        <w:spacing w:after="0" w:line="87" w:lineRule="exact"/>
        <w:rPr>
          <w:rFonts w:ascii="Arial" w:cs="Arial" w:eastAsia="Arial" w:hAnsi="Arial"/>
          <w:sz w:val="12"/>
          <w:szCs w:val="12"/>
          <w:color w:val="auto"/>
        </w:rPr>
      </w:pPr>
    </w:p>
    <w:p>
      <w:pPr>
        <w:ind w:left="2920" w:right="859" w:hanging="291"/>
        <w:spacing w:after="0" w:line="259" w:lineRule="auto"/>
        <w:tabs>
          <w:tab w:leader="none" w:pos="2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historical results of MAAC for the period ended March 31, 2021, which were derived by adding MAAC’s unaudited condensed statement of operations for the six months ended June 30, 2021 and MAAC’s audited statement of operations for the period from July 6, 2020 (inception) through December 31, 2020, and then subtracting MAAC’s unaudited condensed statement of operations for the three months ended June 30,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3—Pro Forma Adjustments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Adjustments to the Unaudited Pro Forma Condensed Combined Balance Sheet as of June 30, 2021.</w:t>
      </w:r>
    </w:p>
    <w:p>
      <w:pPr>
        <w:spacing w:after="0" w:line="150"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The transaction accounting adjustments included in the unaudited pro forma condensed combined balance sheet as of June 30, 2021 are as follows:</w:t>
      </w:r>
    </w:p>
    <w:p>
      <w:pPr>
        <w:spacing w:after="0" w:line="133" w:lineRule="exact"/>
        <w:rPr>
          <w:sz w:val="20"/>
          <w:szCs w:val="20"/>
          <w:color w:val="auto"/>
        </w:rPr>
      </w:pPr>
    </w:p>
    <w:p>
      <w:pPr>
        <w:ind w:left="2260" w:right="979" w:hanging="279"/>
        <w:spacing w:after="0" w:line="276" w:lineRule="auto"/>
        <w:tabs>
          <w:tab w:leader="none" w:pos="2240" w:val="left"/>
        </w:tabs>
        <w:rPr>
          <w:sz w:val="20"/>
          <w:szCs w:val="20"/>
          <w:color w:val="auto"/>
        </w:rPr>
      </w:pPr>
      <w:r>
        <w:rPr>
          <w:rFonts w:ascii="Arial" w:cs="Arial" w:eastAsia="Arial" w:hAnsi="Arial"/>
          <w:sz w:val="12"/>
          <w:szCs w:val="12"/>
          <w:color w:val="auto"/>
        </w:rPr>
        <w:t>3(a)</w:t>
      </w:r>
      <w:r>
        <w:rPr>
          <w:sz w:val="20"/>
          <w:szCs w:val="20"/>
          <w:color w:val="auto"/>
        </w:rPr>
        <w:tab/>
      </w:r>
      <w:r>
        <w:rPr>
          <w:rFonts w:ascii="Arial" w:cs="Arial" w:eastAsia="Arial" w:hAnsi="Arial"/>
          <w:sz w:val="12"/>
          <w:szCs w:val="12"/>
          <w:i w:val="1"/>
          <w:iCs w:val="1"/>
          <w:color w:val="auto"/>
        </w:rPr>
        <w:t xml:space="preserve">Cash and cash equivalents. </w:t>
      </w:r>
      <w:r>
        <w:rPr>
          <w:rFonts w:ascii="Arial" w:cs="Arial" w:eastAsia="Arial" w:hAnsi="Arial"/>
          <w:sz w:val="12"/>
          <w:szCs w:val="12"/>
          <w:color w:val="auto"/>
        </w:rPr>
        <w:t>Represents the impact of the Business Combination and PIPE Financing on the cash and cash equivalents balance of</w:t>
      </w:r>
      <w:r>
        <w:rPr>
          <w:rFonts w:ascii="Arial" w:cs="Arial" w:eastAsia="Arial" w:hAnsi="Arial"/>
          <w:sz w:val="12"/>
          <w:szCs w:val="12"/>
          <w:i w:val="1"/>
          <w:iCs w:val="1"/>
          <w:color w:val="auto"/>
        </w:rPr>
        <w:t xml:space="preserve"> </w:t>
      </w:r>
      <w:r>
        <w:rPr>
          <w:rFonts w:ascii="Arial" w:cs="Arial" w:eastAsia="Arial" w:hAnsi="Arial"/>
          <w:sz w:val="12"/>
          <w:szCs w:val="12"/>
          <w:color w:val="auto"/>
        </w:rPr>
        <w:t>Roivant.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72"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 xml:space="preserve">The table below reflects the pro forma adjustments related to cash and cash equivalents of Roivant </w:t>
      </w:r>
      <w:r>
        <w:rPr>
          <w:rFonts w:ascii="Arial" w:cs="Arial" w:eastAsia="Arial" w:hAnsi="Arial"/>
          <w:sz w:val="12"/>
          <w:szCs w:val="12"/>
          <w:i w:val="1"/>
          <w:iCs w:val="1"/>
          <w:color w:val="auto"/>
        </w:rPr>
        <w:t>(in thousands)</w:t>
      </w:r>
      <w:r>
        <w:rPr>
          <w:rFonts w:ascii="Arial" w:cs="Arial" w:eastAsia="Arial" w:hAnsi="Arial"/>
          <w:sz w:val="12"/>
          <w:szCs w:val="12"/>
          <w:color w:val="auto"/>
        </w:rPr>
        <w:t>:</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80"/>
              </w:rPr>
              <w:t>Note</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43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Cash balance of Roivant prior to Business Combination</w:t>
            </w: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w w:val="86"/>
              </w:rPr>
              <w:t>$1,996,733</w:t>
            </w: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Cash balance of MAAC prior to Business Combination</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Total pre Business Combination</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1,997,906</w:t>
            </w:r>
          </w:p>
        </w:tc>
        <w:tc>
          <w:tcPr>
            <w:tcW w:w="60" w:type="dxa"/>
            <w:vAlign w:val="bottom"/>
            <w:shd w:val="clear" w:color="auto" w:fill="CCEEFF"/>
          </w:tcPr>
          <w:p>
            <w:pPr>
              <w:spacing w:after="0"/>
              <w:rPr>
                <w:sz w:val="12"/>
                <w:szCs w:val="12"/>
                <w:color w:val="auto"/>
              </w:rPr>
            </w:pP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MAAC Cash and Marketable Securities in Trust</w:t>
            </w: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(1)</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410,798</w:t>
            </w:r>
          </w:p>
        </w:tc>
        <w:tc>
          <w:tcPr>
            <w:tcW w:w="60" w:type="dxa"/>
            <w:vAlign w:val="bottom"/>
          </w:tcPr>
          <w:p>
            <w:pPr>
              <w:spacing w:after="0"/>
              <w:rPr>
                <w:sz w:val="12"/>
                <w:szCs w:val="12"/>
                <w:color w:val="auto"/>
              </w:rPr>
            </w:pPr>
          </w:p>
        </w:tc>
      </w:tr>
      <w:tr>
        <w:trPr>
          <w:trHeight w:val="144"/>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PIPE</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220,000</w:t>
            </w:r>
          </w:p>
        </w:tc>
        <w:tc>
          <w:tcPr>
            <w:tcW w:w="60" w:type="dxa"/>
            <w:vAlign w:val="bottom"/>
            <w:shd w:val="clear" w:color="auto" w:fill="CCEEFF"/>
          </w:tcPr>
          <w:p>
            <w:pPr>
              <w:spacing w:after="0"/>
              <w:rPr>
                <w:sz w:val="12"/>
                <w:szCs w:val="12"/>
                <w:color w:val="auto"/>
              </w:rPr>
            </w:pP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Payment to redeeming MAAC Class A stockholders</w:t>
            </w: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(3)</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(384,040)</w:t>
            </w:r>
          </w:p>
        </w:tc>
      </w:tr>
      <w:tr>
        <w:trPr>
          <w:trHeight w:val="144"/>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Payment of deferred underwriting commissions</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(14,375)</w:t>
            </w: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Payment of transaction costs</w:t>
            </w: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(5)</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(38,562)</w:t>
            </w:r>
          </w:p>
        </w:tc>
      </w:tr>
      <w:tr>
        <w:trPr>
          <w:trHeight w:val="142"/>
        </w:trPr>
        <w:tc>
          <w:tcPr>
            <w:tcW w:w="43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Business Combination adjustments</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193,821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60" w:type="dxa"/>
            <w:vAlign w:val="bottom"/>
          </w:tcPr>
          <w:p>
            <w:pPr>
              <w:spacing w:after="0"/>
              <w:rPr>
                <w:sz w:val="20"/>
                <w:szCs w:val="20"/>
                <w:color w:val="auto"/>
              </w:rPr>
            </w:pPr>
            <w:r>
              <w:rPr>
                <w:rFonts w:ascii="Arial" w:cs="Arial" w:eastAsia="Arial" w:hAnsi="Arial"/>
                <w:sz w:val="12"/>
                <w:szCs w:val="12"/>
                <w:b w:val="1"/>
                <w:bCs w:val="1"/>
                <w:color w:val="auto"/>
              </w:rPr>
              <w:t>Post Business Combination cash and cash equivalents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u w:val="single" w:color="auto"/>
                <w:color w:val="auto"/>
                <w:w w:val="86"/>
              </w:rPr>
              <w:t>$</w:t>
            </w:r>
            <w:r>
              <w:rPr>
                <w:rFonts w:ascii="Arial" w:cs="Arial" w:eastAsia="Arial" w:hAnsi="Arial"/>
                <w:sz w:val="12"/>
                <w:szCs w:val="12"/>
                <w:b w:val="1"/>
                <w:bCs w:val="1"/>
                <w:color w:val="auto"/>
                <w:w w:val="86"/>
              </w:rPr>
              <w:t>2,191,727</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162" w:lineRule="exact"/>
        <w:rPr>
          <w:sz w:val="20"/>
          <w:szCs w:val="20"/>
          <w:color w:val="auto"/>
        </w:rPr>
      </w:pPr>
    </w:p>
    <w:p>
      <w:pPr>
        <w:ind w:left="2260" w:right="1059" w:hanging="288"/>
        <w:spacing w:after="0" w:line="258" w:lineRule="auto"/>
        <w:tabs>
          <w:tab w:leader="none" w:pos="2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Represents the amount of the restricted cash and marketable securities held in the Trust Account that becomes available in connection with the Business Combination (see Note 3(c) </w:t>
      </w:r>
      <w:r>
        <w:rPr>
          <w:rFonts w:ascii="Arial" w:cs="Arial" w:eastAsia="Arial" w:hAnsi="Arial"/>
          <w:sz w:val="12"/>
          <w:szCs w:val="12"/>
          <w:i w:val="1"/>
          <w:iCs w:val="1"/>
          <w:color w:val="auto"/>
        </w:rPr>
        <w:t>Trust Account</w:t>
      </w:r>
      <w:r>
        <w:rPr>
          <w:rFonts w:ascii="Arial" w:cs="Arial" w:eastAsia="Arial" w:hAnsi="Arial"/>
          <w:sz w:val="12"/>
          <w:szCs w:val="12"/>
          <w:color w:val="auto"/>
        </w:rPr>
        <w:t>).</w:t>
      </w:r>
    </w:p>
    <w:p>
      <w:pPr>
        <w:ind w:left="2260" w:right="1079" w:hanging="288"/>
        <w:spacing w:after="0" w:line="250" w:lineRule="auto"/>
        <w:tabs>
          <w:tab w:leader="none" w:pos="2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Represents the issuance of 22,000,000 Common Shares at a price of $10.00 per share in connection with the PIPE Financing (see Note 3(e)(5) </w:t>
      </w:r>
      <w:r>
        <w:rPr>
          <w:rFonts w:ascii="Arial" w:cs="Arial" w:eastAsia="Arial" w:hAnsi="Arial"/>
          <w:sz w:val="12"/>
          <w:szCs w:val="12"/>
          <w:i w:val="1"/>
          <w:iCs w:val="1"/>
          <w:color w:val="auto"/>
        </w:rPr>
        <w:t>Impact on equity</w:t>
      </w:r>
      <w:r>
        <w:rPr>
          <w:rFonts w:ascii="Arial" w:cs="Arial" w:eastAsia="Arial" w:hAnsi="Arial"/>
          <w:sz w:val="12"/>
          <w:szCs w:val="12"/>
          <w:color w:val="auto"/>
        </w:rPr>
        <w:t>).</w:t>
      </w:r>
    </w:p>
    <w:p>
      <w:pPr>
        <w:ind w:left="2260" w:right="979" w:hanging="288"/>
        <w:spacing w:after="0" w:line="250" w:lineRule="auto"/>
        <w:tabs>
          <w:tab w:leader="none" w:pos="2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Represents the amount paid to MAAC public stockholders who exercised redemption rights, including accrued interest (see Note 3(e)(6) </w:t>
      </w:r>
      <w:r>
        <w:rPr>
          <w:rFonts w:ascii="Arial" w:cs="Arial" w:eastAsia="Arial" w:hAnsi="Arial"/>
          <w:sz w:val="12"/>
          <w:szCs w:val="12"/>
          <w:i w:val="1"/>
          <w:iCs w:val="1"/>
          <w:color w:val="auto"/>
        </w:rPr>
        <w:t>Impact</w:t>
      </w:r>
      <w:r>
        <w:rPr>
          <w:rFonts w:ascii="Arial" w:cs="Arial" w:eastAsia="Arial" w:hAnsi="Arial"/>
          <w:sz w:val="12"/>
          <w:szCs w:val="12"/>
          <w:color w:val="auto"/>
        </w:rPr>
        <w:t xml:space="preserve"> </w:t>
      </w:r>
      <w:r>
        <w:rPr>
          <w:rFonts w:ascii="Arial" w:cs="Arial" w:eastAsia="Arial" w:hAnsi="Arial"/>
          <w:sz w:val="12"/>
          <w:szCs w:val="12"/>
          <w:i w:val="1"/>
          <w:iCs w:val="1"/>
          <w:color w:val="auto"/>
        </w:rPr>
        <w:t>on equity</w:t>
      </w:r>
      <w:r>
        <w:rPr>
          <w:rFonts w:ascii="Arial" w:cs="Arial" w:eastAsia="Arial" w:hAnsi="Arial"/>
          <w:sz w:val="12"/>
          <w:szCs w:val="12"/>
          <w:color w:val="auto"/>
        </w:rPr>
        <w:t>).</w:t>
      </w:r>
    </w:p>
    <w:p>
      <w:pPr>
        <w:ind w:left="2260" w:hanging="288"/>
        <w:spacing w:after="0"/>
        <w:tabs>
          <w:tab w:leader="none" w:pos="2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Represents payment of deferred underwriting fees payable by MAAC (see Note 3(b)(1) </w:t>
      </w:r>
      <w:r>
        <w:rPr>
          <w:rFonts w:ascii="Arial" w:cs="Arial" w:eastAsia="Arial" w:hAnsi="Arial"/>
          <w:sz w:val="12"/>
          <w:szCs w:val="12"/>
          <w:i w:val="1"/>
          <w:iCs w:val="1"/>
          <w:color w:val="auto"/>
        </w:rPr>
        <w:t>Transaction costs</w:t>
      </w: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Represents payment of other transaction costs (see Note 3(b)(2) </w:t>
      </w:r>
      <w:r>
        <w:rPr>
          <w:rFonts w:ascii="Arial" w:cs="Arial" w:eastAsia="Arial" w:hAnsi="Arial"/>
          <w:sz w:val="12"/>
          <w:szCs w:val="12"/>
          <w:i w:val="1"/>
          <w:iCs w:val="1"/>
          <w:color w:val="auto"/>
        </w:rPr>
        <w:t>Transaction costs</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3(b) </w:t>
      </w:r>
      <w:r>
        <w:rPr>
          <w:rFonts w:ascii="Arial" w:cs="Arial" w:eastAsia="Arial" w:hAnsi="Arial"/>
          <w:sz w:val="12"/>
          <w:szCs w:val="12"/>
          <w:i w:val="1"/>
          <w:iCs w:val="1"/>
          <w:color w:val="auto"/>
        </w:rPr>
        <w:t>Transaction costs</w:t>
      </w:r>
      <w:r>
        <w:rPr>
          <w:rFonts w:ascii="Arial" w:cs="Arial" w:eastAsia="Arial" w:hAnsi="Arial"/>
          <w:sz w:val="12"/>
          <w:szCs w:val="12"/>
          <w:color w:val="auto"/>
        </w:rPr>
        <w:t>.</w:t>
      </w:r>
    </w:p>
    <w:p>
      <w:pPr>
        <w:spacing w:after="0" w:line="87" w:lineRule="exact"/>
        <w:rPr>
          <w:sz w:val="20"/>
          <w:szCs w:val="20"/>
          <w:color w:val="auto"/>
        </w:rPr>
      </w:pPr>
    </w:p>
    <w:p>
      <w:pPr>
        <w:jc w:val="both"/>
        <w:ind w:left="2260" w:right="899" w:hanging="288"/>
        <w:spacing w:after="0" w:line="263" w:lineRule="auto"/>
        <w:tabs>
          <w:tab w:leader="none" w:pos="22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Payment of deferred underwriting commissions incurred by MAAC in the amount of $14.4 million (See Note 3(a)(4) </w:t>
      </w:r>
      <w:r>
        <w:rPr>
          <w:rFonts w:ascii="Arial" w:cs="Arial" w:eastAsia="Arial" w:hAnsi="Arial"/>
          <w:sz w:val="12"/>
          <w:szCs w:val="12"/>
          <w:i w:val="1"/>
          <w:iCs w:val="1"/>
          <w:color w:val="auto"/>
        </w:rPr>
        <w:t>Cash and cash equivalents</w:t>
      </w:r>
      <w:r>
        <w:rPr>
          <w:rFonts w:ascii="Arial" w:cs="Arial" w:eastAsia="Arial" w:hAnsi="Arial"/>
          <w:sz w:val="12"/>
          <w:szCs w:val="12"/>
          <w:color w:val="auto"/>
        </w:rPr>
        <w:t>). The unaudited pro forma condensed combined balance sheet reflects payment of these costs as a reduction of cash, with a corresponding decrease in deferred underwriting fee payable.</w:t>
      </w:r>
    </w:p>
    <w:p>
      <w:pPr>
        <w:spacing w:after="0" w:line="59" w:lineRule="exact"/>
        <w:rPr>
          <w:rFonts w:ascii="Arial" w:cs="Arial" w:eastAsia="Arial" w:hAnsi="Arial"/>
          <w:sz w:val="12"/>
          <w:szCs w:val="12"/>
          <w:color w:val="auto"/>
        </w:rPr>
      </w:pPr>
    </w:p>
    <w:p>
      <w:pPr>
        <w:ind w:left="2260" w:right="839" w:hanging="288"/>
        <w:spacing w:after="0" w:line="31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 xml:space="preserve">Represents the recognition of $44.2 million of transaction costs. Of the $44.2 million, $5.6 million was capitalized within other assets on Roivant’s balance sheet as of June 30, 2021. An additional approximately $38.6 million of incremental transaction expenses are estimated to be incurred through the Business Combination and PIPE Financing (see Note 3(a)(5) </w:t>
      </w:r>
      <w:r>
        <w:rPr>
          <w:rFonts w:ascii="Arial" w:cs="Arial" w:eastAsia="Arial" w:hAnsi="Arial"/>
          <w:sz w:val="10"/>
          <w:szCs w:val="10"/>
          <w:i w:val="1"/>
          <w:iCs w:val="1"/>
          <w:color w:val="auto"/>
        </w:rPr>
        <w:t>Cash and cash equivalents</w:t>
      </w:r>
      <w:r>
        <w:rPr>
          <w:rFonts w:ascii="Arial" w:cs="Arial" w:eastAsia="Arial" w:hAnsi="Arial"/>
          <w:sz w:val="10"/>
          <w:szCs w:val="10"/>
          <w:color w:val="auto"/>
        </w:rPr>
        <w:t xml:space="preserve">). The unaudited pro forma condensed combined balance sheet reflects costs allocated to the Earn-Out Shares and warrants, which will be liability classified subsequent to the Business Combination, as a reduction of cash and other assets, with a corresponding charge to accumulated deficit. The remaining costs are reflected as a reduction of cash and other assets, with a corresponding decrease in additional paid-in capital (see Note 3(e)(10) </w:t>
      </w:r>
      <w:r>
        <w:rPr>
          <w:rFonts w:ascii="Arial" w:cs="Arial" w:eastAsia="Arial" w:hAnsi="Arial"/>
          <w:sz w:val="10"/>
          <w:szCs w:val="10"/>
          <w:i w:val="1"/>
          <w:iCs w:val="1"/>
          <w:color w:val="auto"/>
        </w:rPr>
        <w:t>Impact on equity</w:t>
      </w:r>
      <w:r>
        <w:rPr>
          <w:rFonts w:ascii="Arial" w:cs="Arial" w:eastAsia="Arial" w:hAnsi="Arial"/>
          <w:sz w:val="10"/>
          <w:szCs w:val="10"/>
          <w:color w:val="auto"/>
        </w:rPr>
        <w:t>).</w:t>
      </w:r>
    </w:p>
    <w:p>
      <w:pPr>
        <w:spacing w:after="0" w:line="118" w:lineRule="exact"/>
        <w:rPr>
          <w:sz w:val="20"/>
          <w:szCs w:val="20"/>
          <w:color w:val="auto"/>
        </w:rPr>
      </w:pPr>
    </w:p>
    <w:p>
      <w:pPr>
        <w:ind w:left="2260" w:right="1259" w:hanging="279"/>
        <w:spacing w:after="0" w:line="323" w:lineRule="auto"/>
        <w:tabs>
          <w:tab w:leader="none" w:pos="2240" w:val="left"/>
        </w:tabs>
        <w:rPr>
          <w:sz w:val="20"/>
          <w:szCs w:val="20"/>
          <w:color w:val="auto"/>
        </w:rPr>
      </w:pPr>
      <w:r>
        <w:rPr>
          <w:rFonts w:ascii="Arial" w:cs="Arial" w:eastAsia="Arial" w:hAnsi="Arial"/>
          <w:sz w:val="11"/>
          <w:szCs w:val="11"/>
          <w:color w:val="auto"/>
        </w:rPr>
        <w:t>3(c)</w:t>
      </w:r>
      <w:r>
        <w:rPr>
          <w:sz w:val="20"/>
          <w:szCs w:val="20"/>
          <w:color w:val="auto"/>
        </w:rPr>
        <w:tab/>
      </w:r>
      <w:r>
        <w:rPr>
          <w:rFonts w:ascii="Arial" w:cs="Arial" w:eastAsia="Arial" w:hAnsi="Arial"/>
          <w:sz w:val="11"/>
          <w:szCs w:val="11"/>
          <w:i w:val="1"/>
          <w:iCs w:val="1"/>
          <w:color w:val="auto"/>
        </w:rPr>
        <w:t>Trust Account</w:t>
      </w:r>
      <w:r>
        <w:rPr>
          <w:rFonts w:ascii="Arial" w:cs="Arial" w:eastAsia="Arial" w:hAnsi="Arial"/>
          <w:sz w:val="11"/>
          <w:szCs w:val="11"/>
          <w:color w:val="auto"/>
        </w:rPr>
        <w:t>. Represents the release of the restricted cash and marketable securities held in the Trust Account upon consummation of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Business Combination to fund the Closing of the Business Combination (See Note 3(a)(1) </w:t>
      </w:r>
      <w:r>
        <w:rPr>
          <w:rFonts w:ascii="Arial" w:cs="Arial" w:eastAsia="Arial" w:hAnsi="Arial"/>
          <w:sz w:val="11"/>
          <w:szCs w:val="11"/>
          <w:i w:val="1"/>
          <w:iCs w:val="1"/>
          <w:color w:val="auto"/>
        </w:rPr>
        <w:t>Cash and cash equivalents</w:t>
      </w:r>
      <w:r>
        <w:rPr>
          <w:rFonts w:ascii="Arial" w:cs="Arial" w:eastAsia="Arial" w:hAnsi="Arial"/>
          <w:sz w:val="11"/>
          <w:szCs w:val="11"/>
          <w:color w:val="auto"/>
        </w:rPr>
        <w:t>).</w:t>
      </w:r>
    </w:p>
    <w:p>
      <w:pPr>
        <w:spacing w:after="0" w:line="110" w:lineRule="exact"/>
        <w:rPr>
          <w:sz w:val="20"/>
          <w:szCs w:val="20"/>
          <w:color w:val="auto"/>
        </w:rPr>
      </w:pPr>
    </w:p>
    <w:p>
      <w:pPr>
        <w:ind w:left="2260" w:right="859" w:hanging="279"/>
        <w:spacing w:after="0" w:line="283" w:lineRule="auto"/>
        <w:tabs>
          <w:tab w:leader="none" w:pos="2240" w:val="left"/>
        </w:tabs>
        <w:rPr>
          <w:sz w:val="20"/>
          <w:szCs w:val="20"/>
          <w:color w:val="auto"/>
        </w:rPr>
      </w:pPr>
      <w:r>
        <w:rPr>
          <w:rFonts w:ascii="Arial" w:cs="Arial" w:eastAsia="Arial" w:hAnsi="Arial"/>
          <w:sz w:val="11"/>
          <w:szCs w:val="11"/>
          <w:color w:val="auto"/>
        </w:rPr>
        <w:t>3(d)</w:t>
      </w:r>
      <w:r>
        <w:rPr>
          <w:sz w:val="20"/>
          <w:szCs w:val="20"/>
          <w:color w:val="auto"/>
        </w:rPr>
        <w:tab/>
      </w:r>
      <w:r>
        <w:rPr>
          <w:rFonts w:ascii="Arial" w:cs="Arial" w:eastAsia="Arial" w:hAnsi="Arial"/>
          <w:sz w:val="11"/>
          <w:szCs w:val="11"/>
          <w:i w:val="1"/>
          <w:iCs w:val="1"/>
          <w:color w:val="auto"/>
        </w:rPr>
        <w:t xml:space="preserve">Earn-Out Shares. </w:t>
      </w:r>
      <w:r>
        <w:rPr>
          <w:rFonts w:ascii="Arial" w:cs="Arial" w:eastAsia="Arial" w:hAnsi="Arial"/>
          <w:sz w:val="11"/>
          <w:szCs w:val="11"/>
          <w:color w:val="auto"/>
        </w:rPr>
        <w:t>Represents recognition of the estimated fair values of the Earn-Out Shares as derivatives that will not qualify for equity</w:t>
      </w:r>
      <w:r>
        <w:rPr>
          <w:rFonts w:ascii="Arial" w:cs="Arial" w:eastAsia="Arial" w:hAnsi="Arial"/>
          <w:sz w:val="11"/>
          <w:szCs w:val="11"/>
          <w:i w:val="1"/>
          <w:iCs w:val="1"/>
          <w:color w:val="auto"/>
        </w:rPr>
        <w:t xml:space="preserve"> </w:t>
      </w:r>
      <w:r>
        <w:rPr>
          <w:rFonts w:ascii="Arial" w:cs="Arial" w:eastAsia="Arial" w:hAnsi="Arial"/>
          <w:sz w:val="11"/>
          <w:szCs w:val="11"/>
          <w:color w:val="auto"/>
        </w:rPr>
        <w:t>classification. These amounts are classified as liabilities in the unaudited pro forma condensed combined balance sheet. The estimated fair values of the Earn-Out Shares were determined using a Monte Carlo simulation valuation model using a distribution of potential outcomes based on certain underlying assumptions such as stock price, volatility and risk-free interest rates. Following the Business Combination, these liabilities will be remeasured to fair value at each reporting date and subsequent changes in the fair value will be recognized in Roivant’s consolidated statement of operations. See Note 1 “Description of the Business Combination” for more information.</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72"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1079"/>
        <w:spacing w:after="0" w:line="276" w:lineRule="auto"/>
        <w:rPr>
          <w:sz w:val="20"/>
          <w:szCs w:val="20"/>
          <w:color w:val="auto"/>
        </w:rPr>
      </w:pPr>
      <w:r>
        <w:rPr>
          <w:rFonts w:ascii="Arial" w:cs="Arial" w:eastAsia="Arial" w:hAnsi="Arial"/>
          <w:sz w:val="12"/>
          <w:szCs w:val="12"/>
          <w:color w:val="auto"/>
        </w:rPr>
        <w:t xml:space="preserve">3(e) </w:t>
      </w:r>
      <w:r>
        <w:rPr>
          <w:rFonts w:ascii="Arial" w:cs="Arial" w:eastAsia="Arial" w:hAnsi="Arial"/>
          <w:sz w:val="12"/>
          <w:szCs w:val="12"/>
          <w:i w:val="1"/>
          <w:iCs w:val="1"/>
          <w:color w:val="auto"/>
        </w:rPr>
        <w:t>Impact on equity.</w:t>
      </w:r>
      <w:r>
        <w:rPr>
          <w:rFonts w:ascii="Arial" w:cs="Arial" w:eastAsia="Arial" w:hAnsi="Arial"/>
          <w:sz w:val="12"/>
          <w:szCs w:val="12"/>
          <w:color w:val="auto"/>
        </w:rPr>
        <w:t xml:space="preserve"> The following table represents the impact of the Business Combination and PIPE Financing on the number of Common Shares and represents the total equity section impact of redemptions by MAAC’s stockholders: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(in thousands, except share amounts)</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81"/>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7"/>
                <w:szCs w:val="7"/>
                <w:b w:val="1"/>
                <w:bCs w:val="1"/>
                <w:color w:val="auto"/>
                <w:w w:val="98"/>
              </w:rPr>
              <w:t>MAAC Temporary</w:t>
            </w: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7"/>
                <w:szCs w:val="7"/>
                <w:b w:val="1"/>
                <w:bCs w:val="1"/>
                <w:color w:val="auto"/>
                <w:w w:val="93"/>
              </w:rPr>
              <w:t>Roivant/Combined</w:t>
            </w:r>
          </w:p>
        </w:tc>
        <w:tc>
          <w:tcPr>
            <w:tcW w:w="60" w:type="dxa"/>
            <w:vAlign w:val="bottom"/>
          </w:tcPr>
          <w:p>
            <w:pPr>
              <w:spacing w:after="0"/>
              <w:rPr>
                <w:sz w:val="7"/>
                <w:szCs w:val="7"/>
                <w:color w:val="auto"/>
              </w:rPr>
            </w:pPr>
          </w:p>
        </w:tc>
        <w:tc>
          <w:tcPr>
            <w:tcW w:w="1340" w:type="dxa"/>
            <w:vAlign w:val="bottom"/>
            <w:gridSpan w:val="7"/>
          </w:tcPr>
          <w:p>
            <w:pPr>
              <w:ind w:left="280"/>
              <w:spacing w:after="0"/>
              <w:rPr>
                <w:sz w:val="20"/>
                <w:szCs w:val="20"/>
                <w:color w:val="auto"/>
              </w:rPr>
            </w:pPr>
            <w:r>
              <w:rPr>
                <w:rFonts w:ascii="Arial" w:cs="Arial" w:eastAsia="Arial" w:hAnsi="Arial"/>
                <w:sz w:val="7"/>
                <w:szCs w:val="7"/>
                <w:b w:val="1"/>
                <w:bCs w:val="1"/>
                <w:color w:val="auto"/>
              </w:rPr>
              <w:t>MAAC Common Stock</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7"/>
                <w:szCs w:val="7"/>
                <w:b w:val="1"/>
                <w:bCs w:val="1"/>
                <w:color w:val="auto"/>
                <w:w w:val="90"/>
              </w:rPr>
              <w:t>Roivant/Combined</w:t>
            </w:r>
          </w:p>
        </w:tc>
        <w:tc>
          <w:tcPr>
            <w:tcW w:w="540" w:type="dxa"/>
            <w:vAlign w:val="bottom"/>
            <w:gridSpan w:val="2"/>
          </w:tcPr>
          <w:p>
            <w:pPr>
              <w:jc w:val="center"/>
              <w:ind w:left="280"/>
              <w:spacing w:after="0"/>
              <w:rPr>
                <w:sz w:val="20"/>
                <w:szCs w:val="20"/>
                <w:color w:val="auto"/>
              </w:rPr>
            </w:pPr>
            <w:r>
              <w:rPr>
                <w:rFonts w:ascii="Arial" w:cs="Arial" w:eastAsia="Arial" w:hAnsi="Arial"/>
                <w:sz w:val="7"/>
                <w:szCs w:val="7"/>
                <w:b w:val="1"/>
                <w:bCs w:val="1"/>
                <w:color w:val="auto"/>
              </w:rPr>
              <w:t>Equity</w:t>
            </w: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tcBorders>
              <w:top w:val="single" w:sz="8" w:color="auto"/>
            </w:tcBorders>
            <w:gridSpan w:val="3"/>
          </w:tcPr>
          <w:p>
            <w:pPr>
              <w:jc w:val="center"/>
              <w:spacing w:after="0" w:line="61" w:lineRule="exact"/>
              <w:rPr>
                <w:sz w:val="20"/>
                <w:szCs w:val="20"/>
                <w:color w:val="auto"/>
              </w:rPr>
            </w:pPr>
            <w:r>
              <w:rPr>
                <w:rFonts w:ascii="Arial" w:cs="Arial" w:eastAsia="Arial" w:hAnsi="Arial"/>
                <w:sz w:val="7"/>
                <w:szCs w:val="7"/>
                <w:b w:val="1"/>
                <w:bCs w:val="1"/>
                <w:color w:val="auto"/>
                <w:w w:val="91"/>
              </w:rPr>
              <w:t>Class A Common Stock</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center"/>
              <w:spacing w:after="0"/>
              <w:rPr>
                <w:sz w:val="20"/>
                <w:szCs w:val="20"/>
                <w:color w:val="auto"/>
              </w:rPr>
            </w:pPr>
            <w:r>
              <w:rPr>
                <w:rFonts w:ascii="Arial" w:cs="Arial" w:eastAsia="Arial" w:hAnsi="Arial"/>
                <w:sz w:val="7"/>
                <w:szCs w:val="7"/>
                <w:b w:val="1"/>
                <w:bCs w:val="1"/>
                <w:color w:val="auto"/>
                <w:w w:val="93"/>
              </w:rPr>
              <w:t>Company Common</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7"/>
                <w:szCs w:val="7"/>
                <w:b w:val="1"/>
                <w:bCs w:val="1"/>
                <w:color w:val="auto"/>
                <w:w w:val="94"/>
              </w:rPr>
              <w:t>Company Temporary</w:t>
            </w:r>
          </w:p>
        </w:tc>
        <w:tc>
          <w:tcPr>
            <w:tcW w:w="920" w:type="dxa"/>
            <w:vAlign w:val="bottom"/>
            <w:gridSpan w:val="4"/>
          </w:tcPr>
          <w:p>
            <w:pPr>
              <w:jc w:val="center"/>
              <w:ind w:right="40"/>
              <w:spacing w:after="0"/>
              <w:rPr>
                <w:sz w:val="20"/>
                <w:szCs w:val="20"/>
                <w:color w:val="auto"/>
              </w:rPr>
            </w:pPr>
            <w:r>
              <w:rPr>
                <w:rFonts w:ascii="Arial" w:cs="Arial" w:eastAsia="Arial" w:hAnsi="Arial"/>
                <w:sz w:val="7"/>
                <w:szCs w:val="7"/>
                <w:b w:val="1"/>
                <w:bCs w:val="1"/>
                <w:color w:val="auto"/>
                <w:w w:val="88"/>
              </w:rPr>
              <w:t>subject to possible</w:t>
            </w: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left="159"/>
              <w:spacing w:after="0"/>
              <w:rPr>
                <w:sz w:val="20"/>
                <w:szCs w:val="20"/>
                <w:color w:val="auto"/>
              </w:rPr>
            </w:pPr>
            <w:r>
              <w:rPr>
                <w:rFonts w:ascii="Arial" w:cs="Arial" w:eastAsia="Arial" w:hAnsi="Arial"/>
                <w:sz w:val="7"/>
                <w:szCs w:val="7"/>
                <w:b w:val="1"/>
                <w:bCs w:val="1"/>
                <w:color w:val="auto"/>
                <w:w w:val="85"/>
              </w:rPr>
              <w:t>Shares</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3"/>
          </w:tcPr>
          <w:p>
            <w:pPr>
              <w:ind w:left="260"/>
              <w:spacing w:after="0"/>
              <w:rPr>
                <w:sz w:val="20"/>
                <w:szCs w:val="20"/>
                <w:color w:val="auto"/>
              </w:rPr>
            </w:pPr>
            <w:r>
              <w:rPr>
                <w:rFonts w:ascii="Arial" w:cs="Arial" w:eastAsia="Arial" w:hAnsi="Arial"/>
                <w:sz w:val="7"/>
                <w:szCs w:val="7"/>
                <w:b w:val="1"/>
                <w:bCs w:val="1"/>
                <w:color w:val="auto"/>
              </w:rPr>
              <w:t>Class A</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Class B</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w w:val="90"/>
              </w:rPr>
              <w:t>Accumulated</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3"/>
              </w:rPr>
              <w:t>Equity</w:t>
            </w:r>
          </w:p>
        </w:tc>
        <w:tc>
          <w:tcPr>
            <w:tcW w:w="920" w:type="dxa"/>
            <w:vAlign w:val="bottom"/>
            <w:gridSpan w:val="4"/>
          </w:tcPr>
          <w:p>
            <w:pPr>
              <w:jc w:val="center"/>
              <w:ind w:right="60"/>
              <w:spacing w:after="0"/>
              <w:rPr>
                <w:sz w:val="20"/>
                <w:szCs w:val="20"/>
                <w:color w:val="auto"/>
              </w:rPr>
            </w:pPr>
            <w:r>
              <w:rPr>
                <w:rFonts w:ascii="Arial" w:cs="Arial" w:eastAsia="Arial" w:hAnsi="Arial"/>
                <w:sz w:val="7"/>
                <w:szCs w:val="7"/>
                <w:b w:val="1"/>
                <w:bCs w:val="1"/>
                <w:color w:val="auto"/>
                <w:w w:val="89"/>
              </w:rPr>
              <w:t>redemption</w:t>
            </w:r>
          </w:p>
        </w:tc>
        <w:tc>
          <w:tcPr>
            <w:tcW w:w="0" w:type="dxa"/>
            <w:vAlign w:val="bottom"/>
          </w:tcPr>
          <w:p>
            <w:pPr>
              <w:spacing w:after="0"/>
              <w:rPr>
                <w:sz w:val="1"/>
                <w:szCs w:val="1"/>
                <w:color w:val="auto"/>
              </w:rPr>
            </w:pPr>
          </w:p>
        </w:tc>
      </w:tr>
      <w:tr>
        <w:trPr>
          <w:trHeight w:val="52"/>
        </w:trPr>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9"/>
              </w:rPr>
              <w:t>Additional</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91"/>
              </w:rPr>
              <w:t>other</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w w:val="95"/>
              </w:rPr>
              <w:t>Total</w:t>
            </w:r>
          </w:p>
        </w:tc>
        <w:tc>
          <w:tcPr>
            <w:tcW w:w="40" w:type="dxa"/>
            <w:vAlign w:val="bottom"/>
          </w:tcPr>
          <w:p>
            <w:pPr>
              <w:spacing w:after="0"/>
              <w:rPr>
                <w:sz w:val="7"/>
                <w:szCs w:val="7"/>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7"/>
                <w:szCs w:val="7"/>
                <w:b w:val="1"/>
                <w:bCs w:val="1"/>
                <w:color w:val="auto"/>
                <w:w w:val="92"/>
              </w:rPr>
              <w:t>Redeemable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jc w:val="right"/>
              <w:spacing w:after="0"/>
              <w:rPr>
                <w:sz w:val="20"/>
                <w:szCs w:val="20"/>
                <w:color w:val="auto"/>
              </w:rPr>
            </w:pPr>
            <w:r>
              <w:rPr>
                <w:rFonts w:ascii="Arial" w:cs="Arial" w:eastAsia="Arial" w:hAnsi="Arial"/>
                <w:sz w:val="7"/>
                <w:szCs w:val="7"/>
                <w:b w:val="1"/>
                <w:bCs w:val="1"/>
                <w:color w:val="auto"/>
              </w:rPr>
              <w:t>Par</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paid-in</w:t>
            </w:r>
          </w:p>
        </w:tc>
        <w:tc>
          <w:tcPr>
            <w:tcW w:w="480" w:type="dxa"/>
            <w:vAlign w:val="bottom"/>
            <w:gridSpan w:val="3"/>
          </w:tcPr>
          <w:p>
            <w:pPr>
              <w:spacing w:after="0"/>
              <w:rPr>
                <w:sz w:val="20"/>
                <w:szCs w:val="20"/>
                <w:color w:val="auto"/>
              </w:rPr>
            </w:pPr>
            <w:r>
              <w:rPr>
                <w:rFonts w:ascii="Arial" w:cs="Arial" w:eastAsia="Arial" w:hAnsi="Arial"/>
                <w:sz w:val="7"/>
                <w:szCs w:val="7"/>
                <w:b w:val="1"/>
                <w:bCs w:val="1"/>
                <w:color w:val="auto"/>
              </w:rPr>
              <w:t>Subscription</w:t>
            </w:r>
          </w:p>
        </w:tc>
        <w:tc>
          <w:tcPr>
            <w:tcW w:w="48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w w:val="86"/>
              </w:rPr>
              <w:t>Accumulated</w:t>
            </w:r>
          </w:p>
        </w:tc>
        <w:tc>
          <w:tcPr>
            <w:tcW w:w="54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89"/>
              </w:rPr>
              <w:t>comprehensive</w:t>
            </w:r>
          </w:p>
        </w:tc>
        <w:tc>
          <w:tcPr>
            <w:tcW w:w="52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w w:val="92"/>
              </w:rPr>
              <w:t>Noncontrolling</w:t>
            </w: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w w:val="87"/>
              </w:rPr>
              <w:t>stockholders’</w:t>
            </w:r>
          </w:p>
        </w:tc>
        <w:tc>
          <w:tcPr>
            <w:tcW w:w="40" w:type="dxa"/>
            <w:vAlign w:val="bottom"/>
          </w:tcPr>
          <w:p>
            <w:pPr>
              <w:spacing w:after="0"/>
              <w:rPr>
                <w:sz w:val="7"/>
                <w:szCs w:val="7"/>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0"/>
              </w:rPr>
              <w:t>non- controlling</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w w:val="83"/>
              </w:rPr>
              <w:t>Note 3</w:t>
            </w:r>
          </w:p>
        </w:tc>
        <w:tc>
          <w:tcPr>
            <w:tcW w:w="52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Shares</w:t>
            </w:r>
          </w:p>
        </w:tc>
        <w:tc>
          <w:tcPr>
            <w:tcW w:w="180" w:type="dxa"/>
            <w:vAlign w:val="bottom"/>
          </w:tcPr>
          <w:p>
            <w:pPr>
              <w:jc w:val="right"/>
              <w:spacing w:after="0"/>
              <w:rPr>
                <w:sz w:val="20"/>
                <w:szCs w:val="20"/>
                <w:color w:val="auto"/>
              </w:rPr>
            </w:pPr>
            <w:r>
              <w:rPr>
                <w:rFonts w:ascii="Arial" w:cs="Arial" w:eastAsia="Arial" w:hAnsi="Arial"/>
                <w:sz w:val="7"/>
                <w:szCs w:val="7"/>
                <w:b w:val="1"/>
                <w:bCs w:val="1"/>
                <w:color w:val="auto"/>
                <w:w w:val="85"/>
              </w:rPr>
              <w:t>Value</w:t>
            </w:r>
          </w:p>
        </w:tc>
        <w:tc>
          <w:tcPr>
            <w:tcW w:w="60" w:type="dxa"/>
            <w:vAlign w:val="bottom"/>
          </w:tcPr>
          <w:p>
            <w:pPr>
              <w:spacing w:after="0"/>
              <w:rPr>
                <w:sz w:val="7"/>
                <w:szCs w:val="7"/>
                <w:color w:val="auto"/>
              </w:rPr>
            </w:pPr>
          </w:p>
        </w:tc>
        <w:tc>
          <w:tcPr>
            <w:tcW w:w="48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34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52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Shares</w:t>
            </w:r>
          </w:p>
        </w:tc>
        <w:tc>
          <w:tcPr>
            <w:tcW w:w="34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capital</w:t>
            </w:r>
          </w:p>
        </w:tc>
        <w:tc>
          <w:tcPr>
            <w:tcW w:w="40" w:type="dxa"/>
            <w:vAlign w:val="bottom"/>
          </w:tcPr>
          <w:p>
            <w:pPr>
              <w:spacing w:after="0"/>
              <w:rPr>
                <w:sz w:val="7"/>
                <w:szCs w:val="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81"/>
              </w:rPr>
              <w:t>receivable</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7"/>
                <w:szCs w:val="7"/>
                <w:color w:val="auto"/>
              </w:rPr>
            </w:pPr>
          </w:p>
        </w:tc>
        <w:tc>
          <w:tcPr>
            <w:tcW w:w="44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5"/>
              </w:rPr>
              <w:t>loss</w:t>
            </w:r>
          </w:p>
        </w:tc>
        <w:tc>
          <w:tcPr>
            <w:tcW w:w="80" w:type="dxa"/>
            <w:vAlign w:val="bottom"/>
          </w:tcPr>
          <w:p>
            <w:pPr>
              <w:spacing w:after="0"/>
              <w:rPr>
                <w:sz w:val="7"/>
                <w:szCs w:val="7"/>
                <w:color w:val="auto"/>
              </w:rPr>
            </w:pPr>
          </w:p>
        </w:tc>
        <w:tc>
          <w:tcPr>
            <w:tcW w:w="440" w:type="dxa"/>
            <w:vAlign w:val="bottom"/>
            <w:gridSpan w:val="2"/>
          </w:tcPr>
          <w:p>
            <w:pPr>
              <w:ind w:left="40"/>
              <w:spacing w:after="0"/>
              <w:rPr>
                <w:sz w:val="20"/>
                <w:szCs w:val="20"/>
                <w:color w:val="auto"/>
              </w:rPr>
            </w:pPr>
            <w:r>
              <w:rPr>
                <w:rFonts w:ascii="Arial" w:cs="Arial" w:eastAsia="Arial" w:hAnsi="Arial"/>
                <w:sz w:val="7"/>
                <w:szCs w:val="7"/>
                <w:b w:val="1"/>
                <w:bCs w:val="1"/>
                <w:color w:val="auto"/>
              </w:rPr>
              <w:t>interests</w:t>
            </w: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w w:val="96"/>
              </w:rPr>
              <w:t>equity</w:t>
            </w:r>
          </w:p>
        </w:tc>
        <w:tc>
          <w:tcPr>
            <w:tcW w:w="40" w:type="dxa"/>
            <w:vAlign w:val="bottom"/>
          </w:tcPr>
          <w:p>
            <w:pPr>
              <w:spacing w:after="0"/>
              <w:rPr>
                <w:sz w:val="7"/>
                <w:szCs w:val="7"/>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4"/>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w w:val="98"/>
              </w:rPr>
              <w:t>Amount</w:t>
            </w:r>
          </w:p>
        </w:tc>
        <w:tc>
          <w:tcPr>
            <w:tcW w:w="0" w:type="dxa"/>
            <w:vAlign w:val="bottom"/>
          </w:tcPr>
          <w:p>
            <w:pPr>
              <w:spacing w:after="0"/>
              <w:rPr>
                <w:sz w:val="1"/>
                <w:szCs w:val="1"/>
                <w:color w:val="auto"/>
              </w:rPr>
            </w:pPr>
          </w:p>
        </w:tc>
      </w:tr>
      <w:tr>
        <w:trPr>
          <w:trHeight w:val="61"/>
        </w:trPr>
        <w:tc>
          <w:tcPr>
            <w:tcW w:w="640" w:type="dxa"/>
            <w:vAlign w:val="bottom"/>
            <w:tcBorders>
              <w:top w:val="single" w:sz="8" w:color="CCEEFF"/>
            </w:tcBorders>
            <w:shd w:val="clear" w:color="auto" w:fill="CCEEFF"/>
          </w:tcPr>
          <w:p>
            <w:pPr>
              <w:spacing w:after="0" w:line="62" w:lineRule="exact"/>
              <w:rPr>
                <w:sz w:val="20"/>
                <w:szCs w:val="20"/>
                <w:color w:val="auto"/>
              </w:rPr>
            </w:pPr>
            <w:r>
              <w:rPr>
                <w:rFonts w:ascii="Arial" w:cs="Arial" w:eastAsia="Arial" w:hAnsi="Arial"/>
                <w:sz w:val="7"/>
                <w:szCs w:val="7"/>
                <w:color w:val="auto"/>
              </w:rPr>
              <w:t>Roivant equity as</w:t>
            </w:r>
          </w:p>
        </w:tc>
        <w:tc>
          <w:tcPr>
            <w:tcW w:w="2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of June 30,</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2021 - pre</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Business</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Combination</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w w:val="94"/>
              </w:rPr>
              <w:t>222,669,799</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w w:val="81"/>
              </w:rPr>
              <w:t>$ —</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w w:val="89"/>
              </w:rPr>
              <w:t>$ 3,824,974</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(100,000)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92"/>
              </w:rPr>
              <w:t>$(2,000,645)</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center"/>
              <w:ind w:left="59"/>
              <w:spacing w:after="0"/>
              <w:rPr>
                <w:sz w:val="20"/>
                <w:szCs w:val="20"/>
                <w:color w:val="auto"/>
              </w:rPr>
            </w:pPr>
            <w:r>
              <w:rPr>
                <w:rFonts w:ascii="Arial" w:cs="Arial" w:eastAsia="Arial" w:hAnsi="Arial"/>
                <w:sz w:val="8"/>
                <w:szCs w:val="8"/>
                <w:color w:val="auto"/>
              </w:rPr>
              <w:t>(1,207)</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234,219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w w:val="94"/>
              </w:rPr>
              <w:t>$ 1,957,341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22,491</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MAAC equity as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of June 30,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2021 - pre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Business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Combination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left="159"/>
              <w:spacing w:after="0"/>
              <w:rPr>
                <w:sz w:val="20"/>
                <w:szCs w:val="20"/>
                <w:color w:val="auto"/>
              </w:rPr>
            </w:pPr>
            <w:r>
              <w:rPr>
                <w:rFonts w:ascii="Arial" w:cs="Arial" w:eastAsia="Arial" w:hAnsi="Arial"/>
                <w:sz w:val="8"/>
                <w:szCs w:val="8"/>
                <w:color w:val="auto"/>
                <w:w w:val="99"/>
              </w:rPr>
              <w:t>—</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8"/>
                <w:szCs w:val="8"/>
                <w:color w:val="auto"/>
              </w:rPr>
              <w:t>7,432,583</w:t>
            </w:r>
          </w:p>
        </w:tc>
        <w:tc>
          <w:tcPr>
            <w:tcW w:w="80" w:type="dxa"/>
            <w:vAlign w:val="bottom"/>
          </w:tcPr>
          <w:p>
            <w:pPr>
              <w:spacing w:after="0"/>
              <w:rPr>
                <w:sz w:val="8"/>
                <w:szCs w:val="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8"/>
                <w:szCs w:val="8"/>
                <w:color w:val="auto"/>
              </w:rPr>
              <w:t>1</w:t>
            </w:r>
          </w:p>
        </w:tc>
        <w:tc>
          <w:tcPr>
            <w:tcW w:w="520" w:type="dxa"/>
            <w:vAlign w:val="bottom"/>
            <w:gridSpan w:val="2"/>
          </w:tcPr>
          <w:p>
            <w:pPr>
              <w:jc w:val="right"/>
              <w:ind w:right="80"/>
              <w:spacing w:after="0"/>
              <w:rPr>
                <w:sz w:val="20"/>
                <w:szCs w:val="20"/>
                <w:color w:val="auto"/>
              </w:rPr>
            </w:pPr>
            <w:r>
              <w:rPr>
                <w:rFonts w:ascii="Arial" w:cs="Arial" w:eastAsia="Arial" w:hAnsi="Arial"/>
                <w:sz w:val="8"/>
                <w:szCs w:val="8"/>
                <w:color w:val="auto"/>
              </w:rPr>
              <w:t>10,267,956</w:t>
            </w:r>
          </w:p>
        </w:tc>
        <w:tc>
          <w:tcPr>
            <w:tcW w:w="10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8"/>
                <w:szCs w:val="8"/>
                <w:color w:val="auto"/>
              </w:rPr>
              <w:t>23,136</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8"/>
                <w:szCs w:val="8"/>
                <w:color w:val="auto"/>
              </w:rPr>
              <w:t>(18,138)</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8"/>
                <w:szCs w:val="8"/>
                <w:color w:val="auto"/>
              </w:rPr>
              <w:t>5,000</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33,639,240</w:t>
            </w:r>
          </w:p>
        </w:tc>
        <w:tc>
          <w:tcPr>
            <w:tcW w:w="380" w:type="dxa"/>
            <w:vAlign w:val="bottom"/>
            <w:gridSpan w:val="2"/>
          </w:tcPr>
          <w:p>
            <w:pPr>
              <w:jc w:val="right"/>
              <w:ind w:right="60"/>
              <w:spacing w:after="0"/>
              <w:rPr>
                <w:sz w:val="20"/>
                <w:szCs w:val="20"/>
                <w:color w:val="auto"/>
              </w:rPr>
            </w:pPr>
            <w:r>
              <w:rPr>
                <w:rFonts w:ascii="Arial" w:cs="Arial" w:eastAsia="Arial" w:hAnsi="Arial"/>
                <w:sz w:val="8"/>
                <w:szCs w:val="8"/>
                <w:color w:val="auto"/>
              </w:rPr>
              <w:t>336,392</w:t>
            </w:r>
          </w:p>
        </w:tc>
        <w:tc>
          <w:tcPr>
            <w:tcW w:w="0" w:type="dxa"/>
            <w:vAlign w:val="bottom"/>
          </w:tcPr>
          <w:p>
            <w:pPr>
              <w:spacing w:after="0"/>
              <w:rPr>
                <w:sz w:val="1"/>
                <w:szCs w:val="1"/>
                <w:color w:val="auto"/>
              </w:rPr>
            </w:pPr>
          </w:p>
        </w:tc>
      </w:tr>
      <w:tr>
        <w:trPr>
          <w:trHeight w:val="79"/>
        </w:trPr>
        <w:tc>
          <w:tcPr>
            <w:tcW w:w="640" w:type="dxa"/>
            <w:vAlign w:val="bottom"/>
            <w:shd w:val="clear" w:color="auto" w:fill="CCEEFF"/>
          </w:tcPr>
          <w:p>
            <w:pPr>
              <w:spacing w:after="0" w:line="79" w:lineRule="exact"/>
              <w:rPr>
                <w:sz w:val="20"/>
                <w:szCs w:val="20"/>
                <w:color w:val="auto"/>
              </w:rPr>
            </w:pPr>
            <w:r>
              <w:rPr>
                <w:rFonts w:ascii="Arial" w:cs="Arial" w:eastAsia="Arial" w:hAnsi="Arial"/>
                <w:sz w:val="8"/>
                <w:szCs w:val="8"/>
                <w:color w:val="auto"/>
              </w:rPr>
              <w:t>Total equity</w:t>
            </w:r>
          </w:p>
        </w:tc>
        <w:tc>
          <w:tcPr>
            <w:tcW w:w="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balance pre</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Business</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Combination</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w w:val="94"/>
              </w:rPr>
              <w:t>222,669,799</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8"/>
                <w:szCs w:val="8"/>
                <w:color w:val="auto"/>
              </w:rPr>
              <w:t>7,432,583</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10,267,956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3,848,110</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(100,000)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(2,018,783)</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59"/>
              <w:spacing w:after="0"/>
              <w:rPr>
                <w:sz w:val="20"/>
                <w:szCs w:val="20"/>
                <w:color w:val="auto"/>
              </w:rPr>
            </w:pPr>
            <w:r>
              <w:rPr>
                <w:rFonts w:ascii="Arial" w:cs="Arial" w:eastAsia="Arial" w:hAnsi="Arial"/>
                <w:sz w:val="8"/>
                <w:szCs w:val="8"/>
                <w:color w:val="auto"/>
              </w:rPr>
              <w:t>(1,207)</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234,219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1,962,341</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22,491</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33,639,240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336,392</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Subdivision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Roivant shares</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(1)</w:t>
            </w:r>
          </w:p>
        </w:tc>
        <w:tc>
          <w:tcPr>
            <w:tcW w:w="440" w:type="dxa"/>
            <w:vAlign w:val="bottom"/>
          </w:tcPr>
          <w:p>
            <w:pPr>
              <w:jc w:val="right"/>
              <w:spacing w:after="0"/>
              <w:rPr>
                <w:sz w:val="20"/>
                <w:szCs w:val="20"/>
                <w:color w:val="auto"/>
              </w:rPr>
            </w:pPr>
            <w:r>
              <w:rPr>
                <w:rFonts w:ascii="Arial" w:cs="Arial" w:eastAsia="Arial" w:hAnsi="Arial"/>
                <w:sz w:val="8"/>
                <w:szCs w:val="8"/>
                <w:color w:val="auto"/>
                <w:w w:val="94"/>
              </w:rPr>
              <w:t>652,416,691</w:t>
            </w:r>
          </w:p>
        </w:tc>
        <w:tc>
          <w:tcPr>
            <w:tcW w:w="8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Transaction</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Accounting</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Adjustments:</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Reclassification</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of MAAC</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Class A</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to Common</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Shares</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(2)</w:t>
            </w:r>
          </w:p>
        </w:tc>
        <w:tc>
          <w:tcPr>
            <w:tcW w:w="440" w:type="dxa"/>
            <w:vAlign w:val="bottom"/>
          </w:tcPr>
          <w:p>
            <w:pPr>
              <w:jc w:val="right"/>
              <w:spacing w:after="0"/>
              <w:rPr>
                <w:sz w:val="20"/>
                <w:szCs w:val="20"/>
                <w:color w:val="auto"/>
              </w:rPr>
            </w:pPr>
            <w:r>
              <w:rPr>
                <w:rFonts w:ascii="Arial" w:cs="Arial" w:eastAsia="Arial" w:hAnsi="Arial"/>
                <w:sz w:val="8"/>
                <w:szCs w:val="8"/>
                <w:color w:val="auto"/>
              </w:rPr>
              <w:t>33,639,240</w:t>
            </w:r>
          </w:p>
        </w:tc>
        <w:tc>
          <w:tcPr>
            <w:tcW w:w="8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8"/>
                <w:szCs w:val="8"/>
                <w:color w:val="auto"/>
              </w:rPr>
              <w:t>336,392</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8"/>
                <w:szCs w:val="8"/>
                <w:color w:val="auto"/>
              </w:rPr>
              <w:t>336,392</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(33,639,240)</w:t>
            </w:r>
          </w:p>
        </w:tc>
        <w:tc>
          <w:tcPr>
            <w:tcW w:w="380" w:type="dxa"/>
            <w:vAlign w:val="bottom"/>
            <w:gridSpan w:val="2"/>
          </w:tcPr>
          <w:p>
            <w:pPr>
              <w:jc w:val="right"/>
              <w:ind w:right="40"/>
              <w:spacing w:after="0"/>
              <w:rPr>
                <w:sz w:val="20"/>
                <w:szCs w:val="20"/>
                <w:color w:val="auto"/>
              </w:rPr>
            </w:pPr>
            <w:r>
              <w:rPr>
                <w:rFonts w:ascii="Arial" w:cs="Arial" w:eastAsia="Arial" w:hAnsi="Arial"/>
                <w:sz w:val="8"/>
                <w:szCs w:val="8"/>
                <w:color w:val="auto"/>
                <w:w w:val="93"/>
              </w:rPr>
              <w:t>(336,392)</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Reclassification</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of MAAC</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Class A</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common stock</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to Common</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Shares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(2)</w:t>
            </w: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7,432,583</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8"/>
                <w:szCs w:val="8"/>
                <w:color w:val="auto"/>
              </w:rPr>
              <w:t>(7,432,583)</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Reclassification</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of MAAC</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Class B</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to Common</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Shares</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(3)</w:t>
            </w:r>
          </w:p>
        </w:tc>
        <w:tc>
          <w:tcPr>
            <w:tcW w:w="440" w:type="dxa"/>
            <w:vAlign w:val="bottom"/>
          </w:tcPr>
          <w:p>
            <w:pPr>
              <w:jc w:val="right"/>
              <w:spacing w:after="0"/>
              <w:rPr>
                <w:sz w:val="20"/>
                <w:szCs w:val="20"/>
                <w:color w:val="auto"/>
              </w:rPr>
            </w:pPr>
            <w:r>
              <w:rPr>
                <w:rFonts w:ascii="Arial" w:cs="Arial" w:eastAsia="Arial" w:hAnsi="Arial"/>
                <w:sz w:val="8"/>
                <w:szCs w:val="8"/>
                <w:color w:val="auto"/>
              </w:rPr>
              <w:t>10,267,956</w:t>
            </w:r>
          </w:p>
        </w:tc>
        <w:tc>
          <w:tcPr>
            <w:tcW w:w="8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8"/>
                <w:szCs w:val="8"/>
                <w:color w:val="auto"/>
              </w:rPr>
              <w:t>(10,267,956)</w:t>
            </w:r>
          </w:p>
        </w:tc>
        <w:tc>
          <w:tcPr>
            <w:tcW w:w="100" w:type="dxa"/>
            <w:vAlign w:val="bottom"/>
          </w:tcPr>
          <w:p>
            <w:pPr>
              <w:spacing w:after="0"/>
              <w:rPr>
                <w:sz w:val="8"/>
                <w:szCs w:val="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8"/>
                <w:szCs w:val="8"/>
                <w:color w:val="auto"/>
              </w:rPr>
              <w:t>(1)</w:t>
            </w:r>
          </w:p>
        </w:tc>
        <w:tc>
          <w:tcPr>
            <w:tcW w:w="480" w:type="dxa"/>
            <w:vAlign w:val="bottom"/>
            <w:gridSpan w:val="2"/>
          </w:tcPr>
          <w:p>
            <w:pPr>
              <w:jc w:val="right"/>
              <w:ind w:right="80"/>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Reclassification</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to MAAC</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Sponsor</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Earn-Out</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Shares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(3,080,387)</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640" w:type="dxa"/>
            <w:vAlign w:val="bottom"/>
          </w:tcPr>
          <w:p>
            <w:pPr>
              <w:spacing w:after="0" w:line="90" w:lineRule="exact"/>
              <w:rPr>
                <w:sz w:val="20"/>
                <w:szCs w:val="20"/>
                <w:color w:val="auto"/>
              </w:rPr>
            </w:pPr>
            <w:r>
              <w:rPr>
                <w:rFonts w:ascii="Arial" w:cs="Arial" w:eastAsia="Arial" w:hAnsi="Arial"/>
                <w:sz w:val="8"/>
                <w:szCs w:val="8"/>
                <w:color w:val="auto"/>
              </w:rPr>
              <w:t>PIPE Investment</w:t>
            </w:r>
          </w:p>
        </w:tc>
        <w:tc>
          <w:tcPr>
            <w:tcW w:w="280" w:type="dxa"/>
            <w:vAlign w:val="bottom"/>
            <w:gridSpan w:val="2"/>
          </w:tcPr>
          <w:p>
            <w:pPr>
              <w:jc w:val="right"/>
              <w:ind w:right="60"/>
              <w:spacing w:after="0" w:line="90" w:lineRule="exact"/>
              <w:rPr>
                <w:sz w:val="20"/>
                <w:szCs w:val="20"/>
                <w:color w:val="auto"/>
              </w:rPr>
            </w:pPr>
            <w:r>
              <w:rPr>
                <w:rFonts w:ascii="Arial" w:cs="Arial" w:eastAsia="Arial" w:hAnsi="Arial"/>
                <w:sz w:val="8"/>
                <w:szCs w:val="8"/>
                <w:color w:val="auto"/>
              </w:rPr>
              <w:t>(5)</w:t>
            </w:r>
          </w:p>
        </w:tc>
        <w:tc>
          <w:tcPr>
            <w:tcW w:w="440" w:type="dxa"/>
            <w:vAlign w:val="bottom"/>
          </w:tcPr>
          <w:p>
            <w:pPr>
              <w:jc w:val="right"/>
              <w:spacing w:after="0" w:line="90" w:lineRule="exact"/>
              <w:rPr>
                <w:sz w:val="20"/>
                <w:szCs w:val="20"/>
                <w:color w:val="auto"/>
              </w:rPr>
            </w:pPr>
            <w:r>
              <w:rPr>
                <w:rFonts w:ascii="Arial" w:cs="Arial" w:eastAsia="Arial" w:hAnsi="Arial"/>
                <w:sz w:val="8"/>
                <w:szCs w:val="8"/>
                <w:color w:val="auto"/>
              </w:rPr>
              <w:t>22,000,000</w:t>
            </w:r>
          </w:p>
        </w:tc>
        <w:tc>
          <w:tcPr>
            <w:tcW w:w="80" w:type="dxa"/>
            <w:vAlign w:val="bottom"/>
          </w:tcPr>
          <w:p>
            <w:pPr>
              <w:spacing w:after="0"/>
              <w:rPr>
                <w:sz w:val="7"/>
                <w:szCs w:val="7"/>
                <w:color w:val="auto"/>
              </w:rPr>
            </w:pPr>
          </w:p>
        </w:tc>
        <w:tc>
          <w:tcPr>
            <w:tcW w:w="180" w:type="dxa"/>
            <w:vAlign w:val="bottom"/>
          </w:tcPr>
          <w:p>
            <w:pPr>
              <w:jc w:val="right"/>
              <w:spacing w:after="0" w:line="90"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480" w:type="dxa"/>
            <w:vAlign w:val="bottom"/>
            <w:gridSpan w:val="2"/>
          </w:tcPr>
          <w:p>
            <w:pPr>
              <w:ind w:left="280"/>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6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24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220,000</w:t>
            </w:r>
          </w:p>
        </w:tc>
        <w:tc>
          <w:tcPr>
            <w:tcW w:w="40" w:type="dxa"/>
            <w:vAlign w:val="bottom"/>
          </w:tcPr>
          <w:p>
            <w:pPr>
              <w:spacing w:after="0"/>
              <w:rPr>
                <w:sz w:val="7"/>
                <w:szCs w:val="7"/>
                <w:color w:val="auto"/>
              </w:rPr>
            </w:pPr>
          </w:p>
        </w:tc>
        <w:tc>
          <w:tcPr>
            <w:tcW w:w="4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center"/>
              <w:ind w:left="79"/>
              <w:spacing w:after="0" w:line="90" w:lineRule="exact"/>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7"/>
                <w:szCs w:val="7"/>
                <w:color w:val="auto"/>
              </w:rPr>
            </w:pPr>
          </w:p>
        </w:tc>
        <w:tc>
          <w:tcPr>
            <w:tcW w:w="440" w:type="dxa"/>
            <w:vAlign w:val="bottom"/>
            <w:gridSpan w:val="2"/>
          </w:tcPr>
          <w:p>
            <w:pPr>
              <w:ind w:left="260"/>
              <w:spacing w:after="0" w:line="90"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80"/>
              <w:spacing w:after="0" w:line="90" w:lineRule="exact"/>
              <w:rPr>
                <w:sz w:val="20"/>
                <w:szCs w:val="20"/>
                <w:color w:val="auto"/>
              </w:rPr>
            </w:pPr>
            <w:r>
              <w:rPr>
                <w:rFonts w:ascii="Arial" w:cs="Arial" w:eastAsia="Arial" w:hAnsi="Arial"/>
                <w:sz w:val="8"/>
                <w:szCs w:val="8"/>
                <w:color w:val="auto"/>
              </w:rPr>
              <w:t>220,000</w:t>
            </w:r>
          </w:p>
        </w:tc>
        <w:tc>
          <w:tcPr>
            <w:tcW w:w="40" w:type="dxa"/>
            <w:vAlign w:val="bottom"/>
          </w:tcPr>
          <w:p>
            <w:pPr>
              <w:spacing w:after="0"/>
              <w:rPr>
                <w:sz w:val="7"/>
                <w:szCs w:val="7"/>
                <w:color w:val="auto"/>
              </w:rPr>
            </w:pPr>
          </w:p>
        </w:tc>
        <w:tc>
          <w:tcPr>
            <w:tcW w:w="68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line="90" w:lineRule="exact"/>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Redemption of</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MAAC Class A</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common stock</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(38,400,312)</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(384,040)</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(384,040)</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Forfeited MAAC</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Class B</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common stock</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(7)</w:t>
            </w:r>
          </w:p>
        </w:tc>
        <w:tc>
          <w:tcPr>
            <w:tcW w:w="520" w:type="dxa"/>
            <w:vAlign w:val="bottom"/>
            <w:gridSpan w:val="2"/>
          </w:tcPr>
          <w:p>
            <w:pPr>
              <w:jc w:val="right"/>
              <w:ind w:right="40"/>
              <w:spacing w:after="0"/>
              <w:rPr>
                <w:sz w:val="20"/>
                <w:szCs w:val="20"/>
                <w:color w:val="auto"/>
              </w:rPr>
            </w:pPr>
            <w:r>
              <w:rPr>
                <w:rFonts w:ascii="Arial" w:cs="Arial" w:eastAsia="Arial" w:hAnsi="Arial"/>
                <w:sz w:val="8"/>
                <w:szCs w:val="8"/>
                <w:color w:val="auto"/>
              </w:rPr>
              <w:t>(2,566,989)</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Recognition of</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Earn-Out</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Shares as a</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liability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(8)</w:t>
            </w:r>
          </w:p>
        </w:tc>
        <w:tc>
          <w:tcPr>
            <w:tcW w:w="520" w:type="dxa"/>
            <w:vAlign w:val="bottom"/>
            <w:gridSpan w:val="2"/>
            <w:shd w:val="clear" w:color="auto" w:fill="CCEEFF"/>
          </w:tcPr>
          <w:p>
            <w:pPr>
              <w:jc w:val="center"/>
              <w:ind w:left="159"/>
              <w:spacing w:after="0"/>
              <w:rPr>
                <w:sz w:val="20"/>
                <w:szCs w:val="20"/>
                <w:color w:val="auto"/>
              </w:rPr>
            </w:pPr>
            <w:r>
              <w:rPr>
                <w:rFonts w:ascii="Arial" w:cs="Arial" w:eastAsia="Arial" w:hAnsi="Arial"/>
                <w:sz w:val="8"/>
                <w:szCs w:val="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(18,953)</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(18,953)</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Liquidity vesting</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of certain</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stock-based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w w:val="94"/>
              </w:rPr>
              <w:t>awards at Close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w w:val="98"/>
              </w:rPr>
              <w:t>of the Business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Combination</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(9)</w:t>
            </w:r>
          </w:p>
        </w:tc>
        <w:tc>
          <w:tcPr>
            <w:tcW w:w="440" w:type="dxa"/>
            <w:vAlign w:val="bottom"/>
          </w:tcPr>
          <w:p>
            <w:pPr>
              <w:jc w:val="right"/>
              <w:spacing w:after="0"/>
              <w:rPr>
                <w:sz w:val="20"/>
                <w:szCs w:val="20"/>
                <w:color w:val="auto"/>
              </w:rPr>
            </w:pPr>
            <w:r>
              <w:rPr>
                <w:rFonts w:ascii="Arial" w:cs="Arial" w:eastAsia="Arial" w:hAnsi="Arial"/>
                <w:sz w:val="8"/>
                <w:szCs w:val="8"/>
                <w:color w:val="auto"/>
              </w:rPr>
              <w:t>3,026,722</w:t>
            </w:r>
          </w:p>
        </w:tc>
        <w:tc>
          <w:tcPr>
            <w:tcW w:w="8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8"/>
                <w:szCs w:val="8"/>
                <w:color w:val="auto"/>
              </w:rPr>
              <w:t>370,773</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8"/>
                <w:szCs w:val="8"/>
                <w:color w:val="auto"/>
              </w:rPr>
              <w:t>(370,773)</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Payment of</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incremental</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transaction</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costs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(10)</w:t>
            </w:r>
          </w:p>
        </w:tc>
        <w:tc>
          <w:tcPr>
            <w:tcW w:w="520" w:type="dxa"/>
            <w:vAlign w:val="bottom"/>
            <w:gridSpan w:val="2"/>
            <w:shd w:val="clear" w:color="auto" w:fill="CCEEFF"/>
          </w:tcPr>
          <w:p>
            <w:pPr>
              <w:jc w:val="center"/>
              <w:ind w:left="159"/>
              <w:spacing w:after="0"/>
              <w:rPr>
                <w:sz w:val="20"/>
                <w:szCs w:val="20"/>
                <w:color w:val="auto"/>
              </w:rPr>
            </w:pPr>
            <w:r>
              <w:rPr>
                <w:rFonts w:ascii="Arial" w:cs="Arial" w:eastAsia="Arial" w:hAnsi="Arial"/>
                <w:sz w:val="8"/>
                <w:szCs w:val="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(30,720)</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(13,465)</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(44,185)</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640" w:type="dxa"/>
            <w:vAlign w:val="bottom"/>
          </w:tcPr>
          <w:p>
            <w:pPr>
              <w:spacing w:after="0" w:line="81" w:lineRule="exact"/>
              <w:rPr>
                <w:sz w:val="20"/>
                <w:szCs w:val="20"/>
                <w:color w:val="auto"/>
              </w:rPr>
            </w:pPr>
            <w:r>
              <w:rPr>
                <w:rFonts w:ascii="Arial" w:cs="Arial" w:eastAsia="Arial" w:hAnsi="Arial"/>
                <w:sz w:val="8"/>
                <w:szCs w:val="8"/>
                <w:color w:val="auto"/>
              </w:rPr>
              <w:t>Elimination of the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historical</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accumulated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tcPr>
          <w:p>
            <w:pPr>
              <w:ind w:left="80"/>
              <w:spacing w:after="0" w:line="90" w:lineRule="exact"/>
              <w:rPr>
                <w:sz w:val="20"/>
                <w:szCs w:val="20"/>
                <w:color w:val="auto"/>
              </w:rPr>
            </w:pPr>
            <w:r>
              <w:rPr>
                <w:rFonts w:ascii="Arial" w:cs="Arial" w:eastAsia="Arial" w:hAnsi="Arial"/>
                <w:sz w:val="8"/>
                <w:szCs w:val="8"/>
                <w:color w:val="auto"/>
              </w:rPr>
              <w:t>deficit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ind w:left="80"/>
              <w:spacing w:after="0"/>
              <w:rPr>
                <w:sz w:val="20"/>
                <w:szCs w:val="20"/>
                <w:color w:val="auto"/>
              </w:rPr>
            </w:pPr>
            <w:r>
              <w:rPr>
                <w:rFonts w:ascii="Arial" w:cs="Arial" w:eastAsia="Arial" w:hAnsi="Arial"/>
                <w:sz w:val="8"/>
                <w:szCs w:val="8"/>
                <w:color w:val="auto"/>
              </w:rPr>
              <w:t>MAAC</w:t>
            </w:r>
          </w:p>
        </w:tc>
        <w:tc>
          <w:tcPr>
            <w:tcW w:w="280" w:type="dxa"/>
            <w:vAlign w:val="bottom"/>
            <w:gridSpan w:val="2"/>
          </w:tcPr>
          <w:p>
            <w:pPr>
              <w:jc w:val="right"/>
              <w:ind w:right="60"/>
              <w:spacing w:after="0"/>
              <w:rPr>
                <w:sz w:val="20"/>
                <w:szCs w:val="20"/>
                <w:color w:val="auto"/>
              </w:rPr>
            </w:pPr>
            <w:r>
              <w:rPr>
                <w:rFonts w:ascii="Arial" w:cs="Arial" w:eastAsia="Arial" w:hAnsi="Arial"/>
                <w:sz w:val="8"/>
                <w:szCs w:val="8"/>
                <w:color w:val="auto"/>
              </w:rPr>
              <w:t>(11)</w:t>
            </w:r>
          </w:p>
        </w:tc>
        <w:tc>
          <w:tcPr>
            <w:tcW w:w="520" w:type="dxa"/>
            <w:vAlign w:val="bottom"/>
            <w:gridSpan w:val="2"/>
          </w:tcPr>
          <w:p>
            <w:pPr>
              <w:jc w:val="center"/>
              <w:ind w:left="159"/>
              <w:spacing w:after="0"/>
              <w:rPr>
                <w:sz w:val="20"/>
                <w:szCs w:val="20"/>
                <w:color w:val="auto"/>
              </w:rPr>
            </w:pPr>
            <w:r>
              <w:rPr>
                <w:rFonts w:ascii="Arial" w:cs="Arial" w:eastAsia="Arial" w:hAnsi="Arial"/>
                <w:sz w:val="8"/>
                <w:szCs w:val="8"/>
                <w:color w:val="auto"/>
                <w:w w:val="99"/>
              </w:rPr>
              <w:t>—</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ind w:left="2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8"/>
                <w:szCs w:val="8"/>
                <w:color w:val="auto"/>
              </w:rPr>
              <w:t>(18,138)</w:t>
            </w:r>
          </w:p>
        </w:tc>
        <w:tc>
          <w:tcPr>
            <w:tcW w:w="40" w:type="dxa"/>
            <w:vAlign w:val="bottom"/>
          </w:tcPr>
          <w:p>
            <w:pPr>
              <w:spacing w:after="0"/>
              <w:rPr>
                <w:sz w:val="8"/>
                <w:szCs w:val="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8"/>
                <w:szCs w:val="8"/>
                <w:color w:val="auto"/>
              </w:rPr>
              <w:t>18,138</w:t>
            </w:r>
          </w:p>
        </w:tc>
        <w:tc>
          <w:tcPr>
            <w:tcW w:w="100" w:type="dxa"/>
            <w:vAlign w:val="bottom"/>
          </w:tcPr>
          <w:p>
            <w:pPr>
              <w:spacing w:after="0"/>
              <w:rPr>
                <w:sz w:val="8"/>
                <w:szCs w:val="8"/>
                <w:color w:val="auto"/>
              </w:rPr>
            </w:pPr>
          </w:p>
        </w:tc>
        <w:tc>
          <w:tcPr>
            <w:tcW w:w="440" w:type="dxa"/>
            <w:vAlign w:val="bottom"/>
            <w:gridSpan w:val="2"/>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tcPr>
          <w:p>
            <w:pPr>
              <w:spacing w:after="0"/>
              <w:rPr>
                <w:sz w:val="8"/>
                <w:szCs w:val="8"/>
                <w:color w:val="auto"/>
              </w:rPr>
            </w:pPr>
          </w:p>
        </w:tc>
        <w:tc>
          <w:tcPr>
            <w:tcW w:w="440" w:type="dxa"/>
            <w:vAlign w:val="bottom"/>
            <w:gridSpan w:val="2"/>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9"/>
        </w:trPr>
        <w:tc>
          <w:tcPr>
            <w:tcW w:w="640" w:type="dxa"/>
            <w:vAlign w:val="bottom"/>
            <w:shd w:val="clear" w:color="auto" w:fill="CCEEFF"/>
          </w:tcPr>
          <w:p>
            <w:pPr>
              <w:spacing w:after="0" w:line="79" w:lineRule="exact"/>
              <w:rPr>
                <w:sz w:val="20"/>
                <w:szCs w:val="20"/>
                <w:color w:val="auto"/>
              </w:rPr>
            </w:pPr>
            <w:r>
              <w:rPr>
                <w:rFonts w:ascii="Arial" w:cs="Arial" w:eastAsia="Arial" w:hAnsi="Arial"/>
                <w:sz w:val="8"/>
                <w:szCs w:val="8"/>
                <w:color w:val="auto"/>
              </w:rPr>
              <w:t>Total Transaction</w:t>
            </w:r>
          </w:p>
        </w:tc>
        <w:tc>
          <w:tcPr>
            <w:tcW w:w="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ind w:left="80"/>
              <w:spacing w:after="0" w:line="90" w:lineRule="exact"/>
              <w:rPr>
                <w:sz w:val="20"/>
                <w:szCs w:val="20"/>
                <w:color w:val="auto"/>
              </w:rPr>
            </w:pPr>
            <w:r>
              <w:rPr>
                <w:rFonts w:ascii="Arial" w:cs="Arial" w:eastAsia="Arial" w:hAnsi="Arial"/>
                <w:sz w:val="8"/>
                <w:szCs w:val="8"/>
                <w:color w:val="auto"/>
              </w:rPr>
              <w:t>Accounting</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80"/>
              <w:spacing w:after="0"/>
              <w:rPr>
                <w:sz w:val="20"/>
                <w:szCs w:val="20"/>
                <w:color w:val="auto"/>
              </w:rPr>
            </w:pPr>
            <w:r>
              <w:rPr>
                <w:rFonts w:ascii="Arial" w:cs="Arial" w:eastAsia="Arial" w:hAnsi="Arial"/>
                <w:sz w:val="8"/>
                <w:szCs w:val="8"/>
                <w:color w:val="auto"/>
              </w:rPr>
              <w:t>Adjustments</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32,318,813</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8"/>
                <w:szCs w:val="8"/>
                <w:color w:val="auto"/>
              </w:rPr>
              <w:t>(7,432,583)</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(10,267,956)</w:t>
            </w:r>
          </w:p>
        </w:tc>
        <w:tc>
          <w:tcPr>
            <w:tcW w:w="1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475,316</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(366,100)</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left="79"/>
              <w:spacing w:after="0"/>
              <w:rPr>
                <w:sz w:val="20"/>
                <w:szCs w:val="20"/>
                <w:color w:val="auto"/>
              </w:rPr>
            </w:pPr>
            <w:r>
              <w:rPr>
                <w:rFonts w:ascii="Arial" w:cs="Arial" w:eastAsia="Arial" w:hAnsi="Arial"/>
                <w:sz w:val="8"/>
                <w:szCs w:val="8"/>
                <w:color w:val="auto"/>
                <w:w w:val="99"/>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109,214</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rPr>
              <w:t>(33,639,240)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93"/>
              </w:rPr>
              <w:t>(336,392)</w:t>
            </w:r>
          </w:p>
        </w:tc>
        <w:tc>
          <w:tcPr>
            <w:tcW w:w="0" w:type="dxa"/>
            <w:vAlign w:val="bottom"/>
          </w:tcPr>
          <w:p>
            <w:pPr>
              <w:spacing w:after="0"/>
              <w:rPr>
                <w:sz w:val="1"/>
                <w:szCs w:val="1"/>
                <w:color w:val="auto"/>
              </w:rPr>
            </w:pPr>
          </w:p>
        </w:tc>
      </w:tr>
      <w:tr>
        <w:trPr>
          <w:trHeight w:val="77"/>
        </w:trPr>
        <w:tc>
          <w:tcPr>
            <w:tcW w:w="640" w:type="dxa"/>
            <w:vAlign w:val="bottom"/>
          </w:tcPr>
          <w:p>
            <w:pPr>
              <w:spacing w:after="0" w:line="78" w:lineRule="exact"/>
              <w:rPr>
                <w:sz w:val="20"/>
                <w:szCs w:val="20"/>
                <w:color w:val="auto"/>
              </w:rPr>
            </w:pPr>
            <w:r>
              <w:rPr>
                <w:rFonts w:ascii="Arial" w:cs="Arial" w:eastAsia="Arial" w:hAnsi="Arial"/>
                <w:sz w:val="8"/>
                <w:szCs w:val="8"/>
                <w:b w:val="1"/>
                <w:bCs w:val="1"/>
                <w:color w:val="auto"/>
              </w:rPr>
              <w:t>Post-Business</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40" w:type="dxa"/>
            <w:vAlign w:val="bottom"/>
          </w:tcPr>
          <w:p>
            <w:pPr>
              <w:ind w:left="80"/>
              <w:spacing w:after="0"/>
              <w:rPr>
                <w:sz w:val="20"/>
                <w:szCs w:val="20"/>
                <w:color w:val="auto"/>
              </w:rPr>
            </w:pPr>
            <w:r>
              <w:rPr>
                <w:rFonts w:ascii="Arial" w:cs="Arial" w:eastAsia="Arial" w:hAnsi="Arial"/>
                <w:sz w:val="8"/>
                <w:szCs w:val="8"/>
                <w:b w:val="1"/>
                <w:bCs w:val="1"/>
                <w:color w:val="auto"/>
              </w:rPr>
              <w:t>Combination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b w:val="1"/>
                <w:bCs w:val="1"/>
                <w:color w:val="auto"/>
                <w:w w:val="94"/>
              </w:rPr>
              <w:t>684,735,504</w:t>
            </w:r>
          </w:p>
        </w:tc>
        <w:tc>
          <w:tcPr>
            <w:tcW w:w="8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b w:val="1"/>
                <w:bCs w:val="1"/>
                <w:color w:val="auto"/>
                <w:w w:val="81"/>
              </w:rPr>
              <w:t>$ —</w:t>
            </w:r>
          </w:p>
        </w:tc>
        <w:tc>
          <w:tcPr>
            <w:tcW w:w="60" w:type="dxa"/>
            <w:vAlign w:val="bottom"/>
          </w:tcPr>
          <w:p>
            <w:pPr>
              <w:spacing w:after="0"/>
              <w:rPr>
                <w:sz w:val="8"/>
                <w:szCs w:val="8"/>
                <w:color w:val="auto"/>
              </w:rPr>
            </w:pPr>
          </w:p>
        </w:tc>
        <w:tc>
          <w:tcPr>
            <w:tcW w:w="400" w:type="dxa"/>
            <w:vAlign w:val="bottom"/>
          </w:tcPr>
          <w:p>
            <w:pPr>
              <w:ind w:left="28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8"/>
                <w:szCs w:val="8"/>
                <w:b w:val="1"/>
                <w:bCs w:val="1"/>
                <w:color w:val="auto"/>
              </w:rPr>
              <w:t>$</w:t>
            </w:r>
          </w:p>
        </w:tc>
        <w:tc>
          <w:tcPr>
            <w:tcW w:w="18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8"/>
                <w:szCs w:val="8"/>
                <w:b w:val="1"/>
                <w:bCs w:val="1"/>
                <w:color w:val="auto"/>
              </w:rPr>
              <w:t>$</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b w:val="1"/>
                <w:bCs w:val="1"/>
                <w:u w:val="single" w:color="auto"/>
                <w:color w:val="auto"/>
                <w:w w:val="94"/>
              </w:rPr>
              <w:t>$</w:t>
            </w:r>
            <w:r>
              <w:rPr>
                <w:rFonts w:ascii="Arial" w:cs="Arial" w:eastAsia="Arial" w:hAnsi="Arial"/>
                <w:sz w:val="8"/>
                <w:szCs w:val="8"/>
                <w:b w:val="1"/>
                <w:bCs w:val="1"/>
                <w:color w:val="auto"/>
                <w:w w:val="94"/>
              </w:rPr>
              <w:t>4,323,426</w:t>
            </w:r>
          </w:p>
        </w:tc>
        <w:tc>
          <w:tcPr>
            <w:tcW w:w="80" w:type="dxa"/>
            <w:vAlign w:val="bottom"/>
          </w:tcPr>
          <w:p>
            <w:pPr>
              <w:spacing w:after="0"/>
              <w:rPr>
                <w:sz w:val="8"/>
                <w:szCs w:val="8"/>
                <w:color w:val="auto"/>
              </w:rPr>
            </w:pPr>
          </w:p>
        </w:tc>
        <w:tc>
          <w:tcPr>
            <w:tcW w:w="40" w:type="dxa"/>
            <w:vAlign w:val="bottom"/>
          </w:tcPr>
          <w:p>
            <w:pPr>
              <w:spacing w:after="0"/>
              <w:rPr>
                <w:sz w:val="20"/>
                <w:szCs w:val="20"/>
                <w:color w:val="auto"/>
              </w:rPr>
            </w:pPr>
            <w:r>
              <w:rPr>
                <w:rFonts w:ascii="Arial" w:cs="Arial" w:eastAsia="Arial" w:hAnsi="Arial"/>
                <w:sz w:val="5"/>
                <w:szCs w:val="5"/>
                <w:b w:val="1"/>
                <w:bCs w:val="1"/>
                <w:color w:val="auto"/>
                <w:w w:val="70"/>
              </w:rPr>
              <w:t>$</w:t>
            </w:r>
          </w:p>
        </w:tc>
        <w:tc>
          <w:tcPr>
            <w:tcW w:w="44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(100,000)</w:t>
            </w:r>
          </w:p>
        </w:tc>
        <w:tc>
          <w:tcPr>
            <w:tcW w:w="480" w:type="dxa"/>
            <w:vAlign w:val="bottom"/>
            <w:gridSpan w:val="2"/>
          </w:tcPr>
          <w:p>
            <w:pPr>
              <w:jc w:val="right"/>
              <w:ind w:right="40"/>
              <w:spacing w:after="0"/>
              <w:rPr>
                <w:sz w:val="20"/>
                <w:szCs w:val="20"/>
                <w:color w:val="auto"/>
              </w:rPr>
            </w:pPr>
            <w:r>
              <w:rPr>
                <w:rFonts w:ascii="Arial" w:cs="Arial" w:eastAsia="Arial" w:hAnsi="Arial"/>
                <w:sz w:val="8"/>
                <w:szCs w:val="8"/>
                <w:b w:val="1"/>
                <w:bCs w:val="1"/>
                <w:u w:val="single" w:color="auto"/>
                <w:color w:val="auto"/>
                <w:w w:val="92"/>
              </w:rPr>
              <w:t>$</w:t>
            </w:r>
            <w:r>
              <w:rPr>
                <w:rFonts w:ascii="Arial" w:cs="Arial" w:eastAsia="Arial" w:hAnsi="Arial"/>
                <w:sz w:val="8"/>
                <w:szCs w:val="8"/>
                <w:b w:val="1"/>
                <w:bCs w:val="1"/>
                <w:color w:val="auto"/>
                <w:w w:val="92"/>
              </w:rPr>
              <w:t>(2,384,883)</w:t>
            </w:r>
          </w:p>
        </w:tc>
        <w:tc>
          <w:tcPr>
            <w:tcW w:w="100" w:type="dxa"/>
            <w:vAlign w:val="bottom"/>
          </w:tcPr>
          <w:p>
            <w:pPr>
              <w:jc w:val="right"/>
              <w:ind w:right="29"/>
              <w:spacing w:after="0"/>
              <w:rPr>
                <w:sz w:val="20"/>
                <w:szCs w:val="20"/>
                <w:color w:val="auto"/>
              </w:rPr>
            </w:pPr>
            <w:r>
              <w:rPr>
                <w:rFonts w:ascii="Arial" w:cs="Arial" w:eastAsia="Arial" w:hAnsi="Arial"/>
                <w:sz w:val="5"/>
                <w:szCs w:val="5"/>
                <w:b w:val="1"/>
                <w:bCs w:val="1"/>
                <w:color w:val="auto"/>
                <w:w w:val="70"/>
              </w:rPr>
              <w:t>$</w:t>
            </w:r>
          </w:p>
        </w:tc>
        <w:tc>
          <w:tcPr>
            <w:tcW w:w="440" w:type="dxa"/>
            <w:vAlign w:val="bottom"/>
            <w:gridSpan w:val="2"/>
          </w:tcPr>
          <w:p>
            <w:pPr>
              <w:jc w:val="center"/>
              <w:ind w:left="59"/>
              <w:spacing w:after="0"/>
              <w:rPr>
                <w:sz w:val="20"/>
                <w:szCs w:val="20"/>
                <w:color w:val="auto"/>
              </w:rPr>
            </w:pPr>
            <w:r>
              <w:rPr>
                <w:rFonts w:ascii="Arial" w:cs="Arial" w:eastAsia="Arial" w:hAnsi="Arial"/>
                <w:sz w:val="8"/>
                <w:szCs w:val="8"/>
                <w:b w:val="1"/>
                <w:bCs w:val="1"/>
                <w:color w:val="auto"/>
              </w:rPr>
              <w:t>(1,207)</w:t>
            </w:r>
          </w:p>
        </w:tc>
        <w:tc>
          <w:tcPr>
            <w:tcW w:w="80" w:type="dxa"/>
            <w:vAlign w:val="bottom"/>
          </w:tcPr>
          <w:p>
            <w:pPr>
              <w:jc w:val="right"/>
              <w:ind w:right="11"/>
              <w:spacing w:after="0"/>
              <w:rPr>
                <w:sz w:val="20"/>
                <w:szCs w:val="20"/>
                <w:color w:val="auto"/>
              </w:rPr>
            </w:pPr>
            <w:r>
              <w:rPr>
                <w:rFonts w:ascii="Arial" w:cs="Arial" w:eastAsia="Arial" w:hAnsi="Arial"/>
                <w:sz w:val="5"/>
                <w:szCs w:val="5"/>
                <w:b w:val="1"/>
                <w:bCs w:val="1"/>
                <w:color w:val="auto"/>
                <w:w w:val="70"/>
              </w:rPr>
              <w:t>$</w:t>
            </w:r>
          </w:p>
        </w:tc>
        <w:tc>
          <w:tcPr>
            <w:tcW w:w="44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234,219</w:t>
            </w:r>
          </w:p>
        </w:tc>
        <w:tc>
          <w:tcPr>
            <w:tcW w:w="500" w:type="dxa"/>
            <w:vAlign w:val="bottom"/>
            <w:gridSpan w:val="2"/>
          </w:tcPr>
          <w:p>
            <w:pPr>
              <w:jc w:val="right"/>
              <w:ind w:right="80"/>
              <w:spacing w:after="0"/>
              <w:rPr>
                <w:sz w:val="20"/>
                <w:szCs w:val="20"/>
                <w:color w:val="auto"/>
              </w:rPr>
            </w:pPr>
            <w:r>
              <w:rPr>
                <w:rFonts w:ascii="Arial" w:cs="Arial" w:eastAsia="Arial" w:hAnsi="Arial"/>
                <w:sz w:val="8"/>
                <w:szCs w:val="8"/>
                <w:b w:val="1"/>
                <w:bCs w:val="1"/>
                <w:color w:val="auto"/>
                <w:w w:val="94"/>
              </w:rPr>
              <w:t>$ 2,071,555</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22,491</w:t>
            </w:r>
          </w:p>
        </w:tc>
        <w:tc>
          <w:tcPr>
            <w:tcW w:w="54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72"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59" w:hanging="288"/>
        <w:spacing w:after="0" w:line="278" w:lineRule="auto"/>
        <w:tabs>
          <w:tab w:leader="none" w:pos="22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Represents the total number of Common Shares held by Roivant’s pre-Business Combination Shareholders immediately after the Closing, which is equal to the number Common Shares outstanding as of September 30, 2021, prior to the consummation of the Business Combination, multiplied by the Roivant Exchange Ratio, subject to adjustment as set forth in the Business Combination Agreement.</w:t>
      </w:r>
    </w:p>
    <w:p>
      <w:pPr>
        <w:spacing w:after="0" w:line="1" w:lineRule="exact"/>
        <w:rPr>
          <w:rFonts w:ascii="Arial" w:cs="Arial" w:eastAsia="Arial" w:hAnsi="Arial"/>
          <w:sz w:val="11"/>
          <w:szCs w:val="11"/>
          <w:color w:val="auto"/>
        </w:rPr>
      </w:pP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conversion of all MAAC Class A Shares of capital stock into post-Closing Common Shares.</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conversion of all MAAC Class B Shares of capital stock into post-Closing Common Shares.</w:t>
      </w:r>
    </w:p>
    <w:p>
      <w:pPr>
        <w:spacing w:after="0" w:line="6" w:lineRule="exact"/>
        <w:rPr>
          <w:rFonts w:ascii="Arial" w:cs="Arial" w:eastAsia="Arial" w:hAnsi="Arial"/>
          <w:sz w:val="12"/>
          <w:szCs w:val="12"/>
          <w:color w:val="auto"/>
        </w:rPr>
      </w:pPr>
    </w:p>
    <w:p>
      <w:pPr>
        <w:ind w:left="2260" w:right="1519" w:hanging="288"/>
        <w:spacing w:after="0" w:line="250" w:lineRule="auto"/>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conversion of a portion of the MAAC Class B Shares into Earn-Out Shares (See Note 1 – Description of the Business Combination).</w:t>
      </w:r>
    </w:p>
    <w:p>
      <w:pPr>
        <w:ind w:left="2260" w:right="1079" w:hanging="288"/>
        <w:spacing w:after="0" w:line="250" w:lineRule="auto"/>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Represents the issuance of 22,000,000 Common Shares at a price of $10.00 per share in connection with the PIPE Financing (see Note 3(a)(2) </w:t>
      </w:r>
      <w:r>
        <w:rPr>
          <w:rFonts w:ascii="Arial" w:cs="Arial" w:eastAsia="Arial" w:hAnsi="Arial"/>
          <w:sz w:val="12"/>
          <w:szCs w:val="12"/>
          <w:i w:val="1"/>
          <w:iCs w:val="1"/>
          <w:color w:val="auto"/>
        </w:rPr>
        <w:t>Cash and cash equivalents</w:t>
      </w:r>
      <w:r>
        <w:rPr>
          <w:rFonts w:ascii="Arial" w:cs="Arial" w:eastAsia="Arial" w:hAnsi="Arial"/>
          <w:sz w:val="12"/>
          <w:szCs w:val="12"/>
          <w:color w:val="auto"/>
        </w:rPr>
        <w:t>).</w:t>
      </w: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Represents the redemption of MAAC Class A Shares (see Note 3(a)(3) </w:t>
      </w:r>
      <w:r>
        <w:rPr>
          <w:rFonts w:ascii="Arial" w:cs="Arial" w:eastAsia="Arial" w:hAnsi="Arial"/>
          <w:sz w:val="12"/>
          <w:szCs w:val="12"/>
          <w:i w:val="1"/>
          <w:iCs w:val="1"/>
          <w:color w:val="auto"/>
        </w:rPr>
        <w:t>Cash and cash equivalents</w:t>
      </w: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2260" w:right="859" w:hanging="288"/>
        <w:spacing w:after="0" w:line="250" w:lineRule="auto"/>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forfeiture of Retained Shares and Earn-Out Shares based on the MAAC Sponsor Exchange Ratio of 0.75 (See Note 1 – Description of the Business Combination).</w:t>
      </w: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Represents the recognition of the estimated fair value of the Earn-Out Shares as a liability (see Note 3(d) </w:t>
      </w:r>
      <w:r>
        <w:rPr>
          <w:rFonts w:ascii="Arial" w:cs="Arial" w:eastAsia="Arial" w:hAnsi="Arial"/>
          <w:sz w:val="12"/>
          <w:szCs w:val="12"/>
          <w:i w:val="1"/>
          <w:iCs w:val="1"/>
          <w:color w:val="auto"/>
        </w:rPr>
        <w:t>Earn-Out Shares</w:t>
      </w: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2260" w:right="1319" w:hanging="288"/>
        <w:spacing w:after="0" w:line="250" w:lineRule="auto"/>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Represents the estimated catch-up expense related to prior service for certain Roivant share-based compensation awards, which contain a performance condition tied to achievement of a liquidity event (see Note 3(f) </w:t>
      </w:r>
      <w:r>
        <w:rPr>
          <w:rFonts w:ascii="Arial" w:cs="Arial" w:eastAsia="Arial" w:hAnsi="Arial"/>
          <w:sz w:val="12"/>
          <w:szCs w:val="12"/>
          <w:i w:val="1"/>
          <w:iCs w:val="1"/>
          <w:color w:val="auto"/>
        </w:rPr>
        <w:t>Share-based compensation</w:t>
      </w:r>
      <w:r>
        <w:rPr>
          <w:rFonts w:ascii="Arial" w:cs="Arial" w:eastAsia="Arial" w:hAnsi="Arial"/>
          <w:sz w:val="12"/>
          <w:szCs w:val="12"/>
          <w:color w:val="auto"/>
        </w:rPr>
        <w:t>).</w:t>
      </w: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Represents payment of estimated other transaction costs (see Note 3(b)(2) </w:t>
      </w:r>
      <w:r>
        <w:rPr>
          <w:rFonts w:ascii="Arial" w:cs="Arial" w:eastAsia="Arial" w:hAnsi="Arial"/>
          <w:sz w:val="12"/>
          <w:szCs w:val="12"/>
          <w:i w:val="1"/>
          <w:iCs w:val="1"/>
          <w:color w:val="auto"/>
        </w:rPr>
        <w:t>Transaction costs</w:t>
      </w: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elimination of the historical accumulated deficit of MAAC.</w:t>
      </w:r>
    </w:p>
    <w:p>
      <w:pPr>
        <w:spacing w:after="0" w:line="213"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Adjustments to the Unaudited Pro Forma Condensed Combined Statements of Operations for the three months ended June 30, 2021 and the year ended March 31, 2021</w:t>
      </w:r>
    </w:p>
    <w:p>
      <w:pPr>
        <w:spacing w:after="0" w:line="43"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The unaudited pro forma condensed combined statement of operations for the three months ended June 30, 2021 is derived from the following historical financial information:</w:t>
      </w:r>
    </w:p>
    <w:p>
      <w:pPr>
        <w:spacing w:after="0" w:line="52" w:lineRule="exact"/>
        <w:rPr>
          <w:sz w:val="20"/>
          <w:szCs w:val="20"/>
          <w:color w:val="auto"/>
        </w:rPr>
      </w:pPr>
    </w:p>
    <w:p>
      <w:pPr>
        <w:ind w:left="2620" w:hanging="360"/>
        <w:spacing w:after="0"/>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unaudited consolidated statement of operations of Roivant for the three months ended June 30, 2021.</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unaudited condensed statement of operations of MAAC for the three months ended June 30, 2021.</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The unaudited pro forma condensed combined statement of operations for the year ended March 31, 2021 is derived from the following historical financial information:</w:t>
      </w:r>
    </w:p>
    <w:p>
      <w:pPr>
        <w:spacing w:after="0" w:line="52" w:lineRule="exact"/>
        <w:rPr>
          <w:sz w:val="20"/>
          <w:szCs w:val="20"/>
          <w:color w:val="auto"/>
        </w:rPr>
      </w:pPr>
    </w:p>
    <w:p>
      <w:pPr>
        <w:ind w:left="2620" w:hanging="360"/>
        <w:spacing w:after="0"/>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audited consolidated statement of operations of Roivant for the year ended March 31, 2021.</w:t>
      </w:r>
    </w:p>
    <w:p>
      <w:pPr>
        <w:spacing w:after="0" w:line="87" w:lineRule="exact"/>
        <w:rPr>
          <w:rFonts w:ascii="Arial" w:cs="Arial" w:eastAsia="Arial" w:hAnsi="Arial"/>
          <w:sz w:val="12"/>
          <w:szCs w:val="12"/>
          <w:color w:val="auto"/>
        </w:rPr>
      </w:pPr>
    </w:p>
    <w:p>
      <w:pPr>
        <w:ind w:left="2620" w:right="879" w:hanging="360"/>
        <w:spacing w:after="0" w:line="263" w:lineRule="auto"/>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sum of MAAC’s unaudited condensed statement of operations for the six months ended June 30, 2021 and MAAC’s audited statement of operations for the period from July 6, 2020 (inception) through December 31, 2020, less MAAC’s unaudited condensed statement of operations for the three months ended June 30, 2021.</w:t>
      </w:r>
    </w:p>
    <w:p>
      <w:pPr>
        <w:spacing w:after="0" w:line="122"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transaction accounting adjustments included in the unaudited pro forma condensed combined statements of operations for the three months ended June 30, 2021 and the year ended March 31, 2021 are as follows:</w:t>
      </w:r>
    </w:p>
    <w:p>
      <w:pPr>
        <w:spacing w:after="0" w:line="43" w:lineRule="exact"/>
        <w:rPr>
          <w:sz w:val="20"/>
          <w:szCs w:val="20"/>
          <w:color w:val="auto"/>
        </w:rPr>
      </w:pPr>
    </w:p>
    <w:p>
      <w:pPr>
        <w:ind w:left="2260" w:right="879"/>
        <w:spacing w:after="0" w:line="283" w:lineRule="auto"/>
        <w:rPr>
          <w:sz w:val="20"/>
          <w:szCs w:val="20"/>
          <w:color w:val="auto"/>
        </w:rPr>
      </w:pPr>
      <w:r>
        <w:rPr>
          <w:rFonts w:ascii="Arial" w:cs="Arial" w:eastAsia="Arial" w:hAnsi="Arial"/>
          <w:sz w:val="11"/>
          <w:szCs w:val="11"/>
          <w:color w:val="auto"/>
        </w:rPr>
        <w:t xml:space="preserve">3(f) </w:t>
      </w:r>
      <w:r>
        <w:rPr>
          <w:rFonts w:ascii="Arial" w:cs="Arial" w:eastAsia="Arial" w:hAnsi="Arial"/>
          <w:sz w:val="11"/>
          <w:szCs w:val="11"/>
          <w:i w:val="1"/>
          <w:iCs w:val="1"/>
          <w:color w:val="auto"/>
        </w:rPr>
        <w:t>Share-based compensation.</w:t>
      </w:r>
      <w:r>
        <w:rPr>
          <w:rFonts w:ascii="Arial" w:cs="Arial" w:eastAsia="Arial" w:hAnsi="Arial"/>
          <w:sz w:val="11"/>
          <w:szCs w:val="11"/>
          <w:color w:val="auto"/>
        </w:rPr>
        <w:t xml:space="preserve"> Certain Roivant restricted stock units, performance options, and capped value appreciation rights (“CVARs”) granted prior to the Business Combination are subject to (i) service-vesting conditions and (ii) a performance condition tied to the achievement of a liquidity event. Historically, Roivant did not record share-based compensation expense related to these awards as the liquidity event requirement had not been met and was deemed not probable of being met. Upon consummation of the Business Combination, the liquidity event requirement was met, resulting in the recognition of a one-time catch-up expense relating to cumulative service rendered between the grant date of the respective awards and completion of the Business Combination. As such, this adjustment reflects, using the accelerated</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72"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79"/>
        <w:spacing w:after="0" w:line="278" w:lineRule="auto"/>
        <w:rPr>
          <w:sz w:val="20"/>
          <w:szCs w:val="20"/>
          <w:color w:val="auto"/>
        </w:rPr>
      </w:pPr>
      <w:r>
        <w:rPr>
          <w:rFonts w:ascii="Arial" w:cs="Arial" w:eastAsia="Arial" w:hAnsi="Arial"/>
          <w:sz w:val="11"/>
          <w:szCs w:val="11"/>
          <w:color w:val="auto"/>
        </w:rPr>
        <w:t>attribution method, the estimated catch-up expense and estimated expense to be recognized in the period following the Business Combination related to these awards, assuming that the Business Combination had been consummated on April 1, 2020. Any remaining expense will be recognized over the awards’ applicable requisite service period. For the year ended March 31, 2021, pro forma share-based compensation expense reflects an estimated total of $502.1 million, consisting of an estimated $370.8 million of catch-up expense relating to prior service and an estimated $131.3 million of expense to be recognized in the twelve months following the Closing. Of this amount, $448.4 million is presented in general and administrative expenses and $53.7 million is presented in research and development expenses. For the three months ended June 30, 2021, pro forma share-based compensation expense reflects an estimated total of $18.3 million to be recognized in the following three months. Of this amount, $14.2 million is presented in general and administrative expenses and $4.1 million is presented in research and development expenses. The income tax effects, to be reflected at the statutory tax rate for pro forma financial presentation purposes, have been offset by a valuation allowance as Roivant expects to incur continuing losses.</w:t>
      </w:r>
    </w:p>
    <w:p>
      <w:pPr>
        <w:spacing w:after="0" w:line="47" w:lineRule="exact"/>
        <w:rPr>
          <w:sz w:val="20"/>
          <w:szCs w:val="20"/>
          <w:color w:val="auto"/>
        </w:rPr>
      </w:pPr>
    </w:p>
    <w:p>
      <w:pPr>
        <w:jc w:val="both"/>
        <w:ind w:left="2260" w:right="1239"/>
        <w:spacing w:after="0" w:line="263" w:lineRule="auto"/>
        <w:rPr>
          <w:sz w:val="20"/>
          <w:szCs w:val="20"/>
          <w:color w:val="auto"/>
        </w:rPr>
      </w:pPr>
      <w:r>
        <w:rPr>
          <w:rFonts w:ascii="Arial" w:cs="Arial" w:eastAsia="Arial" w:hAnsi="Arial"/>
          <w:sz w:val="12"/>
          <w:szCs w:val="12"/>
          <w:color w:val="auto"/>
        </w:rPr>
        <w:t xml:space="preserve">3(g) </w:t>
      </w:r>
      <w:r>
        <w:rPr>
          <w:rFonts w:ascii="Arial" w:cs="Arial" w:eastAsia="Arial" w:hAnsi="Arial"/>
          <w:sz w:val="12"/>
          <w:szCs w:val="12"/>
          <w:i w:val="1"/>
          <w:iCs w:val="1"/>
          <w:color w:val="auto"/>
        </w:rPr>
        <w:t>Interest income and unrealized gain.</w:t>
      </w:r>
      <w:r>
        <w:rPr>
          <w:rFonts w:ascii="Arial" w:cs="Arial" w:eastAsia="Arial" w:hAnsi="Arial"/>
          <w:sz w:val="12"/>
          <w:szCs w:val="12"/>
          <w:color w:val="auto"/>
        </w:rPr>
        <w:t xml:space="preserve"> Represents an adjustment to eliminate interest income and unrealized gains/losses on marketable securities held in the Trust Account as of the beginning of the period. The associated income tax expense was eliminated as a result of the elimination of the Trust Account income.</w:t>
      </w:r>
    </w:p>
    <w:p>
      <w:pPr>
        <w:spacing w:after="0" w:line="50" w:lineRule="exact"/>
        <w:rPr>
          <w:sz w:val="20"/>
          <w:szCs w:val="20"/>
          <w:color w:val="auto"/>
        </w:rPr>
      </w:pPr>
    </w:p>
    <w:p>
      <w:pPr>
        <w:ind w:left="2260" w:right="919"/>
        <w:spacing w:after="0" w:line="263" w:lineRule="auto"/>
        <w:rPr>
          <w:sz w:val="20"/>
          <w:szCs w:val="20"/>
          <w:color w:val="auto"/>
        </w:rPr>
      </w:pPr>
      <w:r>
        <w:rPr>
          <w:rFonts w:ascii="Arial" w:cs="Arial" w:eastAsia="Arial" w:hAnsi="Arial"/>
          <w:sz w:val="12"/>
          <w:szCs w:val="12"/>
          <w:color w:val="auto"/>
        </w:rPr>
        <w:t xml:space="preserve">3(h) </w:t>
      </w:r>
      <w:r>
        <w:rPr>
          <w:rFonts w:ascii="Arial" w:cs="Arial" w:eastAsia="Arial" w:hAnsi="Arial"/>
          <w:sz w:val="12"/>
          <w:szCs w:val="12"/>
          <w:i w:val="1"/>
          <w:iCs w:val="1"/>
          <w:color w:val="auto"/>
        </w:rPr>
        <w:t>Transaction costs allocated to Earn-Out Shares and warrants.</w:t>
      </w:r>
      <w:r>
        <w:rPr>
          <w:rFonts w:ascii="Arial" w:cs="Arial" w:eastAsia="Arial" w:hAnsi="Arial"/>
          <w:sz w:val="12"/>
          <w:szCs w:val="12"/>
          <w:color w:val="auto"/>
        </w:rPr>
        <w:t xml:space="preserve"> Represents expenses allocated to the Earnout Shares and warrants, which will be liability classified subsequent to the Business Combination. These costs are reflected in the unaudited pro forma condensed combined statements of operations for the year ended March 31, 2021 within other (income) expense.</w:t>
      </w:r>
    </w:p>
    <w:p>
      <w:pPr>
        <w:spacing w:after="0" w:line="50" w:lineRule="exact"/>
        <w:rPr>
          <w:sz w:val="20"/>
          <w:szCs w:val="20"/>
          <w:color w:val="auto"/>
        </w:rPr>
      </w:pPr>
    </w:p>
    <w:p>
      <w:pPr>
        <w:ind w:left="2260" w:right="899"/>
        <w:spacing w:after="0" w:line="289" w:lineRule="auto"/>
        <w:rPr>
          <w:sz w:val="20"/>
          <w:szCs w:val="20"/>
          <w:color w:val="auto"/>
        </w:rPr>
      </w:pPr>
      <w:r>
        <w:rPr>
          <w:rFonts w:ascii="Arial" w:cs="Arial" w:eastAsia="Arial" w:hAnsi="Arial"/>
          <w:sz w:val="11"/>
          <w:szCs w:val="11"/>
          <w:color w:val="auto"/>
        </w:rPr>
        <w:t xml:space="preserve">3(i) </w:t>
      </w:r>
      <w:r>
        <w:rPr>
          <w:rFonts w:ascii="Arial" w:cs="Arial" w:eastAsia="Arial" w:hAnsi="Arial"/>
          <w:sz w:val="11"/>
          <w:szCs w:val="11"/>
          <w:i w:val="1"/>
          <w:iCs w:val="1"/>
          <w:color w:val="auto"/>
        </w:rPr>
        <w:t>Net loss per share.</w:t>
      </w:r>
      <w:r>
        <w:rPr>
          <w:rFonts w:ascii="Arial" w:cs="Arial" w:eastAsia="Arial" w:hAnsi="Arial"/>
          <w:sz w:val="11"/>
          <w:szCs w:val="11"/>
          <w:color w:val="auto"/>
        </w:rPr>
        <w:t xml:space="preserve"> Represents pro forma net loss per share based on pro forma net loss and, for the year ended March 31, 2021, pro forma weighted-average shares outstanding of 687,292,597, and for the three months ended June 30, 2021, pro forma weighted average shares outstanding of 691,559,504 after giving effect to the pro forma adjustments for such periods. There is no difference between basic and diluted pro forma net loss per share as the inclusion of all potential Common Shares outstanding would have been anti-dilutive.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72"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1"/>
          <w:szCs w:val="11"/>
          <w:i w:val="1"/>
          <w:iCs w:val="1"/>
          <w:color w:val="auto"/>
        </w:rPr>
        <w:t>The following discussion and analysis of Roivant’s financial condition and results of operations should be read in conjunction with Roivant’s</w:t>
      </w:r>
    </w:p>
    <w:p>
      <w:pPr>
        <w:spacing w:after="0" w:line="26" w:lineRule="exact"/>
        <w:rPr>
          <w:sz w:val="20"/>
          <w:szCs w:val="20"/>
          <w:color w:val="auto"/>
        </w:rPr>
      </w:pPr>
    </w:p>
    <w:p>
      <w:pPr>
        <w:ind w:left="1980" w:right="879" w:hanging="8"/>
        <w:spacing w:after="0" w:line="315" w:lineRule="auto"/>
        <w:tabs>
          <w:tab w:leader="none" w:pos="2150" w:val="left"/>
        </w:tabs>
        <w:numPr>
          <w:ilvl w:val="0"/>
          <w:numId w:val="49"/>
        </w:numPr>
        <w:rPr>
          <w:rFonts w:ascii="Arial" w:cs="Arial" w:eastAsia="Arial" w:hAnsi="Arial"/>
          <w:sz w:val="10"/>
          <w:szCs w:val="10"/>
          <w:i w:val="1"/>
          <w:iCs w:val="1"/>
          <w:color w:val="auto"/>
        </w:rPr>
      </w:pPr>
      <w:r>
        <w:rPr>
          <w:rFonts w:ascii="Arial" w:cs="Arial" w:eastAsia="Arial" w:hAnsi="Arial"/>
          <w:sz w:val="10"/>
          <w:szCs w:val="10"/>
          <w:i w:val="1"/>
          <w:iCs w:val="1"/>
          <w:color w:val="auto"/>
        </w:rPr>
        <w:t>unaudited condensed consolidated financial statements and notes to those statements included elsewhere in this prospectus and (2) audited consolidated financial statements and notes to those statements included elsewhere in this prospectus.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“Cautionary Statement Regarding Forward-Looking Statements” and “Risk Factors.” Our fiscal year ends on March 31 and our fiscal quarters end on June 30, September 30 and December 31.</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1980" w:right="1039" w:firstLine="294"/>
        <w:spacing w:after="0" w:line="379" w:lineRule="auto"/>
        <w:rPr>
          <w:sz w:val="20"/>
          <w:szCs w:val="20"/>
          <w:color w:val="auto"/>
        </w:rPr>
      </w:pPr>
      <w:r>
        <w:rPr>
          <w:rFonts w:ascii="Arial" w:cs="Arial" w:eastAsia="Arial" w:hAnsi="Arial"/>
          <w:sz w:val="10"/>
          <w:szCs w:val="10"/>
          <w:color w:val="auto"/>
        </w:rPr>
        <w:t>We are building the next-generation “big pharma” company, organized to harness modern technologies and the entrepreneurial spirit of nimble biotechnology companies at scale. Our mission is to improve the delivery of healthcare to patients by treating every inefficiency as an opportunity.</w:t>
      </w:r>
    </w:p>
    <w:p>
      <w:pPr>
        <w:spacing w:after="0" w:line="69"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0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a unique combination of leading computational physics and machine learning (“ML”) capabilities for in silico drug design.</w:t>
      </w:r>
    </w:p>
    <w:p>
      <w:pPr>
        <w:spacing w:after="0" w:line="10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develop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our platform and technologies that are built to address inefficiencies in the drug discovery, development and commercialization process.</w:t>
      </w:r>
    </w:p>
    <w:p>
      <w:pPr>
        <w:spacing w:after="0" w:line="124"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Our agile Vant model has allowed us to rapidly add capabilities in diverse therapeutic areas, including immunology, dermatology, hematology and oncology, and modalities, including biologics, topicals, gene therapies and bifunctional small molecules. We currently have 14 Vants and, together, we are advancing a deep and diversified pipeline of over 30 drug candidates. We have launched and taken public multiple Vants, resulting in an aggregate ownership stake of approximately $940 million in the Public Vants (inclusive of the value of the Myovant Top-Up Shares) as of September 30, 2021.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Since our founding in 2014, we have:</w:t>
      </w:r>
    </w:p>
    <w:p>
      <w:pPr>
        <w:spacing w:after="0" w:line="87" w:lineRule="exact"/>
        <w:rPr>
          <w:sz w:val="20"/>
          <w:szCs w:val="20"/>
          <w:color w:val="auto"/>
        </w:rPr>
      </w:pPr>
    </w:p>
    <w:p>
      <w:pPr>
        <w:ind w:left="2920" w:hanging="219"/>
        <w:spacing w:after="0"/>
        <w:tabs>
          <w:tab w:leader="none" w:pos="2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conducted nine international Phase 3 trials, the last eight of which have been successful;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consummated a $3 billion upfront partnership with Sumitomo;</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developed four drugs that received FDA approval after their transfer to Sumitomo;</w:t>
      </w:r>
    </w:p>
    <w:p>
      <w:pPr>
        <w:spacing w:after="0" w:line="87" w:lineRule="exact"/>
        <w:rPr>
          <w:rFonts w:ascii="Arial" w:cs="Arial" w:eastAsia="Arial" w:hAnsi="Arial"/>
          <w:sz w:val="12"/>
          <w:szCs w:val="12"/>
          <w:color w:val="auto"/>
        </w:rPr>
      </w:pPr>
    </w:p>
    <w:p>
      <w:pPr>
        <w:ind w:left="5560" w:right="3059" w:hanging="2859"/>
        <w:spacing w:after="0" w:line="448" w:lineRule="auto"/>
        <w:tabs>
          <w:tab w:leader="none" w:pos="2923" w:val="left"/>
        </w:tabs>
        <w:numPr>
          <w:ilvl w:val="0"/>
          <w:numId w:val="50"/>
        </w:numPr>
        <w:rPr>
          <w:rFonts w:ascii="Arial" w:cs="Arial" w:eastAsia="Arial" w:hAnsi="Arial"/>
          <w:sz w:val="12"/>
          <w:szCs w:val="12"/>
          <w:color w:val="auto"/>
        </w:rPr>
      </w:pPr>
      <w:r>
        <w:rPr>
          <w:rFonts w:ascii="Arial" w:cs="Arial" w:eastAsia="Arial" w:hAnsi="Arial"/>
          <w:sz w:val="12"/>
          <w:szCs w:val="12"/>
          <w:color w:val="auto"/>
        </w:rPr>
        <w:t>built a pipeline of over 30 drug candidates ranging from early discovery to registration; 101</w:t>
      </w:r>
    </w:p>
    <w:p>
      <w:pPr>
        <w:sectPr>
          <w:pgSz w:w="11900" w:h="16838" w:orient="portrait"/>
          <w:cols w:equalWidth="0" w:num="1">
            <w:col w:w="10159"/>
          </w:cols>
          <w:pgMar w:left="300" w:top="372"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right="1259" w:hanging="219"/>
        <w:spacing w:after="0" w:line="276" w:lineRule="auto"/>
        <w:tabs>
          <w:tab w:leader="none" w:pos="29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launched Roivant Discovery, our small molecule discovery engine comprising advanced computational physics and machine learning capabilities, integrated with an in-house wet lab facility; and</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created innovative software tools to optimize each stage of the drug discovery, development and commercialization process.</w:t>
      </w:r>
    </w:p>
    <w:p>
      <w:pPr>
        <w:spacing w:after="0" w:line="162"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table summarizes our development-stage product candidate pipeline. In addition to the development-stage product candidates, we have active drug discovery projects in targets across oncology, immunology and neurology.</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5"/>
              </w:rPr>
              <w:t>Product Candidate</w:t>
            </w:r>
          </w:p>
        </w:tc>
        <w:tc>
          <w:tcPr>
            <w:tcW w:w="600" w:type="dxa"/>
            <w:vAlign w:val="bottom"/>
          </w:tcPr>
          <w:p>
            <w:pPr>
              <w:spacing w:after="0"/>
              <w:rPr>
                <w:sz w:val="11"/>
                <w:szCs w:val="11"/>
                <w:color w:val="auto"/>
              </w:rPr>
            </w:pPr>
          </w:p>
        </w:tc>
        <w:tc>
          <w:tcPr>
            <w:tcW w:w="2640" w:type="dxa"/>
            <w:vAlign w:val="bottom"/>
            <w:gridSpan w:val="2"/>
          </w:tcPr>
          <w:p>
            <w:pPr>
              <w:ind w:left="1040"/>
              <w:spacing w:after="0"/>
              <w:rPr>
                <w:sz w:val="20"/>
                <w:szCs w:val="20"/>
                <w:color w:val="auto"/>
              </w:rPr>
            </w:pPr>
            <w:r>
              <w:rPr>
                <w:rFonts w:ascii="Arial" w:cs="Arial" w:eastAsia="Arial" w:hAnsi="Arial"/>
                <w:sz w:val="10"/>
                <w:szCs w:val="10"/>
                <w:b w:val="1"/>
                <w:bCs w:val="1"/>
                <w:color w:val="auto"/>
              </w:rPr>
              <w:t>Indication</w:t>
            </w:r>
          </w:p>
        </w:tc>
        <w:tc>
          <w:tcPr>
            <w:tcW w:w="1500" w:type="dxa"/>
            <w:vAlign w:val="bottom"/>
            <w:gridSpan w:val="2"/>
          </w:tcPr>
          <w:p>
            <w:pPr>
              <w:ind w:left="380"/>
              <w:spacing w:after="0"/>
              <w:rPr>
                <w:sz w:val="20"/>
                <w:szCs w:val="20"/>
                <w:color w:val="auto"/>
              </w:rPr>
            </w:pPr>
            <w:r>
              <w:rPr>
                <w:rFonts w:ascii="Arial" w:cs="Arial" w:eastAsia="Arial" w:hAnsi="Arial"/>
                <w:sz w:val="10"/>
                <w:szCs w:val="10"/>
                <w:b w:val="1"/>
                <w:bCs w:val="1"/>
                <w:color w:val="auto"/>
              </w:rPr>
              <w:t>Vant</w:t>
            </w:r>
          </w:p>
        </w:tc>
        <w:tc>
          <w:tcPr>
            <w:tcW w:w="940" w:type="dxa"/>
            <w:vAlign w:val="bottom"/>
            <w:gridSpan w:val="2"/>
          </w:tcPr>
          <w:p>
            <w:pPr>
              <w:ind w:left="240"/>
              <w:spacing w:after="0"/>
              <w:rPr>
                <w:sz w:val="20"/>
                <w:szCs w:val="20"/>
                <w:color w:val="auto"/>
              </w:rPr>
            </w:pPr>
            <w:r>
              <w:rPr>
                <w:rFonts w:ascii="Arial" w:cs="Arial" w:eastAsia="Arial" w:hAnsi="Arial"/>
                <w:sz w:val="10"/>
                <w:szCs w:val="10"/>
                <w:b w:val="1"/>
                <w:bCs w:val="1"/>
                <w:color w:val="auto"/>
              </w:rPr>
              <w:t>Modality</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1"/>
              </w:rPr>
              <w:t>Phase</w:t>
            </w:r>
          </w:p>
        </w:tc>
      </w:tr>
      <w:tr>
        <w:trPr>
          <w:trHeight w:val="122"/>
        </w:trPr>
        <w:tc>
          <w:tcPr>
            <w:tcW w:w="780" w:type="dxa"/>
            <w:vAlign w:val="bottom"/>
          </w:tcPr>
          <w:p>
            <w:pPr>
              <w:spacing w:after="0" w:line="122" w:lineRule="exact"/>
              <w:rPr>
                <w:sz w:val="20"/>
                <w:szCs w:val="20"/>
                <w:color w:val="auto"/>
              </w:rPr>
            </w:pPr>
            <w:r>
              <w:rPr>
                <w:rFonts w:ascii="Arial" w:cs="Arial" w:eastAsia="Arial" w:hAnsi="Arial"/>
                <w:sz w:val="12"/>
                <w:szCs w:val="12"/>
                <w:color w:val="auto"/>
              </w:rPr>
              <w:t>Tapinarof</w:t>
            </w:r>
          </w:p>
        </w:tc>
        <w:tc>
          <w:tcPr>
            <w:tcW w:w="600" w:type="dxa"/>
            <w:vAlign w:val="bottom"/>
          </w:tcPr>
          <w:p>
            <w:pPr>
              <w:spacing w:after="0"/>
              <w:rPr>
                <w:sz w:val="10"/>
                <w:szCs w:val="10"/>
                <w:color w:val="auto"/>
              </w:rPr>
            </w:pPr>
          </w:p>
        </w:tc>
        <w:tc>
          <w:tcPr>
            <w:tcW w:w="25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Psoriasis</w:t>
            </w:r>
          </w:p>
        </w:tc>
        <w:tc>
          <w:tcPr>
            <w:tcW w:w="140" w:type="dxa"/>
            <w:vAlign w:val="bottom"/>
          </w:tcPr>
          <w:p>
            <w:pPr>
              <w:spacing w:after="0"/>
              <w:rPr>
                <w:sz w:val="10"/>
                <w:szCs w:val="10"/>
                <w:color w:val="auto"/>
              </w:rPr>
            </w:pPr>
          </w:p>
        </w:tc>
        <w:tc>
          <w:tcPr>
            <w:tcW w:w="94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Dermavant</w:t>
            </w:r>
          </w:p>
        </w:tc>
        <w:tc>
          <w:tcPr>
            <w:tcW w:w="560" w:type="dxa"/>
            <w:vAlign w:val="bottom"/>
          </w:tcPr>
          <w:p>
            <w:pPr>
              <w:spacing w:after="0"/>
              <w:rPr>
                <w:sz w:val="10"/>
                <w:szCs w:val="10"/>
                <w:color w:val="auto"/>
              </w:rPr>
            </w:pPr>
          </w:p>
        </w:tc>
        <w:tc>
          <w:tcPr>
            <w:tcW w:w="88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Topical</w:t>
            </w:r>
          </w:p>
        </w:tc>
        <w:tc>
          <w:tcPr>
            <w:tcW w:w="60" w:type="dxa"/>
            <w:vAlign w:val="bottom"/>
          </w:tcPr>
          <w:p>
            <w:pPr>
              <w:spacing w:after="0"/>
              <w:rPr>
                <w:sz w:val="10"/>
                <w:szCs w:val="10"/>
                <w:color w:val="auto"/>
              </w:rPr>
            </w:pPr>
          </w:p>
        </w:tc>
        <w:tc>
          <w:tcPr>
            <w:tcW w:w="8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2"/>
                <w:szCs w:val="12"/>
                <w:color w:val="auto"/>
                <w:w w:val="93"/>
              </w:rPr>
              <w:t>Registration</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Tapinarof</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150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9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3</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Cerdulatinib</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Vitiligo</w:t>
            </w:r>
          </w:p>
        </w:tc>
        <w:tc>
          <w:tcPr>
            <w:tcW w:w="150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9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Myasthenia Gravis</w:t>
            </w:r>
          </w:p>
        </w:tc>
        <w:tc>
          <w:tcPr>
            <w:tcW w:w="150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Warm Autoimmune Hemolytic Anemia</w:t>
            </w:r>
          </w:p>
        </w:tc>
        <w:tc>
          <w:tcPr>
            <w:tcW w:w="150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Thyroid Eye Disease</w:t>
            </w:r>
          </w:p>
        </w:tc>
        <w:tc>
          <w:tcPr>
            <w:tcW w:w="150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ARU-1801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Sickle Cell Disease</w:t>
            </w:r>
          </w:p>
        </w:tc>
        <w:tc>
          <w:tcPr>
            <w:tcW w:w="150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94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Namilumab</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Sarcoidosis</w:t>
            </w:r>
          </w:p>
        </w:tc>
        <w:tc>
          <w:tcPr>
            <w:tcW w:w="150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LSVT-1701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Staph Aureus Bacteremia</w:t>
            </w:r>
          </w:p>
        </w:tc>
        <w:tc>
          <w:tcPr>
            <w:tcW w:w="150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Cerdulatinib</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150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9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DMVT-504</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Hyperhidrosis</w:t>
            </w:r>
          </w:p>
        </w:tc>
        <w:tc>
          <w:tcPr>
            <w:tcW w:w="150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940" w:type="dxa"/>
            <w:vAlign w:val="bottom"/>
            <w:gridSpan w:val="2"/>
          </w:tcPr>
          <w:p>
            <w:pPr>
              <w:spacing w:after="0"/>
              <w:rPr>
                <w:sz w:val="20"/>
                <w:szCs w:val="20"/>
                <w:color w:val="auto"/>
              </w:rPr>
            </w:pPr>
            <w:r>
              <w:rPr>
                <w:rFonts w:ascii="Arial" w:cs="Arial" w:eastAsia="Arial" w:hAnsi="Arial"/>
                <w:sz w:val="12"/>
                <w:szCs w:val="12"/>
                <w:color w:val="auto"/>
              </w:rPr>
              <w:t>Small Molecule</w:t>
            </w:r>
          </w:p>
        </w:tc>
        <w:tc>
          <w:tcPr>
            <w:tcW w:w="88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DMVT-503</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Acne</w:t>
            </w:r>
          </w:p>
        </w:tc>
        <w:tc>
          <w:tcPr>
            <w:tcW w:w="150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9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8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ARU-2801</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Hypophosphatasia</w:t>
            </w:r>
          </w:p>
        </w:tc>
        <w:tc>
          <w:tcPr>
            <w:tcW w:w="150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94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88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AFM32</w:t>
            </w:r>
          </w:p>
        </w:tc>
        <w:tc>
          <w:tcPr>
            <w:tcW w:w="6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Solid Tumors</w:t>
            </w:r>
          </w:p>
        </w:tc>
        <w:tc>
          <w:tcPr>
            <w:tcW w:w="1500" w:type="dxa"/>
            <w:vAlign w:val="bottom"/>
            <w:gridSpan w:val="2"/>
          </w:tcPr>
          <w:p>
            <w:pPr>
              <w:spacing w:after="0"/>
              <w:rPr>
                <w:sz w:val="20"/>
                <w:szCs w:val="20"/>
                <w:color w:val="auto"/>
              </w:rPr>
            </w:pPr>
            <w:r>
              <w:rPr>
                <w:rFonts w:ascii="Arial" w:cs="Arial" w:eastAsia="Arial" w:hAnsi="Arial"/>
                <w:sz w:val="12"/>
                <w:szCs w:val="12"/>
                <w:color w:val="auto"/>
              </w:rPr>
              <w:t>Affivant</w:t>
            </w:r>
          </w:p>
        </w:tc>
        <w:tc>
          <w:tcPr>
            <w:tcW w:w="9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8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CVT-TCR-01</w:t>
            </w:r>
          </w:p>
        </w:tc>
        <w:tc>
          <w:tcPr>
            <w:tcW w:w="60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Oncologic Malignancies</w:t>
            </w:r>
          </w:p>
        </w:tc>
        <w:tc>
          <w:tcPr>
            <w:tcW w:w="1500" w:type="dxa"/>
            <w:vAlign w:val="bottom"/>
            <w:gridSpan w:val="2"/>
          </w:tcPr>
          <w:p>
            <w:pPr>
              <w:spacing w:after="0"/>
              <w:rPr>
                <w:sz w:val="20"/>
                <w:szCs w:val="20"/>
                <w:color w:val="auto"/>
              </w:rPr>
            </w:pPr>
            <w:r>
              <w:rPr>
                <w:rFonts w:ascii="Arial" w:cs="Arial" w:eastAsia="Arial" w:hAnsi="Arial"/>
                <w:sz w:val="12"/>
                <w:szCs w:val="12"/>
                <w:color w:val="auto"/>
              </w:rPr>
              <w:t>Cytovant</w:t>
            </w:r>
          </w:p>
        </w:tc>
        <w:tc>
          <w:tcPr>
            <w:tcW w:w="940" w:type="dxa"/>
            <w:vAlign w:val="bottom"/>
            <w:gridSpan w:val="2"/>
          </w:tcPr>
          <w:p>
            <w:pPr>
              <w:spacing w:after="0"/>
              <w:rPr>
                <w:sz w:val="20"/>
                <w:szCs w:val="20"/>
                <w:color w:val="auto"/>
              </w:rPr>
            </w:pPr>
            <w:r>
              <w:rPr>
                <w:rFonts w:ascii="Arial" w:cs="Arial" w:eastAsia="Arial" w:hAnsi="Arial"/>
                <w:sz w:val="12"/>
                <w:szCs w:val="12"/>
                <w:color w:val="auto"/>
              </w:rPr>
              <w:t>Cell Therapy</w:t>
            </w:r>
          </w:p>
        </w:tc>
        <w:tc>
          <w:tcPr>
            <w:tcW w:w="88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Note: All drugs in current pipeline are investigational and subject to health authority approval.</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 xml:space="preserve">Our small molecule discovery engine powers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drug discovery, and includes the following key components:</w:t>
      </w:r>
    </w:p>
    <w:p>
      <w:pPr>
        <w:spacing w:after="0" w:line="168" w:lineRule="exact"/>
        <w:rPr>
          <w:sz w:val="20"/>
          <w:szCs w:val="20"/>
          <w:color w:val="auto"/>
        </w:rPr>
      </w:pPr>
    </w:p>
    <w:p>
      <w:pPr>
        <w:ind w:left="2620" w:right="1019" w:hanging="288"/>
        <w:spacing w:after="0" w:line="276"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quantum mechanics-based molecular dynamics software platform to predict the interactions, energies and conformational behavior of targets and generate novel drug candidates;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supercomputing cluster composed of over 600 graphics processing units;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suite of degrader-specific ML tools;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wet lab fully equipped for synthetic chemistry, crystallography, biophysics, biochemistry and biology.</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72"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following table summarizes our ownership of certain subsidiary companies and certain affiliates as of June 30, 2021.</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7"/>
        </w:trPr>
        <w:tc>
          <w:tcPr>
            <w:tcW w:w="200" w:type="dxa"/>
            <w:vAlign w:val="bottom"/>
            <w:vMerge w:val="restart"/>
          </w:tcPr>
          <w:p>
            <w:pPr>
              <w:spacing w:after="0"/>
              <w:rPr>
                <w:sz w:val="20"/>
                <w:szCs w:val="20"/>
                <w:color w:val="auto"/>
              </w:rPr>
            </w:pPr>
            <w:r>
              <w:rPr>
                <w:rFonts w:ascii="Arial" w:cs="Arial" w:eastAsia="Arial" w:hAnsi="Arial"/>
                <w:sz w:val="10"/>
                <w:szCs w:val="10"/>
                <w:b w:val="1"/>
                <w:bCs w:val="1"/>
                <w:color w:val="auto"/>
                <w:w w:val="82"/>
              </w:rPr>
              <w:t>Vant</w:t>
            </w:r>
          </w:p>
        </w:tc>
        <w:tc>
          <w:tcPr>
            <w:tcW w:w="396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Roivant Ownership</w:t>
            </w:r>
          </w:p>
        </w:tc>
        <w:tc>
          <w:tcPr>
            <w:tcW w:w="0" w:type="dxa"/>
            <w:vAlign w:val="bottom"/>
          </w:tcPr>
          <w:p>
            <w:pPr>
              <w:spacing w:after="0"/>
              <w:rPr>
                <w:sz w:val="1"/>
                <w:szCs w:val="1"/>
                <w:color w:val="auto"/>
              </w:rPr>
            </w:pPr>
          </w:p>
        </w:tc>
      </w:tr>
      <w:tr>
        <w:trPr>
          <w:trHeight w:val="115"/>
        </w:trPr>
        <w:tc>
          <w:tcPr>
            <w:tcW w:w="200" w:type="dxa"/>
            <w:vAlign w:val="bottom"/>
            <w:tcBorders>
              <w:bottom w:val="single" w:sz="8" w:color="auto"/>
            </w:tcBorders>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300" w:type="dxa"/>
            <w:vAlign w:val="bottom"/>
          </w:tcPr>
          <w:p>
            <w:pPr>
              <w:ind w:left="20"/>
              <w:spacing w:after="0" w:line="76" w:lineRule="exact"/>
              <w:rPr>
                <w:sz w:val="20"/>
                <w:szCs w:val="20"/>
                <w:color w:val="auto"/>
              </w:rPr>
            </w:pPr>
            <w:r>
              <w:rPr>
                <w:rFonts w:ascii="Arial" w:cs="Arial" w:eastAsia="Arial" w:hAnsi="Arial"/>
                <w:sz w:val="8"/>
                <w:szCs w:val="8"/>
                <w:b w:val="1"/>
                <w:bCs w:val="1"/>
                <w:color w:val="auto"/>
              </w:rPr>
              <w:t>Basic</w:t>
            </w:r>
            <w:r>
              <w:rPr>
                <w:rFonts w:ascii="Arial" w:cs="Arial" w:eastAsia="Arial" w:hAnsi="Arial"/>
                <w:sz w:val="5"/>
                <w:szCs w:val="5"/>
                <w:b w:val="1"/>
                <w:bCs w:val="1"/>
                <w:color w:val="auto"/>
              </w:rPr>
              <w:t>1</w:t>
            </w:r>
          </w:p>
        </w:tc>
        <w:tc>
          <w:tcPr>
            <w:tcW w:w="540" w:type="dxa"/>
            <w:vAlign w:val="bottom"/>
          </w:tcPr>
          <w:p>
            <w:pPr>
              <w:spacing w:after="0"/>
              <w:rPr>
                <w:sz w:val="10"/>
                <w:szCs w:val="10"/>
                <w:color w:val="auto"/>
              </w:rPr>
            </w:pPr>
          </w:p>
        </w:tc>
        <w:tc>
          <w:tcPr>
            <w:tcW w:w="580" w:type="dxa"/>
            <w:vAlign w:val="bottom"/>
          </w:tcPr>
          <w:p>
            <w:pPr>
              <w:spacing w:after="0" w:line="76" w:lineRule="exact"/>
              <w:rPr>
                <w:sz w:val="20"/>
                <w:szCs w:val="20"/>
                <w:color w:val="auto"/>
              </w:rPr>
            </w:pPr>
            <w:r>
              <w:rPr>
                <w:rFonts w:ascii="Arial" w:cs="Arial" w:eastAsia="Arial" w:hAnsi="Arial"/>
                <w:sz w:val="8"/>
                <w:szCs w:val="8"/>
                <w:b w:val="1"/>
                <w:bCs w:val="1"/>
                <w:color w:val="auto"/>
              </w:rPr>
              <w:t>Fully Diluted</w:t>
            </w:r>
            <w:r>
              <w:rPr>
                <w:rFonts w:ascii="Arial" w:cs="Arial" w:eastAsia="Arial" w:hAnsi="Arial"/>
                <w:sz w:val="5"/>
                <w:szCs w:val="5"/>
                <w:b w:val="1"/>
                <w:bCs w:val="1"/>
                <w:color w:val="auto"/>
              </w:rPr>
              <w:t>2</w:t>
            </w:r>
          </w:p>
        </w:tc>
        <w:tc>
          <w:tcPr>
            <w:tcW w:w="0" w:type="dxa"/>
            <w:vAlign w:val="bottom"/>
          </w:tcPr>
          <w:p>
            <w:pPr>
              <w:spacing w:after="0"/>
              <w:rPr>
                <w:sz w:val="1"/>
                <w:szCs w:val="1"/>
                <w:color w:val="auto"/>
              </w:rPr>
            </w:pPr>
          </w:p>
        </w:tc>
      </w:tr>
      <w:tr>
        <w:trPr>
          <w:trHeight w:val="131"/>
        </w:trPr>
        <w:tc>
          <w:tcPr>
            <w:tcW w:w="416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2"/>
                <w:szCs w:val="12"/>
                <w:color w:val="auto"/>
              </w:rPr>
              <w:t>Dermavant</w:t>
            </w:r>
          </w:p>
        </w:tc>
        <w:tc>
          <w:tcPr>
            <w:tcW w:w="3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2"/>
                <w:szCs w:val="12"/>
                <w:color w:val="auto"/>
                <w:w w:val="91"/>
              </w:rPr>
              <w:t>100%</w:t>
            </w:r>
          </w:p>
        </w:tc>
        <w:tc>
          <w:tcPr>
            <w:tcW w:w="5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2"/>
                <w:szCs w:val="12"/>
                <w:color w:val="auto"/>
                <w:w w:val="91"/>
              </w:rPr>
              <w:t>84%</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line="144" w:lineRule="exact"/>
              <w:rPr>
                <w:sz w:val="20"/>
                <w:szCs w:val="20"/>
                <w:color w:val="auto"/>
              </w:rPr>
            </w:pPr>
            <w:r>
              <w:rPr>
                <w:rFonts w:ascii="Arial" w:cs="Arial" w:eastAsia="Arial" w:hAnsi="Arial"/>
                <w:sz w:val="12"/>
                <w:szCs w:val="12"/>
                <w:color w:val="auto"/>
              </w:rPr>
              <w:t>Immunovant</w:t>
            </w:r>
            <w:r>
              <w:rPr>
                <w:rFonts w:ascii="Arial" w:cs="Arial" w:eastAsia="Arial" w:hAnsi="Arial"/>
                <w:sz w:val="16"/>
                <w:szCs w:val="16"/>
                <w:color w:val="auto"/>
                <w:vertAlign w:val="superscript"/>
              </w:rPr>
              <w:t>3</w:t>
            </w:r>
          </w:p>
        </w:tc>
        <w:tc>
          <w:tcPr>
            <w:tcW w:w="300" w:type="dxa"/>
            <w:vAlign w:val="bottom"/>
          </w:tcPr>
          <w:p>
            <w:pPr>
              <w:jc w:val="center"/>
              <w:spacing w:after="0" w:line="144" w:lineRule="exact"/>
              <w:rPr>
                <w:sz w:val="20"/>
                <w:szCs w:val="20"/>
                <w:color w:val="auto"/>
              </w:rPr>
            </w:pPr>
            <w:r>
              <w:rPr>
                <w:rFonts w:ascii="Arial" w:cs="Arial" w:eastAsia="Arial" w:hAnsi="Arial"/>
                <w:sz w:val="12"/>
                <w:szCs w:val="12"/>
                <w:color w:val="auto"/>
                <w:w w:val="86"/>
              </w:rPr>
              <w:t>58%</w:t>
            </w:r>
            <w:r>
              <w:rPr>
                <w:rFonts w:ascii="Arial" w:cs="Arial" w:eastAsia="Arial" w:hAnsi="Arial"/>
                <w:sz w:val="16"/>
                <w:szCs w:val="16"/>
                <w:color w:val="auto"/>
                <w:w w:val="86"/>
                <w:vertAlign w:val="superscript"/>
              </w:rPr>
              <w:t>4</w:t>
            </w:r>
          </w:p>
        </w:tc>
        <w:tc>
          <w:tcPr>
            <w:tcW w:w="1120" w:type="dxa"/>
            <w:vAlign w:val="bottom"/>
            <w:gridSpan w:val="2"/>
          </w:tcPr>
          <w:p>
            <w:pPr>
              <w:jc w:val="center"/>
              <w:ind w:left="481"/>
              <w:spacing w:after="0" w:line="144" w:lineRule="exact"/>
              <w:rPr>
                <w:sz w:val="20"/>
                <w:szCs w:val="20"/>
                <w:color w:val="auto"/>
              </w:rPr>
            </w:pPr>
            <w:r>
              <w:rPr>
                <w:rFonts w:ascii="Arial" w:cs="Arial" w:eastAsia="Arial" w:hAnsi="Arial"/>
                <w:sz w:val="12"/>
                <w:szCs w:val="12"/>
                <w:color w:val="auto"/>
                <w:w w:val="86"/>
              </w:rPr>
              <w:t>53%</w:t>
            </w:r>
            <w:r>
              <w:rPr>
                <w:rFonts w:ascii="Arial" w:cs="Arial" w:eastAsia="Arial" w:hAnsi="Arial"/>
                <w:sz w:val="16"/>
                <w:szCs w:val="16"/>
                <w:color w:val="auto"/>
                <w:w w:val="86"/>
                <w:vertAlign w:val="superscript"/>
              </w:rPr>
              <w:t>4</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Aruvant</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88%</w:t>
            </w:r>
          </w:p>
        </w:tc>
        <w:tc>
          <w:tcPr>
            <w:tcW w:w="1120" w:type="dxa"/>
            <w:vAlign w:val="bottom"/>
            <w:gridSpan w:val="2"/>
            <w:shd w:val="clear" w:color="auto" w:fill="CCEEFF"/>
          </w:tcPr>
          <w:p>
            <w:pPr>
              <w:jc w:val="center"/>
              <w:ind w:left="481"/>
              <w:spacing w:after="0"/>
              <w:rPr>
                <w:sz w:val="20"/>
                <w:szCs w:val="20"/>
                <w:color w:val="auto"/>
              </w:rPr>
            </w:pPr>
            <w:r>
              <w:rPr>
                <w:rFonts w:ascii="Arial" w:cs="Arial" w:eastAsia="Arial" w:hAnsi="Arial"/>
                <w:sz w:val="12"/>
                <w:szCs w:val="12"/>
                <w:color w:val="auto"/>
                <w:w w:val="91"/>
              </w:rPr>
              <w:t>79%</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300" w:type="dxa"/>
            <w:vAlign w:val="bottom"/>
          </w:tcPr>
          <w:p>
            <w:pPr>
              <w:jc w:val="center"/>
              <w:spacing w:after="0"/>
              <w:rPr>
                <w:sz w:val="20"/>
                <w:szCs w:val="20"/>
                <w:color w:val="auto"/>
              </w:rPr>
            </w:pPr>
            <w:r>
              <w:rPr>
                <w:rFonts w:ascii="Arial" w:cs="Arial" w:eastAsia="Arial" w:hAnsi="Arial"/>
                <w:sz w:val="12"/>
                <w:szCs w:val="12"/>
                <w:color w:val="auto"/>
                <w:w w:val="91"/>
              </w:rPr>
              <w:t>60%</w:t>
            </w:r>
          </w:p>
        </w:tc>
        <w:tc>
          <w:tcPr>
            <w:tcW w:w="1120" w:type="dxa"/>
            <w:vAlign w:val="bottom"/>
            <w:gridSpan w:val="2"/>
          </w:tcPr>
          <w:p>
            <w:pPr>
              <w:jc w:val="center"/>
              <w:ind w:left="481"/>
              <w:spacing w:after="0"/>
              <w:rPr>
                <w:sz w:val="20"/>
                <w:szCs w:val="20"/>
                <w:color w:val="auto"/>
              </w:rPr>
            </w:pPr>
            <w:r>
              <w:rPr>
                <w:rFonts w:ascii="Arial" w:cs="Arial" w:eastAsia="Arial" w:hAnsi="Arial"/>
                <w:sz w:val="12"/>
                <w:szCs w:val="12"/>
                <w:color w:val="auto"/>
                <w:w w:val="91"/>
              </w:rPr>
              <w:t>60%</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Lysovant</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120" w:type="dxa"/>
            <w:vAlign w:val="bottom"/>
            <w:gridSpan w:val="2"/>
            <w:shd w:val="clear" w:color="auto" w:fill="CCEEFF"/>
          </w:tcPr>
          <w:p>
            <w:pPr>
              <w:jc w:val="center"/>
              <w:ind w:left="481"/>
              <w:spacing w:after="0"/>
              <w:rPr>
                <w:sz w:val="20"/>
                <w:szCs w:val="20"/>
                <w:color w:val="auto"/>
              </w:rPr>
            </w:pPr>
            <w:r>
              <w:rPr>
                <w:rFonts w:ascii="Arial" w:cs="Arial" w:eastAsia="Arial" w:hAnsi="Arial"/>
                <w:sz w:val="12"/>
                <w:szCs w:val="12"/>
                <w:color w:val="auto"/>
                <w:w w:val="91"/>
              </w:rPr>
              <w:t>99%</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300" w:type="dxa"/>
            <w:vAlign w:val="bottom"/>
          </w:tcPr>
          <w:p>
            <w:pPr>
              <w:jc w:val="center"/>
              <w:spacing w:after="0"/>
              <w:rPr>
                <w:sz w:val="20"/>
                <w:szCs w:val="20"/>
                <w:color w:val="auto"/>
              </w:rPr>
            </w:pPr>
            <w:r>
              <w:rPr>
                <w:rFonts w:ascii="Arial" w:cs="Arial" w:eastAsia="Arial" w:hAnsi="Arial"/>
                <w:sz w:val="12"/>
                <w:szCs w:val="12"/>
                <w:color w:val="auto"/>
                <w:w w:val="91"/>
              </w:rPr>
              <w:t>88%</w:t>
            </w:r>
          </w:p>
        </w:tc>
        <w:tc>
          <w:tcPr>
            <w:tcW w:w="1120" w:type="dxa"/>
            <w:vAlign w:val="bottom"/>
            <w:gridSpan w:val="2"/>
          </w:tcPr>
          <w:p>
            <w:pPr>
              <w:jc w:val="center"/>
              <w:ind w:left="481"/>
              <w:spacing w:after="0"/>
              <w:rPr>
                <w:sz w:val="20"/>
                <w:szCs w:val="20"/>
                <w:color w:val="auto"/>
              </w:rPr>
            </w:pPr>
            <w:r>
              <w:rPr>
                <w:rFonts w:ascii="Arial" w:cs="Arial" w:eastAsia="Arial" w:hAnsi="Arial"/>
                <w:sz w:val="12"/>
                <w:szCs w:val="12"/>
                <w:color w:val="auto"/>
                <w:w w:val="91"/>
              </w:rPr>
              <w:t>88%</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Affivant</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120" w:type="dxa"/>
            <w:vAlign w:val="bottom"/>
            <w:gridSpan w:val="2"/>
            <w:shd w:val="clear" w:color="auto" w:fill="CCEEFF"/>
          </w:tcPr>
          <w:p>
            <w:pPr>
              <w:jc w:val="center"/>
              <w:ind w:left="461"/>
              <w:spacing w:after="0"/>
              <w:rPr>
                <w:sz w:val="20"/>
                <w:szCs w:val="20"/>
                <w:color w:val="auto"/>
              </w:rPr>
            </w:pPr>
            <w:r>
              <w:rPr>
                <w:rFonts w:ascii="Arial" w:cs="Arial" w:eastAsia="Arial" w:hAnsi="Arial"/>
                <w:sz w:val="12"/>
                <w:szCs w:val="12"/>
                <w:color w:val="auto"/>
                <w:w w:val="91"/>
              </w:rPr>
              <w:t>100%</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Cytovant</w:t>
            </w:r>
          </w:p>
        </w:tc>
        <w:tc>
          <w:tcPr>
            <w:tcW w:w="300" w:type="dxa"/>
            <w:vAlign w:val="bottom"/>
          </w:tcPr>
          <w:p>
            <w:pPr>
              <w:jc w:val="center"/>
              <w:spacing w:after="0"/>
              <w:rPr>
                <w:sz w:val="20"/>
                <w:szCs w:val="20"/>
                <w:color w:val="auto"/>
              </w:rPr>
            </w:pPr>
            <w:r>
              <w:rPr>
                <w:rFonts w:ascii="Arial" w:cs="Arial" w:eastAsia="Arial" w:hAnsi="Arial"/>
                <w:sz w:val="12"/>
                <w:szCs w:val="12"/>
                <w:color w:val="auto"/>
                <w:w w:val="91"/>
              </w:rPr>
              <w:t>72%</w:t>
            </w:r>
          </w:p>
        </w:tc>
        <w:tc>
          <w:tcPr>
            <w:tcW w:w="1120" w:type="dxa"/>
            <w:vAlign w:val="bottom"/>
            <w:gridSpan w:val="2"/>
          </w:tcPr>
          <w:p>
            <w:pPr>
              <w:jc w:val="center"/>
              <w:ind w:left="481"/>
              <w:spacing w:after="0"/>
              <w:rPr>
                <w:sz w:val="20"/>
                <w:szCs w:val="20"/>
                <w:color w:val="auto"/>
              </w:rPr>
            </w:pPr>
            <w:r>
              <w:rPr>
                <w:rFonts w:ascii="Arial" w:cs="Arial" w:eastAsia="Arial" w:hAnsi="Arial"/>
                <w:sz w:val="12"/>
                <w:szCs w:val="12"/>
                <w:color w:val="auto"/>
                <w:w w:val="91"/>
              </w:rPr>
              <w:t>68%</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Arbutus</w:t>
            </w:r>
          </w:p>
        </w:tc>
        <w:tc>
          <w:tcPr>
            <w:tcW w:w="300" w:type="dxa"/>
            <w:vAlign w:val="bottom"/>
            <w:shd w:val="clear" w:color="auto" w:fill="CCEEFF"/>
          </w:tcPr>
          <w:p>
            <w:pPr>
              <w:jc w:val="center"/>
              <w:spacing w:after="0" w:line="144" w:lineRule="exact"/>
              <w:rPr>
                <w:sz w:val="20"/>
                <w:szCs w:val="20"/>
                <w:color w:val="auto"/>
              </w:rPr>
            </w:pPr>
            <w:r>
              <w:rPr>
                <w:rFonts w:ascii="Arial" w:cs="Arial" w:eastAsia="Arial" w:hAnsi="Arial"/>
                <w:sz w:val="12"/>
                <w:szCs w:val="12"/>
                <w:color w:val="auto"/>
                <w:w w:val="86"/>
              </w:rPr>
              <w:t>32%</w:t>
            </w:r>
            <w:r>
              <w:rPr>
                <w:rFonts w:ascii="Arial" w:cs="Arial" w:eastAsia="Arial" w:hAnsi="Arial"/>
                <w:sz w:val="16"/>
                <w:szCs w:val="16"/>
                <w:color w:val="auto"/>
                <w:w w:val="86"/>
                <w:vertAlign w:val="superscript"/>
              </w:rPr>
              <w:t>4</w:t>
            </w:r>
          </w:p>
        </w:tc>
        <w:tc>
          <w:tcPr>
            <w:tcW w:w="1120" w:type="dxa"/>
            <w:vAlign w:val="bottom"/>
            <w:gridSpan w:val="2"/>
            <w:shd w:val="clear" w:color="auto" w:fill="CCEEFF"/>
          </w:tcPr>
          <w:p>
            <w:pPr>
              <w:jc w:val="center"/>
              <w:ind w:left="481"/>
              <w:spacing w:after="0" w:line="144" w:lineRule="exact"/>
              <w:rPr>
                <w:sz w:val="20"/>
                <w:szCs w:val="20"/>
                <w:color w:val="auto"/>
              </w:rPr>
            </w:pPr>
            <w:r>
              <w:rPr>
                <w:rFonts w:ascii="Arial" w:cs="Arial" w:eastAsia="Arial" w:hAnsi="Arial"/>
                <w:sz w:val="12"/>
                <w:szCs w:val="12"/>
                <w:color w:val="auto"/>
                <w:w w:val="86"/>
              </w:rPr>
              <w:t>29%</w:t>
            </w:r>
            <w:r>
              <w:rPr>
                <w:rFonts w:ascii="Arial" w:cs="Arial" w:eastAsia="Arial" w:hAnsi="Arial"/>
                <w:sz w:val="16"/>
                <w:szCs w:val="16"/>
                <w:color w:val="auto"/>
                <w:w w:val="86"/>
                <w:vertAlign w:val="superscript"/>
              </w:rPr>
              <w:t>4</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Sio Gene Therapies</w:t>
            </w:r>
          </w:p>
        </w:tc>
        <w:tc>
          <w:tcPr>
            <w:tcW w:w="300" w:type="dxa"/>
            <w:vAlign w:val="bottom"/>
          </w:tcPr>
          <w:p>
            <w:pPr>
              <w:jc w:val="center"/>
              <w:spacing w:after="0" w:line="144" w:lineRule="exact"/>
              <w:rPr>
                <w:sz w:val="20"/>
                <w:szCs w:val="20"/>
                <w:color w:val="auto"/>
              </w:rPr>
            </w:pPr>
            <w:r>
              <w:rPr>
                <w:rFonts w:ascii="Arial" w:cs="Arial" w:eastAsia="Arial" w:hAnsi="Arial"/>
                <w:sz w:val="12"/>
                <w:szCs w:val="12"/>
                <w:color w:val="auto"/>
                <w:w w:val="86"/>
              </w:rPr>
              <w:t>27%</w:t>
            </w:r>
            <w:r>
              <w:rPr>
                <w:rFonts w:ascii="Arial" w:cs="Arial" w:eastAsia="Arial" w:hAnsi="Arial"/>
                <w:sz w:val="16"/>
                <w:szCs w:val="16"/>
                <w:color w:val="auto"/>
                <w:w w:val="86"/>
                <w:vertAlign w:val="superscript"/>
              </w:rPr>
              <w:t>4</w:t>
            </w:r>
          </w:p>
        </w:tc>
        <w:tc>
          <w:tcPr>
            <w:tcW w:w="1120" w:type="dxa"/>
            <w:vAlign w:val="bottom"/>
            <w:gridSpan w:val="2"/>
          </w:tcPr>
          <w:p>
            <w:pPr>
              <w:jc w:val="center"/>
              <w:ind w:left="481"/>
              <w:spacing w:after="0" w:line="144" w:lineRule="exact"/>
              <w:rPr>
                <w:sz w:val="20"/>
                <w:szCs w:val="20"/>
                <w:color w:val="auto"/>
              </w:rPr>
            </w:pPr>
            <w:r>
              <w:rPr>
                <w:rFonts w:ascii="Arial" w:cs="Arial" w:eastAsia="Arial" w:hAnsi="Arial"/>
                <w:sz w:val="12"/>
                <w:szCs w:val="12"/>
                <w:color w:val="auto"/>
                <w:w w:val="86"/>
              </w:rPr>
              <w:t>24%</w:t>
            </w:r>
            <w:r>
              <w:rPr>
                <w:rFonts w:ascii="Arial" w:cs="Arial" w:eastAsia="Arial" w:hAnsi="Arial"/>
                <w:sz w:val="16"/>
                <w:szCs w:val="16"/>
                <w:color w:val="auto"/>
                <w:w w:val="86"/>
                <w:vertAlign w:val="superscript"/>
              </w:rPr>
              <w:t>4</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Genevant</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83%</w:t>
            </w:r>
          </w:p>
        </w:tc>
        <w:tc>
          <w:tcPr>
            <w:tcW w:w="1120" w:type="dxa"/>
            <w:vAlign w:val="bottom"/>
            <w:gridSpan w:val="2"/>
            <w:shd w:val="clear" w:color="auto" w:fill="CCEEFF"/>
          </w:tcPr>
          <w:p>
            <w:pPr>
              <w:jc w:val="center"/>
              <w:ind w:left="481"/>
              <w:spacing w:after="0"/>
              <w:rPr>
                <w:sz w:val="20"/>
                <w:szCs w:val="20"/>
                <w:color w:val="auto"/>
              </w:rPr>
            </w:pPr>
            <w:r>
              <w:rPr>
                <w:rFonts w:ascii="Arial" w:cs="Arial" w:eastAsia="Arial" w:hAnsi="Arial"/>
                <w:sz w:val="12"/>
                <w:szCs w:val="12"/>
                <w:color w:val="auto"/>
                <w:w w:val="91"/>
              </w:rPr>
              <w:t>69%</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Lokavant</w:t>
            </w:r>
          </w:p>
        </w:tc>
        <w:tc>
          <w:tcPr>
            <w:tcW w:w="300" w:type="dxa"/>
            <w:vAlign w:val="bottom"/>
          </w:tcPr>
          <w:p>
            <w:pPr>
              <w:jc w:val="center"/>
              <w:spacing w:after="0"/>
              <w:rPr>
                <w:sz w:val="20"/>
                <w:szCs w:val="20"/>
                <w:color w:val="auto"/>
              </w:rPr>
            </w:pPr>
            <w:r>
              <w:rPr>
                <w:rFonts w:ascii="Arial" w:cs="Arial" w:eastAsia="Arial" w:hAnsi="Arial"/>
                <w:sz w:val="12"/>
                <w:szCs w:val="12"/>
                <w:color w:val="auto"/>
                <w:w w:val="91"/>
              </w:rPr>
              <w:t>90%</w:t>
            </w:r>
          </w:p>
        </w:tc>
        <w:tc>
          <w:tcPr>
            <w:tcW w:w="1120" w:type="dxa"/>
            <w:vAlign w:val="bottom"/>
            <w:gridSpan w:val="2"/>
          </w:tcPr>
          <w:p>
            <w:pPr>
              <w:jc w:val="center"/>
              <w:ind w:left="481"/>
              <w:spacing w:after="0"/>
              <w:rPr>
                <w:sz w:val="20"/>
                <w:szCs w:val="20"/>
                <w:color w:val="auto"/>
              </w:rPr>
            </w:pPr>
            <w:r>
              <w:rPr>
                <w:rFonts w:ascii="Arial" w:cs="Arial" w:eastAsia="Arial" w:hAnsi="Arial"/>
                <w:sz w:val="12"/>
                <w:szCs w:val="12"/>
                <w:color w:val="auto"/>
                <w:w w:val="91"/>
              </w:rPr>
              <w:t>85%</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Datavant</w:t>
            </w:r>
            <w:r>
              <w:rPr>
                <w:rFonts w:ascii="Arial" w:cs="Arial" w:eastAsia="Arial" w:hAnsi="Arial"/>
                <w:sz w:val="16"/>
                <w:szCs w:val="16"/>
                <w:color w:val="auto"/>
                <w:vertAlign w:val="superscript"/>
              </w:rPr>
              <w:t>5</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52%</w:t>
            </w:r>
          </w:p>
        </w:tc>
        <w:tc>
          <w:tcPr>
            <w:tcW w:w="1120" w:type="dxa"/>
            <w:vAlign w:val="bottom"/>
            <w:gridSpan w:val="2"/>
            <w:shd w:val="clear" w:color="auto" w:fill="CCEEFF"/>
          </w:tcPr>
          <w:p>
            <w:pPr>
              <w:jc w:val="center"/>
              <w:ind w:left="481"/>
              <w:spacing w:after="0"/>
              <w:rPr>
                <w:sz w:val="20"/>
                <w:szCs w:val="20"/>
                <w:color w:val="auto"/>
              </w:rPr>
            </w:pPr>
            <w:r>
              <w:rPr>
                <w:rFonts w:ascii="Arial" w:cs="Arial" w:eastAsia="Arial" w:hAnsi="Arial"/>
                <w:sz w:val="12"/>
                <w:szCs w:val="12"/>
                <w:color w:val="auto"/>
                <w:w w:val="91"/>
              </w:rPr>
              <w:t>48%</w:t>
            </w: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20"/>
                <w:szCs w:val="20"/>
                <w:color w:val="auto"/>
              </w:rPr>
            </w:pPr>
            <w:r>
              <w:rPr>
                <w:rFonts w:ascii="Arial" w:cs="Arial" w:eastAsia="Arial" w:hAnsi="Arial"/>
                <w:sz w:val="12"/>
                <w:szCs w:val="12"/>
                <w:color w:val="auto"/>
              </w:rPr>
              <w:t>Alyvant</w:t>
            </w:r>
          </w:p>
        </w:tc>
        <w:tc>
          <w:tcPr>
            <w:tcW w:w="300" w:type="dxa"/>
            <w:vAlign w:val="bottom"/>
          </w:tcPr>
          <w:p>
            <w:pPr>
              <w:jc w:val="center"/>
              <w:spacing w:after="0"/>
              <w:rPr>
                <w:sz w:val="20"/>
                <w:szCs w:val="20"/>
                <w:color w:val="auto"/>
              </w:rPr>
            </w:pPr>
            <w:r>
              <w:rPr>
                <w:rFonts w:ascii="Arial" w:cs="Arial" w:eastAsia="Arial" w:hAnsi="Arial"/>
                <w:sz w:val="12"/>
                <w:szCs w:val="12"/>
                <w:color w:val="auto"/>
                <w:w w:val="91"/>
              </w:rPr>
              <w:t>97%</w:t>
            </w:r>
          </w:p>
        </w:tc>
        <w:tc>
          <w:tcPr>
            <w:tcW w:w="1120" w:type="dxa"/>
            <w:vAlign w:val="bottom"/>
            <w:gridSpan w:val="2"/>
          </w:tcPr>
          <w:p>
            <w:pPr>
              <w:jc w:val="center"/>
              <w:ind w:left="481"/>
              <w:spacing w:after="0"/>
              <w:rPr>
                <w:sz w:val="20"/>
                <w:szCs w:val="20"/>
                <w:color w:val="auto"/>
              </w:rPr>
            </w:pPr>
            <w:r>
              <w:rPr>
                <w:rFonts w:ascii="Arial" w:cs="Arial" w:eastAsia="Arial" w:hAnsi="Arial"/>
                <w:sz w:val="12"/>
                <w:szCs w:val="12"/>
                <w:color w:val="auto"/>
                <w:w w:val="91"/>
              </w:rPr>
              <w:t>95%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980" w:right="1139"/>
        <w:spacing w:after="0" w:line="254" w:lineRule="auto"/>
        <w:rPr>
          <w:sz w:val="20"/>
          <w:szCs w:val="20"/>
          <w:color w:val="auto"/>
        </w:rPr>
      </w:pPr>
      <w:r>
        <w:rPr>
          <w:rFonts w:ascii="Arial" w:cs="Arial" w:eastAsia="Arial" w:hAnsi="Arial"/>
          <w:sz w:val="12"/>
          <w:szCs w:val="12"/>
          <w:color w:val="auto"/>
        </w:rPr>
        <w:t>Note: Excludes early-stage pipeline of protein degraders and inhibitors being developed through our small molecule discovery engine. All drugs in current pipeline are investigational and subject to health authority approval. Ownership figures as of June 30, 2021. Arbutus basic and fully diluted ownership includes the conversion of preferred shares held by Roivant into common shares, which was completed on October 18, 2021. Roivant ownership in Cytovant includes both direct and indirect ownership.</w:t>
      </w:r>
    </w:p>
    <w:p>
      <w:pPr>
        <w:spacing w:after="0" w:line="1" w:lineRule="exact"/>
        <w:rPr>
          <w:sz w:val="20"/>
          <w:szCs w:val="20"/>
          <w:color w:val="auto"/>
        </w:rPr>
      </w:pPr>
    </w:p>
    <w:p>
      <w:pPr>
        <w:ind w:left="2260" w:hanging="288"/>
        <w:spacing w:after="0"/>
        <w:tabs>
          <w:tab w:leader="none" w:pos="22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Basic refers to Roivant’s percentage ownership of the issued and outstanding shares of the entity.</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Fully diluted refers to Roivant’s percentage ownership of all outstanding equity interests, whether vested or unvested, of the entity.</w:t>
      </w:r>
    </w:p>
    <w:p>
      <w:pPr>
        <w:spacing w:after="0" w:line="6" w:lineRule="exact"/>
        <w:rPr>
          <w:rFonts w:ascii="Arial" w:cs="Arial" w:eastAsia="Arial" w:hAnsi="Arial"/>
          <w:sz w:val="12"/>
          <w:szCs w:val="12"/>
          <w:color w:val="auto"/>
        </w:rPr>
      </w:pPr>
    </w:p>
    <w:p>
      <w:pPr>
        <w:jc w:val="both"/>
        <w:ind w:left="2260" w:right="1079" w:hanging="288"/>
        <w:spacing w:after="0" w:line="250" w:lineRule="auto"/>
        <w:tabs>
          <w:tab w:leader="none" w:pos="22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August 2021, Roivant purchased from Immunovant 17,021,276 shares of Immunovant common stock at a price of $11.75 per share, for an aggregate purchase price of $200.0 million. Following this transaction, Roivant beneficially owns 73,398,664 shares of Immunovant common stock, representing a basic ownership interest of approximately 63.8%.</w:t>
      </w:r>
    </w:p>
    <w:p>
      <w:pPr>
        <w:ind w:left="2260" w:hanging="288"/>
        <w:spacing w:after="0"/>
        <w:tabs>
          <w:tab w:leader="none" w:pos="22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Denotes entities that are publicly traded.</w:t>
      </w:r>
    </w:p>
    <w:p>
      <w:pPr>
        <w:spacing w:after="0" w:line="6" w:lineRule="exact"/>
        <w:rPr>
          <w:rFonts w:ascii="Arial" w:cs="Arial" w:eastAsia="Arial" w:hAnsi="Arial"/>
          <w:sz w:val="12"/>
          <w:szCs w:val="12"/>
          <w:color w:val="auto"/>
        </w:rPr>
      </w:pPr>
    </w:p>
    <w:p>
      <w:pPr>
        <w:ind w:left="2260" w:right="979" w:hanging="288"/>
        <w:spacing w:after="0" w:line="260" w:lineRule="auto"/>
        <w:tabs>
          <w:tab w:leader="none" w:pos="22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June 2021, Datavant entered into a definitive merger agreement to combine with Ciox Health. The transaction closed in July 2021. Following the closing of the merger, Roivant has a minority equity ownership in the combined entity.</w:t>
      </w:r>
    </w:p>
    <w:p>
      <w:pPr>
        <w:spacing w:after="0" w:line="124"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Through continued investment in our model, we believe we are well-positioned to advance our current pipeline through regulatory approval and commercialization, expand our pipeline through novel drug discovery and in-licensing and acquisition transactions, and execute on our vision of transforming the delivery of healthcare to patients.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72"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We have a robust calendar of potential near-term catalysts, including the items set forth below. In addition, we plan to in-license multiple potentially category-leading drugs per year.</w:t>
      </w:r>
    </w:p>
    <w:p>
      <w:pPr>
        <w:spacing w:after="0" w:line="127"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Vant</w:t>
            </w:r>
          </w:p>
        </w:tc>
        <w:tc>
          <w:tcPr>
            <w:tcW w:w="5160" w:type="dxa"/>
            <w:vAlign w:val="bottom"/>
            <w:gridSpan w:val="2"/>
          </w:tcPr>
          <w:p>
            <w:pPr>
              <w:spacing w:after="0"/>
              <w:rPr>
                <w:sz w:val="20"/>
                <w:szCs w:val="20"/>
                <w:color w:val="auto"/>
              </w:rPr>
            </w:pPr>
            <w:r>
              <w:rPr>
                <w:rFonts w:ascii="Arial" w:cs="Arial" w:eastAsia="Arial" w:hAnsi="Arial"/>
                <w:sz w:val="10"/>
                <w:szCs w:val="10"/>
                <w:b w:val="1"/>
                <w:bCs w:val="1"/>
                <w:color w:val="auto"/>
              </w:rPr>
              <w:t>Catalyst</w:t>
            </w:r>
          </w:p>
        </w:tc>
        <w:tc>
          <w:tcPr>
            <w:tcW w:w="1140" w:type="dxa"/>
            <w:vAlign w:val="bottom"/>
            <w:gridSpan w:val="2"/>
          </w:tcPr>
          <w:p>
            <w:pPr>
              <w:spacing w:after="0"/>
              <w:rPr>
                <w:sz w:val="20"/>
                <w:szCs w:val="20"/>
                <w:color w:val="auto"/>
              </w:rPr>
            </w:pPr>
            <w:r>
              <w:rPr>
                <w:rFonts w:ascii="Arial" w:cs="Arial" w:eastAsia="Arial" w:hAnsi="Arial"/>
                <w:sz w:val="10"/>
                <w:szCs w:val="10"/>
                <w:b w:val="1"/>
                <w:bCs w:val="1"/>
                <w:color w:val="auto"/>
              </w:rPr>
              <w:t>Expected Timing</w:t>
            </w:r>
          </w:p>
        </w:tc>
      </w:tr>
      <w:tr>
        <w:trPr>
          <w:trHeight w:val="102"/>
        </w:trPr>
        <w:tc>
          <w:tcPr>
            <w:tcW w:w="9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rPr>
              <w:t>Dermavant</w:t>
            </w:r>
          </w:p>
        </w:tc>
        <w:tc>
          <w:tcPr>
            <w:tcW w:w="80" w:type="dxa"/>
            <w:vAlign w:val="bottom"/>
          </w:tcPr>
          <w:p>
            <w:pPr>
              <w:spacing w:after="0"/>
              <w:rPr>
                <w:sz w:val="8"/>
                <w:szCs w:val="8"/>
                <w:color w:val="auto"/>
              </w:rPr>
            </w:pPr>
          </w:p>
        </w:tc>
        <w:tc>
          <w:tcPr>
            <w:tcW w:w="49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rPr>
              <w:t>Tapinarof NDA filing in psoriasis</w:t>
            </w:r>
          </w:p>
        </w:tc>
        <w:tc>
          <w:tcPr>
            <w:tcW w:w="220" w:type="dxa"/>
            <w:vAlign w:val="bottom"/>
          </w:tcPr>
          <w:p>
            <w:pPr>
              <w:spacing w:after="0"/>
              <w:rPr>
                <w:sz w:val="8"/>
                <w:szCs w:val="8"/>
                <w:color w:val="auto"/>
              </w:rPr>
            </w:pPr>
          </w:p>
        </w:tc>
        <w:tc>
          <w:tcPr>
            <w:tcW w:w="114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color w:val="auto"/>
              </w:rPr>
              <w:t xml:space="preserve">Mid-2021 </w:t>
            </w:r>
            <w:r>
              <w:rPr>
                <w:rFonts w:ascii="MS PGothic" w:cs="MS PGothic" w:eastAsia="MS PGothic" w:hAnsi="MS PGothic"/>
                <w:sz w:val="11"/>
                <w:szCs w:val="11"/>
                <w:color w:val="auto"/>
              </w:rPr>
              <w:t>✓</w:t>
            </w:r>
          </w:p>
        </w:tc>
      </w:tr>
      <w:tr>
        <w:trPr>
          <w:trHeight w:val="166"/>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Tapinarof Phase 3 initiation in atopic dermatitis</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98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44"/>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FDA approval decision on tapinarof for psoriasis</w:t>
            </w:r>
          </w:p>
        </w:tc>
        <w:tc>
          <w:tcPr>
            <w:tcW w:w="160" w:type="dxa"/>
            <w:vAlign w:val="bottom"/>
          </w:tcPr>
          <w:p>
            <w:pPr>
              <w:spacing w:after="0"/>
              <w:rPr>
                <w:sz w:val="20"/>
                <w:szCs w:val="20"/>
                <w:color w:val="auto"/>
              </w:rPr>
            </w:pPr>
            <w:r>
              <w:rPr>
                <w:rFonts w:ascii="Arial" w:cs="Arial" w:eastAsia="Arial" w:hAnsi="Arial"/>
                <w:sz w:val="12"/>
                <w:szCs w:val="12"/>
                <w:color w:val="auto"/>
                <w:w w:val="87"/>
              </w:rPr>
              <w:t>2Q</w:t>
            </w:r>
          </w:p>
        </w:tc>
        <w:tc>
          <w:tcPr>
            <w:tcW w:w="98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153"/>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Topline data from tapinarof Phase 3 trials in atopic dermatitis</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980" w:type="dxa"/>
            <w:vAlign w:val="bottom"/>
          </w:tcPr>
          <w:p>
            <w:pPr>
              <w:ind w:left="20"/>
              <w:spacing w:after="0"/>
              <w:rPr>
                <w:sz w:val="20"/>
                <w:szCs w:val="20"/>
                <w:color w:val="auto"/>
              </w:rPr>
            </w:pPr>
            <w:r>
              <w:rPr>
                <w:rFonts w:ascii="Arial" w:cs="Arial" w:eastAsia="Arial" w:hAnsi="Arial"/>
                <w:sz w:val="12"/>
                <w:szCs w:val="12"/>
                <w:color w:val="auto"/>
              </w:rPr>
              <w:t>2023</w:t>
            </w:r>
          </w:p>
        </w:tc>
      </w:tr>
      <w:tr>
        <w:trPr>
          <w:trHeight w:val="279"/>
        </w:trPr>
        <w:tc>
          <w:tcPr>
            <w:tcW w:w="10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5160" w:type="dxa"/>
            <w:vAlign w:val="bottom"/>
            <w:gridSpan w:val="2"/>
          </w:tcPr>
          <w:p>
            <w:pPr>
              <w:spacing w:after="0"/>
              <w:rPr>
                <w:sz w:val="20"/>
                <w:szCs w:val="20"/>
                <w:color w:val="auto"/>
              </w:rPr>
            </w:pPr>
            <w:r>
              <w:rPr>
                <w:rFonts w:ascii="Arial" w:cs="Arial" w:eastAsia="Arial" w:hAnsi="Arial"/>
                <w:sz w:val="12"/>
                <w:szCs w:val="12"/>
                <w:color w:val="auto"/>
              </w:rPr>
              <w:t>Initiate pivotal trial in MG</w:t>
            </w:r>
          </w:p>
        </w:tc>
        <w:tc>
          <w:tcPr>
            <w:tcW w:w="1140" w:type="dxa"/>
            <w:vAlign w:val="bottom"/>
            <w:gridSpan w:val="2"/>
          </w:tcPr>
          <w:p>
            <w:pPr>
              <w:spacing w:after="0"/>
              <w:rPr>
                <w:sz w:val="20"/>
                <w:szCs w:val="20"/>
                <w:color w:val="auto"/>
              </w:rPr>
            </w:pPr>
            <w:r>
              <w:rPr>
                <w:rFonts w:ascii="Arial" w:cs="Arial" w:eastAsia="Arial" w:hAnsi="Arial"/>
                <w:sz w:val="12"/>
                <w:szCs w:val="12"/>
                <w:color w:val="auto"/>
              </w:rPr>
              <w:t>Early 2022</w:t>
            </w:r>
          </w:p>
        </w:tc>
      </w:tr>
      <w:tr>
        <w:trPr>
          <w:trHeight w:val="153"/>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Reinitiate program in TED</w:t>
            </w:r>
          </w:p>
        </w:tc>
        <w:tc>
          <w:tcPr>
            <w:tcW w:w="1140" w:type="dxa"/>
            <w:vAlign w:val="bottom"/>
            <w:gridSpan w:val="2"/>
          </w:tcPr>
          <w:p>
            <w:pPr>
              <w:spacing w:after="0"/>
              <w:rPr>
                <w:sz w:val="20"/>
                <w:szCs w:val="20"/>
                <w:color w:val="auto"/>
              </w:rPr>
            </w:pPr>
            <w:r>
              <w:rPr>
                <w:rFonts w:ascii="Arial" w:cs="Arial" w:eastAsia="Arial" w:hAnsi="Arial"/>
                <w:sz w:val="12"/>
                <w:szCs w:val="12"/>
                <w:color w:val="auto"/>
              </w:rPr>
              <w:t>TBA</w:t>
            </w:r>
          </w:p>
        </w:tc>
      </w:tr>
      <w:tr>
        <w:trPr>
          <w:trHeight w:val="153"/>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Reinitiate program in WAIHA</w:t>
            </w:r>
          </w:p>
        </w:tc>
        <w:tc>
          <w:tcPr>
            <w:tcW w:w="1140" w:type="dxa"/>
            <w:vAlign w:val="bottom"/>
            <w:gridSpan w:val="2"/>
          </w:tcPr>
          <w:p>
            <w:pPr>
              <w:spacing w:after="0"/>
              <w:rPr>
                <w:sz w:val="20"/>
                <w:szCs w:val="20"/>
                <w:color w:val="auto"/>
              </w:rPr>
            </w:pPr>
            <w:r>
              <w:rPr>
                <w:rFonts w:ascii="Arial" w:cs="Arial" w:eastAsia="Arial" w:hAnsi="Arial"/>
                <w:sz w:val="12"/>
                <w:szCs w:val="12"/>
                <w:color w:val="auto"/>
              </w:rPr>
              <w:t>TBA</w:t>
            </w:r>
          </w:p>
        </w:tc>
      </w:tr>
      <w:tr>
        <w:trPr>
          <w:trHeight w:val="153"/>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Announce at least two new indications for IMVT-1401</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98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257"/>
        </w:trPr>
        <w:tc>
          <w:tcPr>
            <w:tcW w:w="104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5160" w:type="dxa"/>
            <w:vAlign w:val="bottom"/>
            <w:gridSpan w:val="2"/>
          </w:tcPr>
          <w:p>
            <w:pPr>
              <w:spacing w:after="0"/>
              <w:rPr>
                <w:sz w:val="20"/>
                <w:szCs w:val="20"/>
                <w:color w:val="auto"/>
              </w:rPr>
            </w:pPr>
            <w:r>
              <w:rPr>
                <w:rFonts w:ascii="Arial" w:cs="Arial" w:eastAsia="Arial" w:hAnsi="Arial"/>
                <w:sz w:val="12"/>
                <w:szCs w:val="12"/>
                <w:color w:val="auto"/>
              </w:rPr>
              <w:t>First patient dosed with updated ARU-1801 manufacturing process</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98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66"/>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Additional clinical data from ARU-1801 Phase 1/2</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98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53"/>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ARU-1801 Phase 3 initiation</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980" w:type="dxa"/>
            <w:vAlign w:val="bottom"/>
          </w:tcPr>
          <w:p>
            <w:pPr>
              <w:ind w:left="20"/>
              <w:spacing w:after="0"/>
              <w:rPr>
                <w:sz w:val="20"/>
                <w:szCs w:val="20"/>
                <w:color w:val="auto"/>
              </w:rPr>
            </w:pPr>
            <w:r>
              <w:rPr>
                <w:rFonts w:ascii="Arial" w:cs="Arial" w:eastAsia="Arial" w:hAnsi="Arial"/>
                <w:sz w:val="12"/>
                <w:szCs w:val="12"/>
                <w:color w:val="auto"/>
              </w:rPr>
              <w:t>2023</w:t>
            </w:r>
          </w:p>
        </w:tc>
      </w:tr>
      <w:tr>
        <w:trPr>
          <w:trHeight w:val="288"/>
        </w:trPr>
        <w:tc>
          <w:tcPr>
            <w:tcW w:w="104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5160" w:type="dxa"/>
            <w:vAlign w:val="bottom"/>
            <w:gridSpan w:val="2"/>
          </w:tcPr>
          <w:p>
            <w:pPr>
              <w:spacing w:after="0"/>
              <w:rPr>
                <w:sz w:val="20"/>
                <w:szCs w:val="20"/>
                <w:color w:val="auto"/>
              </w:rPr>
            </w:pPr>
            <w:r>
              <w:rPr>
                <w:rFonts w:ascii="Arial" w:cs="Arial" w:eastAsia="Arial" w:hAnsi="Arial"/>
                <w:sz w:val="12"/>
                <w:szCs w:val="12"/>
                <w:color w:val="auto"/>
              </w:rPr>
              <w:t>Namilumab Phase 2 initiation in sarcoidosis</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98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288"/>
        </w:trPr>
        <w:tc>
          <w:tcPr>
            <w:tcW w:w="104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5160" w:type="dxa"/>
            <w:vAlign w:val="bottom"/>
            <w:gridSpan w:val="2"/>
          </w:tcPr>
          <w:p>
            <w:pPr>
              <w:spacing w:after="0"/>
              <w:rPr>
                <w:sz w:val="20"/>
                <w:szCs w:val="20"/>
                <w:color w:val="auto"/>
              </w:rPr>
            </w:pPr>
            <w:r>
              <w:rPr>
                <w:rFonts w:ascii="Arial" w:cs="Arial" w:eastAsia="Arial" w:hAnsi="Arial"/>
                <w:sz w:val="12"/>
                <w:szCs w:val="12"/>
                <w:color w:val="auto"/>
              </w:rPr>
              <w:t>LSVT-1701 MAD initiation</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98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288"/>
        </w:trPr>
        <w:tc>
          <w:tcPr>
            <w:tcW w:w="104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5160" w:type="dxa"/>
            <w:vAlign w:val="bottom"/>
            <w:gridSpan w:val="2"/>
          </w:tcPr>
          <w:p>
            <w:pPr>
              <w:spacing w:after="0"/>
              <w:rPr>
                <w:sz w:val="20"/>
                <w:szCs w:val="20"/>
                <w:color w:val="auto"/>
              </w:rPr>
            </w:pPr>
            <w:r>
              <w:rPr>
                <w:rFonts w:ascii="Arial" w:cs="Arial" w:eastAsia="Arial" w:hAnsi="Arial"/>
                <w:sz w:val="12"/>
                <w:szCs w:val="12"/>
                <w:color w:val="auto"/>
              </w:rPr>
              <w:t>Phase 1 initiation for first degrader candidate</w:t>
            </w:r>
          </w:p>
        </w:tc>
        <w:tc>
          <w:tcPr>
            <w:tcW w:w="1140" w:type="dxa"/>
            <w:vAlign w:val="bottom"/>
            <w:gridSpan w:val="2"/>
          </w:tcPr>
          <w:p>
            <w:pPr>
              <w:spacing w:after="0"/>
              <w:rPr>
                <w:sz w:val="20"/>
                <w:szCs w:val="20"/>
                <w:color w:val="auto"/>
              </w:rPr>
            </w:pPr>
            <w:r>
              <w:rPr>
                <w:rFonts w:ascii="Arial" w:cs="Arial" w:eastAsia="Arial" w:hAnsi="Arial"/>
                <w:sz w:val="12"/>
                <w:szCs w:val="12"/>
                <w:color w:val="auto"/>
              </w:rPr>
              <w:t>2022</w:t>
            </w:r>
          </w:p>
        </w:tc>
      </w:tr>
      <w:tr>
        <w:trPr>
          <w:trHeight w:val="279"/>
        </w:trPr>
        <w:tc>
          <w:tcPr>
            <w:tcW w:w="1040" w:type="dxa"/>
            <w:vAlign w:val="bottom"/>
            <w:gridSpan w:val="2"/>
          </w:tcPr>
          <w:p>
            <w:pPr>
              <w:spacing w:after="0"/>
              <w:rPr>
                <w:sz w:val="20"/>
                <w:szCs w:val="20"/>
                <w:color w:val="auto"/>
              </w:rPr>
            </w:pPr>
            <w:r>
              <w:rPr>
                <w:rFonts w:ascii="Arial" w:cs="Arial" w:eastAsia="Arial" w:hAnsi="Arial"/>
                <w:sz w:val="12"/>
                <w:szCs w:val="12"/>
                <w:color w:val="auto"/>
              </w:rPr>
              <w:t>Roivant /</w:t>
            </w:r>
          </w:p>
        </w:tc>
        <w:tc>
          <w:tcPr>
            <w:tcW w:w="5160" w:type="dxa"/>
            <w:vAlign w:val="bottom"/>
            <w:gridSpan w:val="2"/>
          </w:tcPr>
          <w:p>
            <w:pPr>
              <w:spacing w:after="0"/>
              <w:rPr>
                <w:sz w:val="20"/>
                <w:szCs w:val="20"/>
                <w:color w:val="auto"/>
              </w:rPr>
            </w:pPr>
            <w:r>
              <w:rPr>
                <w:rFonts w:ascii="Arial" w:cs="Arial" w:eastAsia="Arial" w:hAnsi="Arial"/>
                <w:sz w:val="12"/>
                <w:szCs w:val="12"/>
                <w:color w:val="auto"/>
              </w:rPr>
              <w:t>Multiple additional degrader candidates entering IND-enabling studies each year</w:t>
            </w:r>
          </w:p>
        </w:tc>
        <w:tc>
          <w:tcPr>
            <w:tcW w:w="1140" w:type="dxa"/>
            <w:vAlign w:val="bottom"/>
            <w:gridSpan w:val="2"/>
          </w:tcPr>
          <w:p>
            <w:pPr>
              <w:spacing w:after="0"/>
              <w:rPr>
                <w:sz w:val="20"/>
                <w:szCs w:val="20"/>
                <w:color w:val="auto"/>
              </w:rPr>
            </w:pPr>
            <w:r>
              <w:rPr>
                <w:rFonts w:ascii="Arial" w:cs="Arial" w:eastAsia="Arial" w:hAnsi="Arial"/>
                <w:sz w:val="12"/>
                <w:szCs w:val="12"/>
                <w:color w:val="auto"/>
              </w:rPr>
              <w:t>Starting 2022</w:t>
            </w: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3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i w:val="1"/>
          <w:iCs w:val="1"/>
          <w:color w:val="auto"/>
        </w:rPr>
        <w:t>Note: References are to calendar years. All catalyst timings are based on current expectations and, where applicable, contingent on FDA feedback, and may be subject to change.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 Developments</w:t>
      </w:r>
    </w:p>
    <w:p>
      <w:pPr>
        <w:spacing w:after="0" w:line="87" w:lineRule="exact"/>
        <w:rPr>
          <w:sz w:val="20"/>
          <w:szCs w:val="20"/>
          <w:color w:val="auto"/>
        </w:rPr>
      </w:pPr>
    </w:p>
    <w:p>
      <w:pPr>
        <w:ind w:left="2620" w:right="839" w:hanging="360"/>
        <w:spacing w:after="0" w:line="258" w:lineRule="auto"/>
        <w:tabs>
          <w:tab w:leader="none" w:pos="2620"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Datavant: </w:t>
      </w:r>
      <w:r>
        <w:rPr>
          <w:rFonts w:ascii="Arial" w:cs="Arial" w:eastAsia="Arial" w:hAnsi="Arial"/>
          <w:sz w:val="12"/>
          <w:szCs w:val="12"/>
          <w:color w:val="auto"/>
        </w:rPr>
        <w:t>In June 2021, Datavant and Ciox Health entered into a definitive agreement to merge the two companies. The combined entity,</w:t>
      </w:r>
      <w:r>
        <w:rPr>
          <w:rFonts w:ascii="Arial" w:cs="Arial" w:eastAsia="Arial" w:hAnsi="Arial"/>
          <w:sz w:val="12"/>
          <w:szCs w:val="12"/>
          <w:b w:val="1"/>
          <w:bCs w:val="1"/>
          <w:color w:val="auto"/>
        </w:rPr>
        <w:t xml:space="preserve"> </w:t>
      </w:r>
      <w:r>
        <w:rPr>
          <w:rFonts w:ascii="Arial" w:cs="Arial" w:eastAsia="Arial" w:hAnsi="Arial"/>
          <w:sz w:val="12"/>
          <w:szCs w:val="12"/>
          <w:color w:val="auto"/>
        </w:rPr>
        <w:t>named Datavant, is the nation’s largest health data ecosystem, enabling patients, providers, payers, health data analytics companies, patient-facing applications, government agencies and life science companies to securely exchange their patient-level data. The merger closed on July 27, 2021. At closing, Roivant received approximately $320 million in cash and a minority equity ownership in the combined entity.</w:t>
      </w:r>
    </w:p>
    <w:p>
      <w:pPr>
        <w:spacing w:after="0" w:line="59" w:lineRule="exact"/>
        <w:rPr>
          <w:rFonts w:ascii="Arial" w:cs="Arial" w:eastAsia="Arial" w:hAnsi="Arial"/>
          <w:sz w:val="12"/>
          <w:szCs w:val="12"/>
          <w:color w:val="auto"/>
        </w:rPr>
      </w:pPr>
    </w:p>
    <w:p>
      <w:pPr>
        <w:ind w:left="2620" w:right="879" w:hanging="360"/>
        <w:spacing w:after="0" w:line="283" w:lineRule="auto"/>
        <w:tabs>
          <w:tab w:leader="none" w:pos="2620"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Aruvant: </w:t>
      </w:r>
      <w:r>
        <w:rPr>
          <w:rFonts w:ascii="Arial" w:cs="Arial" w:eastAsia="Arial" w:hAnsi="Arial"/>
          <w:sz w:val="12"/>
          <w:szCs w:val="12"/>
          <w:color w:val="auto"/>
        </w:rPr>
        <w:t>In June 2021, Aruvant announced data published on ARU-2801, an investigational gene therapy, that showed improved survival</w:t>
      </w:r>
      <w:r>
        <w:rPr>
          <w:rFonts w:ascii="Arial" w:cs="Arial" w:eastAsia="Arial" w:hAnsi="Arial"/>
          <w:sz w:val="12"/>
          <w:szCs w:val="12"/>
          <w:b w:val="1"/>
          <w:bCs w:val="1"/>
          <w:color w:val="auto"/>
        </w:rPr>
        <w:t xml:space="preserve"> </w:t>
      </w:r>
      <w:r>
        <w:rPr>
          <w:rFonts w:ascii="Arial" w:cs="Arial" w:eastAsia="Arial" w:hAnsi="Arial"/>
          <w:sz w:val="12"/>
          <w:szCs w:val="12"/>
          <w:color w:val="auto"/>
        </w:rPr>
        <w:t>out to 18 months in hypophosphatasia mice.</w:t>
      </w:r>
    </w:p>
    <w:p>
      <w:pPr>
        <w:spacing w:after="0" w:line="43" w:lineRule="exact"/>
        <w:rPr>
          <w:rFonts w:ascii="Arial" w:cs="Arial" w:eastAsia="Arial" w:hAnsi="Arial"/>
          <w:sz w:val="12"/>
          <w:szCs w:val="12"/>
          <w:color w:val="auto"/>
        </w:rPr>
      </w:pPr>
    </w:p>
    <w:p>
      <w:pPr>
        <w:ind w:left="2620" w:right="1239" w:hanging="360"/>
        <w:spacing w:after="0" w:line="330" w:lineRule="auto"/>
        <w:tabs>
          <w:tab w:leader="none" w:pos="2620" w:val="left"/>
        </w:tabs>
        <w:numPr>
          <w:ilvl w:val="0"/>
          <w:numId w:val="54"/>
        </w:numPr>
        <w:rPr>
          <w:rFonts w:ascii="Arial" w:cs="Arial" w:eastAsia="Arial" w:hAnsi="Arial"/>
          <w:sz w:val="11"/>
          <w:szCs w:val="11"/>
          <w:color w:val="auto"/>
        </w:rPr>
      </w:pPr>
      <w:r>
        <w:rPr>
          <w:rFonts w:ascii="Arial" w:cs="Arial" w:eastAsia="Arial" w:hAnsi="Arial"/>
          <w:sz w:val="11"/>
          <w:szCs w:val="11"/>
          <w:b w:val="1"/>
          <w:bCs w:val="1"/>
          <w:color w:val="auto"/>
        </w:rPr>
        <w:t xml:space="preserve">Immunovant: </w:t>
      </w:r>
      <w:r>
        <w:rPr>
          <w:rFonts w:ascii="Arial" w:cs="Arial" w:eastAsia="Arial" w:hAnsi="Arial"/>
          <w:sz w:val="11"/>
          <w:szCs w:val="11"/>
          <w:color w:val="auto"/>
        </w:rPr>
        <w:t>In August 2021, Roivant made a $200 million investment in Immunovant. Following this transaction, Roivant owns</w:t>
      </w:r>
      <w:r>
        <w:rPr>
          <w:rFonts w:ascii="Arial" w:cs="Arial" w:eastAsia="Arial" w:hAnsi="Arial"/>
          <w:sz w:val="11"/>
          <w:szCs w:val="11"/>
          <w:b w:val="1"/>
          <w:bCs w:val="1"/>
          <w:color w:val="auto"/>
        </w:rPr>
        <w:t xml:space="preserve"> </w:t>
      </w:r>
      <w:r>
        <w:rPr>
          <w:rFonts w:ascii="Arial" w:cs="Arial" w:eastAsia="Arial" w:hAnsi="Arial"/>
          <w:sz w:val="11"/>
          <w:szCs w:val="11"/>
          <w:color w:val="auto"/>
        </w:rPr>
        <w:t>73,398,664 shares of Immunovant common stock, representing approximately a 63.8% ownership interest.</w:t>
      </w:r>
    </w:p>
    <w:p>
      <w:pPr>
        <w:spacing w:after="0" w:line="21" w:lineRule="exact"/>
        <w:rPr>
          <w:rFonts w:ascii="Arial" w:cs="Arial" w:eastAsia="Arial" w:hAnsi="Arial"/>
          <w:sz w:val="11"/>
          <w:szCs w:val="11"/>
          <w:color w:val="auto"/>
        </w:rPr>
      </w:pPr>
    </w:p>
    <w:p>
      <w:pPr>
        <w:ind w:left="2620" w:right="999" w:hanging="360"/>
        <w:spacing w:after="0" w:line="266" w:lineRule="auto"/>
        <w:tabs>
          <w:tab w:leader="none" w:pos="2620"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Dermavant: </w:t>
      </w:r>
      <w:r>
        <w:rPr>
          <w:rFonts w:ascii="Arial" w:cs="Arial" w:eastAsia="Arial" w:hAnsi="Arial"/>
          <w:sz w:val="12"/>
          <w:szCs w:val="12"/>
          <w:color w:val="auto"/>
        </w:rPr>
        <w:t>In August 2021, the FDA accepted for filing Dermavant’s NDA for tapinarof for the treatment of plaque psoriasis in adult</w:t>
      </w:r>
      <w:r>
        <w:rPr>
          <w:rFonts w:ascii="Arial" w:cs="Arial" w:eastAsia="Arial" w:hAnsi="Arial"/>
          <w:sz w:val="12"/>
          <w:szCs w:val="12"/>
          <w:b w:val="1"/>
          <w:bCs w:val="1"/>
          <w:color w:val="auto"/>
        </w:rPr>
        <w:t xml:space="preserve"> </w:t>
      </w:r>
      <w:r>
        <w:rPr>
          <w:rFonts w:ascii="Arial" w:cs="Arial" w:eastAsia="Arial" w:hAnsi="Arial"/>
          <w:sz w:val="12"/>
          <w:szCs w:val="12"/>
          <w:color w:val="auto"/>
        </w:rPr>
        <w:t>patients. The FDA has assigned a PDUFA target action date in the second quarter of calendar year 2022. In September 2021, Dermavant dosed the first patient in a Phase 3 trial of tapinarof for the treatment of atopic dermatitis.</w:t>
      </w:r>
    </w:p>
    <w:p>
      <w:pPr>
        <w:spacing w:after="0" w:line="54" w:lineRule="exact"/>
        <w:rPr>
          <w:rFonts w:ascii="Arial" w:cs="Arial" w:eastAsia="Arial" w:hAnsi="Arial"/>
          <w:sz w:val="12"/>
          <w:szCs w:val="12"/>
          <w:color w:val="auto"/>
        </w:rPr>
      </w:pPr>
    </w:p>
    <w:p>
      <w:pPr>
        <w:ind w:left="2620" w:right="919" w:hanging="360"/>
        <w:spacing w:after="0" w:line="344" w:lineRule="auto"/>
        <w:tabs>
          <w:tab w:leader="none" w:pos="2620" w:val="left"/>
        </w:tabs>
        <w:numPr>
          <w:ilvl w:val="0"/>
          <w:numId w:val="54"/>
        </w:numPr>
        <w:rPr>
          <w:rFonts w:ascii="Arial" w:cs="Arial" w:eastAsia="Arial" w:hAnsi="Arial"/>
          <w:sz w:val="10"/>
          <w:szCs w:val="10"/>
          <w:color w:val="auto"/>
        </w:rPr>
      </w:pPr>
      <w:r>
        <w:rPr>
          <w:rFonts w:ascii="Arial" w:cs="Arial" w:eastAsia="Arial" w:hAnsi="Arial"/>
          <w:sz w:val="10"/>
          <w:szCs w:val="10"/>
          <w:b w:val="1"/>
          <w:bCs w:val="1"/>
          <w:color w:val="auto"/>
        </w:rPr>
        <w:t xml:space="preserve">Genevant: </w:t>
      </w:r>
      <w:r>
        <w:rPr>
          <w:rFonts w:ascii="Arial" w:cs="Arial" w:eastAsia="Arial" w:hAnsi="Arial"/>
          <w:sz w:val="10"/>
          <w:szCs w:val="10"/>
          <w:color w:val="auto"/>
        </w:rPr>
        <w:t>In August 2021, Genevant entered into a global collaboration and license agreement with Takeda for the development and</w:t>
      </w:r>
      <w:r>
        <w:rPr>
          <w:rFonts w:ascii="Arial" w:cs="Arial" w:eastAsia="Arial" w:hAnsi="Arial"/>
          <w:sz w:val="10"/>
          <w:szCs w:val="10"/>
          <w:b w:val="1"/>
          <w:bCs w:val="1"/>
          <w:color w:val="auto"/>
        </w:rPr>
        <w:t xml:space="preserve"> </w:t>
      </w:r>
      <w:r>
        <w:rPr>
          <w:rFonts w:ascii="Arial" w:cs="Arial" w:eastAsia="Arial" w:hAnsi="Arial"/>
          <w:sz w:val="10"/>
          <w:szCs w:val="10"/>
          <w:color w:val="auto"/>
        </w:rPr>
        <w:t>commercialization of novel nonviral gene therapies for up to two rare liver diseases. Genevant will be eligible for up to $303 million in upfront and potential milestone payments, plus royalties on product sales. This is the second collaboration between Genevant and Takeda.</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72"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Combination</w:t>
      </w:r>
    </w:p>
    <w:p>
      <w:pPr>
        <w:spacing w:after="0" w:line="82"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On May 1, 2021, we entered into a Business Combination Agreement (the “Business Combination Agreement”) with Montes Archimedes Acquisition Corporation (“MAAC”) and Rhine Merger Sub, Inc. (“Merger Sub”). MAAC was incorporated in Delaware on July 6, 2020 and was formed as a blank check company for the purpose of effecting a merger, share exchange, asset acquisition, stock purchase, recapitalization, reorganization or similar business combination with one or more businesses. Pursuant to the Business Combination Agreement, and assuming a favorable vote by MAAC’s stockholders at a special meeting of MAAC’s stockholders convened for purposes of approving the transactions contemplated by the Business Combination Agreement (the “Business Combination”), and the satisfaction or waiver of all other closing conditions pursuant to the Business Combination Agreement, Merger Sub will merge with and into MAAC, with MAAC surviving the merger as our wholly owned subsidiary.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For financial accounting and reporting purposes, MAAC will be treated as the acquired company. Accordingly, because MAAC does not represent a business for accounting purposes and its primary asset represents cash and cash equivalents, the Business Combination will be treated as an equity contribution in exchange for the issuance of Roivant shares. The net assets of MAAC will be stated at historical cost, with no goodwill or other intangible assets recorded. We will be deemed both the accounting predecessor and the successor SEC registrant, which means that our financial statements for previous periods will be disclosed in our future periodic reports filed with the SEC.</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Impact of COVID-19</w:t>
      </w:r>
    </w:p>
    <w:p>
      <w:pPr>
        <w:spacing w:after="0" w:line="8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have been actively monitoring the impact of the COVID-19 pandemic on our employees and our business. Based on guidance issued by federal, state and local authorities, we transitioned to a remote work model for our employees in March 2020 and our workforce continues to primarily work remotely.</w:t>
      </w:r>
    </w:p>
    <w:p>
      <w:pPr>
        <w:spacing w:after="0" w:line="122"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The COVID-19 pandemic has had a variable impact on our clinical trials by disrupting certain study sites. In the conduct of our business activities, we continue to take actions designed to protect the safety and well-being of our patients and employees. Although some of our clinical development timelines have been impacted by delays related to the COVID-19 pandemic, we have not experienced material financial impacts on our business and operations as a result of the COVID-19 pandemic. However, the impact on our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For additional information about risks and uncertainties related to the COVID-19 pandemic that may impact our business, financial condition and results of operations, see the section titled “Risk Factors”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Results of Operations</w:t>
      </w:r>
    </w:p>
    <w:p>
      <w:pPr>
        <w:spacing w:after="0" w:line="8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Revenue, net</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have not generated any revenues to date from the sale of our product candidates and do not anticipate generating any revenues from the sale of product candidates unless and until we successfully complete development and obtain regulatory approval to market our product candidates. Our revenue to date primarily includes the recognition of upfront payments received in connection with license agreements. Revenue is also generated by subscription and service-based fees. Our revenue recognized from inception to date has not been significant.</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Cost of revenues</w:t>
      </w:r>
    </w:p>
    <w:p>
      <w:pPr>
        <w:spacing w:after="0" w:line="78"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Our cost of revenues primarily relates to subscription and service-based revenue recognized for the use of technology developed and consists primarily of employee, hosting, and third-party data costs. Our cost of revenues has not been significant to date.</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72"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Research and development expenses consist mainly of costs incurred in connection with the discovery and development of our product candidates.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Research and development expenses primarily include the following:</w:t>
      </w:r>
    </w:p>
    <w:p>
      <w:pPr>
        <w:spacing w:after="0" w:line="78" w:lineRule="exact"/>
        <w:rPr>
          <w:sz w:val="20"/>
          <w:szCs w:val="20"/>
          <w:color w:val="auto"/>
        </w:rPr>
      </w:pPr>
    </w:p>
    <w:p>
      <w:pPr>
        <w:ind w:left="2620" w:hanging="360"/>
        <w:spacing w:after="0"/>
        <w:tabs>
          <w:tab w:leader="none" w:pos="26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Program-specific costs, including:</w:t>
      </w:r>
    </w:p>
    <w:p>
      <w:pPr>
        <w:spacing w:after="0" w:line="87" w:lineRule="exact"/>
        <w:rPr>
          <w:rFonts w:ascii="Arial" w:cs="Arial" w:eastAsia="Arial" w:hAnsi="Arial"/>
          <w:sz w:val="12"/>
          <w:szCs w:val="12"/>
          <w:color w:val="auto"/>
        </w:rPr>
      </w:pPr>
    </w:p>
    <w:p>
      <w:pPr>
        <w:ind w:left="2920" w:right="879" w:hanging="219"/>
        <w:spacing w:after="0" w:line="256" w:lineRule="auto"/>
        <w:tabs>
          <w:tab w:leader="none" w:pos="29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direct third-party costs, which include expenses incurred under agreements with contract research organizations (“CROs”) and contract manufacturing organizations (“CMOs”), the cost of consultants who assist with the development of our product candidates on a program-specific basis, investigator grants, sponsored research, manufacturing costs in connection with producing materials for use in conducting nonclinical and clinical studies, and any other third-party expenses directly attributable to the development of our product candidates; and</w:t>
      </w:r>
    </w:p>
    <w:p>
      <w:pPr>
        <w:spacing w:after="0" w:line="65" w:lineRule="exact"/>
        <w:rPr>
          <w:rFonts w:ascii="Arial" w:cs="Arial" w:eastAsia="Arial" w:hAnsi="Arial"/>
          <w:sz w:val="12"/>
          <w:szCs w:val="12"/>
          <w:color w:val="auto"/>
        </w:rPr>
      </w:pPr>
    </w:p>
    <w:p>
      <w:pPr>
        <w:ind w:left="2920" w:hanging="219"/>
        <w:spacing w:after="0"/>
        <w:tabs>
          <w:tab w:leader="none" w:pos="2920" w:val="left"/>
        </w:tabs>
        <w:numPr>
          <w:ilvl w:val="2"/>
          <w:numId w:val="55"/>
        </w:numPr>
        <w:rPr>
          <w:rFonts w:ascii="Arial" w:cs="Arial" w:eastAsia="Arial" w:hAnsi="Arial"/>
          <w:sz w:val="11"/>
          <w:szCs w:val="11"/>
          <w:color w:val="auto"/>
        </w:rPr>
      </w:pPr>
      <w:r>
        <w:rPr>
          <w:rFonts w:ascii="Arial" w:cs="Arial" w:eastAsia="Arial" w:hAnsi="Arial"/>
          <w:sz w:val="11"/>
          <w:szCs w:val="11"/>
          <w:color w:val="auto"/>
        </w:rPr>
        <w:t>payments made in connection with asset acquisitions and license agreements upon the achievement of development milestones.</w:t>
      </w:r>
    </w:p>
    <w:p>
      <w:pPr>
        <w:spacing w:after="0" w:line="98" w:lineRule="exact"/>
        <w:rPr>
          <w:rFonts w:ascii="Arial" w:cs="Arial" w:eastAsia="Arial" w:hAnsi="Arial"/>
          <w:sz w:val="11"/>
          <w:szCs w:val="11"/>
          <w:color w:val="auto"/>
        </w:rPr>
      </w:pPr>
    </w:p>
    <w:p>
      <w:pPr>
        <w:ind w:left="2620" w:right="1099" w:hanging="288"/>
        <w:spacing w:after="0" w:line="276" w:lineRule="auto"/>
        <w:tabs>
          <w:tab w:leader="none" w:pos="2620" w:val="left"/>
        </w:tabs>
        <w:numPr>
          <w:ilvl w:val="1"/>
          <w:numId w:val="55"/>
        </w:numPr>
        <w:rPr>
          <w:rFonts w:ascii="Arial" w:cs="Arial" w:eastAsia="Arial" w:hAnsi="Arial"/>
          <w:sz w:val="12"/>
          <w:szCs w:val="12"/>
          <w:color w:val="auto"/>
        </w:rPr>
      </w:pPr>
      <w:r>
        <w:rPr>
          <w:rFonts w:ascii="Arial" w:cs="Arial" w:eastAsia="Arial" w:hAnsi="Arial"/>
          <w:sz w:val="12"/>
          <w:szCs w:val="12"/>
          <w:color w:val="auto"/>
        </w:rPr>
        <w:t>Consideration for the purchase of in-process research and development (“IPR&amp;D”) through asset acquisitions and license agreements, including:</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cash upfront payments;</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shares and other liability instruments issued; and</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fair value of future contingent consideration payments.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55"/>
        </w:numPr>
        <w:rPr>
          <w:rFonts w:ascii="Arial" w:cs="Arial" w:eastAsia="Arial" w:hAnsi="Arial"/>
          <w:sz w:val="12"/>
          <w:szCs w:val="12"/>
          <w:color w:val="auto"/>
        </w:rPr>
      </w:pPr>
      <w:r>
        <w:rPr>
          <w:rFonts w:ascii="Arial" w:cs="Arial" w:eastAsia="Arial" w:hAnsi="Arial"/>
          <w:sz w:val="12"/>
          <w:szCs w:val="12"/>
          <w:color w:val="auto"/>
        </w:rPr>
        <w:t>Unallocated internal costs, including: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2"/>
          <w:numId w:val="55"/>
        </w:numPr>
        <w:rPr>
          <w:rFonts w:ascii="Arial" w:cs="Arial" w:eastAsia="Arial" w:hAnsi="Arial"/>
          <w:sz w:val="10"/>
          <w:szCs w:val="10"/>
          <w:color w:val="auto"/>
        </w:rPr>
      </w:pPr>
      <w:r>
        <w:rPr>
          <w:rFonts w:ascii="Arial" w:cs="Arial" w:eastAsia="Arial" w:hAnsi="Arial"/>
          <w:sz w:val="10"/>
          <w:szCs w:val="10"/>
          <w:color w:val="auto"/>
        </w:rPr>
        <w:t>employee-related expenses, such as salaries, share-based compensation, and benefits, for research and development personnel; and</w:t>
      </w:r>
    </w:p>
    <w:p>
      <w:pPr>
        <w:spacing w:after="0" w:line="110" w:lineRule="exact"/>
        <w:rPr>
          <w:rFonts w:ascii="Arial" w:cs="Arial" w:eastAsia="Arial" w:hAnsi="Arial"/>
          <w:sz w:val="10"/>
          <w:szCs w:val="10"/>
          <w:color w:val="auto"/>
        </w:rPr>
      </w:pPr>
    </w:p>
    <w:p>
      <w:pPr>
        <w:ind w:left="2920" w:hanging="219"/>
        <w:spacing w:after="0"/>
        <w:tabs>
          <w:tab w:leader="none" w:pos="29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other expenses, including consulting costs, that are not allocated to a specific program.</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Research and development activities, including asset acquisitions and license agreements, will continue to be central to our business model. We anticipate that our research and development expenses will increase for the foreseeable future as we advance our product candidates through pre-clinical studies and clinical trials, as well as acquire new product candidates. Research and development expenses will also be driven by the number of small molecules from our discovery engine that we advance through preclinical studies and clinical trials. In addition, we expect our research and development expenses to increase in the future, including as a result of our small molecule discovery engine through which we utilize our computational platform for in silico design of novel drug candidates. We expect higher employee-related expenses, including higher share-based compensation expenses, as well as higher consulting costs as we hire additional resources to support increasing development activity.</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duration, costs and timing of pre-clinical studies and clinical trials of our product candidates will depend on a variety of factors that include, but are not limited to, the following:</w:t>
      </w:r>
    </w:p>
    <w:p>
      <w:pPr>
        <w:spacing w:after="0" w:line="52" w:lineRule="exact"/>
        <w:rPr>
          <w:sz w:val="20"/>
          <w:szCs w:val="20"/>
          <w:color w:val="auto"/>
        </w:rPr>
      </w:pPr>
    </w:p>
    <w:p>
      <w:pPr>
        <w:ind w:left="2620" w:right="1399" w:hanging="288"/>
        <w:spacing w:after="0" w:line="276" w:lineRule="auto"/>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scope, rate of progress, expense and results of our preclinical development activities, any future clinical trials of our product candidates, and other research and development activities that we may conduct;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number and scope of preclinical and clinical programs we decide to pursue;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uncertainties in clinical trial design and patient enrollment or drop out or discontinuation rates;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number of doses that patients receive;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countries in which the trials are conducted;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ability to secure and leverage adequate CRO support for the conduct of clinical trials;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72"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our ability to establish an appropriate safety and efficacy profile for our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timing, receipt and terms of any approvals from applicable regulatory authorities;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potential additional safety monitoring or other studies requested by regulatory agencies;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significant and changing government regulation and regulatory guidance;</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impact of any business interruptions to our operations due to the COVID-19 pandemic; and</w:t>
      </w:r>
    </w:p>
    <w:p>
      <w:pPr>
        <w:spacing w:after="0" w:line="87" w:lineRule="exact"/>
        <w:rPr>
          <w:rFonts w:ascii="Arial" w:cs="Arial" w:eastAsia="Arial" w:hAnsi="Arial"/>
          <w:sz w:val="12"/>
          <w:szCs w:val="12"/>
          <w:color w:val="auto"/>
        </w:rPr>
      </w:pPr>
    </w:p>
    <w:p>
      <w:pPr>
        <w:ind w:left="2620" w:right="1399" w:hanging="288"/>
        <w:spacing w:after="0" w:line="276"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our ability to maintain a continued acceptable safety profile of our product candidates following approval, if any, of our product candidates.</w:t>
      </w:r>
    </w:p>
    <w:p>
      <w:pPr>
        <w:spacing w:after="0" w:line="115"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In addition, the probability of success for our product candidates will depend on numerous factors, including competition, manufacturing capability and commercial viability.</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General and administrative expenses consist primarily of employee-related expenses for general and administrative personnel, including those responsible for the identification and acquisition or in-license of new drug candidates as well as for overseeing Vant operations and facilitating the use of our platform and technologies at Vants. General and administrative expenses also consist of legal and accounting fees, consulting services and other operating costs relating to corporate matters and daily operations. General and administrative expenses also include costs incurred relating to the identification, acquisition or in-license and technology transfer of promising drug candidates along with costs incurred relating to the integration of new technologies.</w:t>
      </w:r>
    </w:p>
    <w:p>
      <w:pPr>
        <w:spacing w:after="0" w:line="128"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We anticipate that our general and administrative expenses will increase in the future to support our continued research and development activities, potential commercialization efforts, and increased costs associated with being a public company. These increases will likely include additional costs related to the hiring of new personnel, including higher share-based compensation expenses, and fees to outside consultants, as well as other expenses. As a public company, we anticipate incurring expenses related to maintaining compliance with the rules and regulations promulgated by the SEC, the applicable Nasdaq listing rules and the requirements of the Sarbanes-Oxley Act of 2002, as amended (the “Sarbanes-Oxley Act”). If any of our current or future product candidates receives regulatory approval in the U.S. or another jurisdiction, we expect that we would incur significantly increased expenses associated with building a sales and marketing team.</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Change in fair value of investments</w:t>
      </w:r>
    </w:p>
    <w:p>
      <w:pPr>
        <w:spacing w:after="0" w:line="78" w:lineRule="exact"/>
        <w:rPr>
          <w:sz w:val="20"/>
          <w:szCs w:val="20"/>
          <w:color w:val="auto"/>
        </w:rPr>
      </w:pPr>
    </w:p>
    <w:p>
      <w:pPr>
        <w:ind w:left="1980" w:right="1019" w:firstLine="294"/>
        <w:spacing w:after="0" w:line="379" w:lineRule="auto"/>
        <w:rPr>
          <w:sz w:val="20"/>
          <w:szCs w:val="20"/>
          <w:color w:val="auto"/>
        </w:rPr>
      </w:pPr>
      <w:r>
        <w:rPr>
          <w:rFonts w:ascii="Arial" w:cs="Arial" w:eastAsia="Arial" w:hAnsi="Arial"/>
          <w:sz w:val="10"/>
          <w:szCs w:val="10"/>
          <w:color w:val="auto"/>
        </w:rPr>
        <w:t>Change in fair value of investments includes the unrealized loss (gain) on equity investments in publicly-traded companies, including Sio Gene Therapies Inc. (“Sio”) and Arbutus Biopharma Corporation (“Arbutus”). We have elected the fair value option to account for these investments.</w:t>
      </w:r>
    </w:p>
    <w:p>
      <w:pPr>
        <w:spacing w:after="0" w:line="141"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Change in fair value of debt and liability instruments</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Change in fair value of debt and liability instruments primarily includes the unrealized loss relating to the measurement and recognition of fair value on a recurring basis of certain liabilities, including debt issued by a wholly-owned subsidiary of Dermavant to NovaQuest Co-Investment Fund VIII, L.P. (the “NovaQuest Facility”), and other liability instruments, including options granted to Sumitomo Dainippon Pharma Co., Ltd. (“Sumitomo”) to purchase our ownership interests in certain subsidiaries (the “Sumitomo Options”) before the termination of those options in June 2021.</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72"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Gain on termination of Sumitomo Options</w:t>
      </w:r>
    </w:p>
    <w:p>
      <w:pPr>
        <w:spacing w:after="0" w:line="78"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Gain on termination of Sumitomo Options resulted from the completion of transactions contemplated by an Asset Purchase Agreement entered into with Sumitomo and its subsidiary Sumitomo Pharmaceuticals (Suzhou) Co., Ltd. (“SPC”) in May 2021. The transactions contemplated by the Asset Purchase Agreement closed in June 2021. Pursuant to the Asset Purchase Agreement: (i) Sumitomo terminated all of its existing options to acquire our ownership interest in certain subsidiaries; (ii) we transferred and assigned to SPC all of our intellectual property, development and commercialization rights for (a) lefamulin in Mainland China, Taiwan, Hong Kong, and Macau (collectively “Greater China”), (b) vibegron in Mainland China,</w:t>
      </w:r>
    </w:p>
    <w:p>
      <w:pPr>
        <w:spacing w:after="0" w:line="1" w:lineRule="exact"/>
        <w:rPr>
          <w:sz w:val="20"/>
          <w:szCs w:val="20"/>
          <w:color w:val="auto"/>
        </w:rPr>
      </w:pPr>
    </w:p>
    <w:p>
      <w:pPr>
        <w:jc w:val="both"/>
        <w:ind w:left="1980" w:right="899" w:hanging="8"/>
        <w:spacing w:after="0" w:line="255" w:lineRule="auto"/>
        <w:tabs>
          <w:tab w:leader="none" w:pos="2143" w:val="left"/>
        </w:tabs>
        <w:numPr>
          <w:ilvl w:val="0"/>
          <w:numId w:val="58"/>
        </w:numPr>
        <w:rPr>
          <w:rFonts w:ascii="Arial" w:cs="Arial" w:eastAsia="Arial" w:hAnsi="Arial"/>
          <w:sz w:val="12"/>
          <w:szCs w:val="12"/>
          <w:color w:val="auto"/>
        </w:rPr>
      </w:pPr>
      <w:r>
        <w:rPr>
          <w:rFonts w:ascii="Arial" w:cs="Arial" w:eastAsia="Arial" w:hAnsi="Arial"/>
          <w:sz w:val="12"/>
          <w:szCs w:val="12"/>
          <w:color w:val="auto"/>
        </w:rPr>
        <w:t>rodatristat ethyl in Greater China and South Korea and (d) RVT-802 in Greater China and South Korea; (iii) Sumitomo agreed to pay us $5.0 million in cash; and (iv) Sumitomo entered into an agreement with us to pursue future collaborations with Genevant. The Company received the cash payment, net of certain withholding taxes, in August 2021.</w:t>
      </w:r>
    </w:p>
    <w:p>
      <w:pPr>
        <w:spacing w:after="0" w:line="199"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78" w:lineRule="exact"/>
        <w:rPr>
          <w:sz w:val="20"/>
          <w:szCs w:val="20"/>
          <w:color w:val="auto"/>
        </w:rPr>
      </w:pPr>
    </w:p>
    <w:p>
      <w:pPr>
        <w:ind w:left="1980" w:right="1059" w:firstLine="294"/>
        <w:spacing w:after="0" w:line="379" w:lineRule="auto"/>
        <w:rPr>
          <w:sz w:val="20"/>
          <w:szCs w:val="20"/>
          <w:color w:val="auto"/>
        </w:rPr>
      </w:pPr>
      <w:r>
        <w:rPr>
          <w:rFonts w:ascii="Arial" w:cs="Arial" w:eastAsia="Arial" w:hAnsi="Arial"/>
          <w:sz w:val="10"/>
          <w:szCs w:val="10"/>
          <w:color w:val="auto"/>
        </w:rPr>
        <w:t>Other (income) expense, net consists of losses from our equity method investment, interest income on our cash and cash equivalents, interest expense resulting from interest accrued on long-term debt and the amortization of debt discount and issuance costs, and other miscellaneous income.</w:t>
      </w:r>
    </w:p>
    <w:p>
      <w:pPr>
        <w:spacing w:after="0" w:line="141"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Net loss attributable to noncontrolling interests</w:t>
      </w:r>
    </w:p>
    <w:p>
      <w:pPr>
        <w:spacing w:after="0" w:line="7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72"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Comparison of the three months ended June 30, 2021 and 2020</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results of operations for the three months ended June 30, 2021 and 2020:</w:t>
      </w:r>
    </w:p>
    <w:p>
      <w:pPr>
        <w:spacing w:after="0" w:line="146" w:lineRule="exact"/>
        <w:rPr>
          <w:sz w:val="20"/>
          <w:szCs w:val="20"/>
          <w:color w:val="auto"/>
        </w:rPr>
      </w:pPr>
    </w:p>
    <w:tbl>
      <w:tblPr>
        <w:tblLayout w:type="fixed"/>
        <w:tblInd w:w="2120" w:type="dxa"/>
        <w:tblCellMar>
          <w:top w:w="0" w:type="dxa"/>
          <w:left w:w="0" w:type="dxa"/>
          <w:bottom w:w="0" w:type="dxa"/>
          <w:right w:w="0" w:type="dxa"/>
        </w:tblCellMar>
      </w:tblPr>
      <w:tr>
        <w:trPr>
          <w:trHeight w:val="115"/>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7"/>
          </w:tcPr>
          <w:p>
            <w:pPr>
              <w:ind w:left="180"/>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jc w:val="right"/>
              <w:ind w:right="32"/>
              <w:spacing w:after="0" w:line="114" w:lineRule="exact"/>
              <w:rPr>
                <w:sz w:val="20"/>
                <w:szCs w:val="20"/>
                <w:color w:val="auto"/>
              </w:rPr>
            </w:pPr>
            <w:r>
              <w:rPr>
                <w:rFonts w:ascii="Arial" w:cs="Arial" w:eastAsia="Arial" w:hAnsi="Arial"/>
                <w:sz w:val="10"/>
                <w:szCs w:val="10"/>
                <w:b w:val="1"/>
                <w:bCs w:val="1"/>
                <w:color w:val="auto"/>
                <w:w w:val="84"/>
              </w:rPr>
              <w:t>June 30,</w:t>
            </w: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ind w:right="101"/>
              <w:spacing w:after="0" w:line="97"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jc w:val="right"/>
              <w:ind w:right="82"/>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gridSpan w:val="4"/>
          </w:tcPr>
          <w:p>
            <w:pPr>
              <w:jc w:val="center"/>
              <w:ind w:right="80"/>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7,735</w:t>
            </w:r>
          </w:p>
        </w:tc>
        <w:tc>
          <w:tcPr>
            <w:tcW w:w="4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6,159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Operating expenses: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78,626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58,734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19,892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5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82,754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57,115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38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162,122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116,029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(154,387)</w:t>
            </w: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5"/>
              </w:rPr>
              <w:t>(114,453)</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(39,934)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2"/>
                <w:szCs w:val="12"/>
                <w:color w:val="auto"/>
              </w:rPr>
              <w:t>Change in fair value of investments</w:t>
            </w: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8,619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(41,148)</w:t>
            </w: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49,767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(12,540)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Gain on termination of Sumitomo Options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(66,472)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3"/>
          </w:tcPr>
          <w:p>
            <w:pPr>
              <w:ind w:left="2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(66,472)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Gain on deconsolidation of subsidiary</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(86,516)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86,516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2,842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(2,976)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(100,985)</w:t>
            </w: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(6,756)</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(94,229)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Income tax expense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(101,078)</w:t>
            </w: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(7,977)</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(93,101)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2"/>
                <w:szCs w:val="12"/>
                <w:color w:val="auto"/>
              </w:rPr>
              <w:t>Net loss attributable to noncontrolling interests</w:t>
            </w: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(18,895)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(4,734)</w:t>
            </w:r>
          </w:p>
        </w:tc>
        <w:tc>
          <w:tcPr>
            <w:tcW w:w="10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(14,161)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vMerge w:val="continue"/>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Roivant Sciences Ltd.</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(82,183)</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(3,243)</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(78,940)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38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Variance analysis for three months ended June 30, 2021 and 2020</w:t>
            </w:r>
          </w:p>
        </w:tc>
        <w:tc>
          <w:tcPr>
            <w:tcW w:w="5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Revenue, net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8"/>
              </w:rPr>
              <w:t>Three Months Ended</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4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3"/>
          </w:tcPr>
          <w:p>
            <w:pPr>
              <w:jc w:val="center"/>
              <w:ind w:right="460"/>
              <w:spacing w:after="0" w:line="114" w:lineRule="exact"/>
              <w:rPr>
                <w:sz w:val="20"/>
                <w:szCs w:val="20"/>
                <w:color w:val="auto"/>
              </w:rPr>
            </w:pPr>
            <w:r>
              <w:rPr>
                <w:rFonts w:ascii="Arial" w:cs="Arial" w:eastAsia="Arial" w:hAnsi="Arial"/>
                <w:sz w:val="10"/>
                <w:szCs w:val="10"/>
                <w:b w:val="1"/>
                <w:bCs w:val="1"/>
                <w:color w:val="auto"/>
                <w:w w:val="74"/>
              </w:rPr>
              <w:t>June 30,</w:t>
            </w:r>
          </w:p>
        </w:tc>
        <w:tc>
          <w:tcPr>
            <w:tcW w:w="40" w:type="dxa"/>
            <w:vAlign w:val="bottom"/>
          </w:tcPr>
          <w:p>
            <w:pPr>
              <w:spacing w:after="0"/>
              <w:rPr>
                <w:sz w:val="9"/>
                <w:szCs w:val="9"/>
                <w:color w:val="auto"/>
              </w:rPr>
            </w:pPr>
          </w:p>
        </w:tc>
        <w:tc>
          <w:tcPr>
            <w:tcW w:w="52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2021</w:t>
            </w:r>
          </w:p>
        </w:tc>
        <w:tc>
          <w:tcPr>
            <w:tcW w:w="660" w:type="dxa"/>
            <w:vAlign w:val="bottom"/>
            <w:tcBorders>
              <w:top w:val="single" w:sz="8" w:color="auto"/>
            </w:tcBorders>
            <w:gridSpan w:val="2"/>
          </w:tcPr>
          <w:p>
            <w:pPr>
              <w:jc w:val="right"/>
              <w:ind w:right="100"/>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3"/>
          </w:tcPr>
          <w:p>
            <w:pPr>
              <w:ind w:left="160"/>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$ 7,735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$ 1,576</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$6,159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Revenue, net increased by $6.2 million to $7.7 million for the three months ended June 30, 2021 compared to $1.6 million for the three months ended June 30, 2020, primarily due to the recognition of upfront payments received in connection with license agreements. Revenue generated was not significant in either period presented.</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Cost of revenues</w:t>
      </w:r>
    </w:p>
    <w:p>
      <w:pPr>
        <w:spacing w:after="0" w:line="156" w:lineRule="exact"/>
        <w:rPr>
          <w:sz w:val="20"/>
          <w:szCs w:val="20"/>
          <w:color w:val="auto"/>
        </w:rPr>
      </w:pPr>
    </w:p>
    <w:p>
      <w:pPr>
        <w:jc w:val="center"/>
        <w:ind w:left="3440"/>
        <w:spacing w:after="0"/>
        <w:rPr>
          <w:sz w:val="20"/>
          <w:szCs w:val="20"/>
          <w:color w:val="auto"/>
        </w:rPr>
      </w:pPr>
      <w:r>
        <w:rPr>
          <w:rFonts w:ascii="Arial" w:cs="Arial" w:eastAsia="Arial" w:hAnsi="Arial"/>
          <w:sz w:val="10"/>
          <w:szCs w:val="10"/>
          <w:b w:val="1"/>
          <w:bCs w:val="1"/>
          <w:color w:val="auto"/>
        </w:rPr>
        <w:t>Three Months Ended</w:t>
      </w:r>
    </w:p>
    <w:p>
      <w:pPr>
        <w:jc w:val="center"/>
        <w:ind w:left="3440"/>
        <w:spacing w:after="0" w:line="215" w:lineRule="auto"/>
        <w:rPr>
          <w:sz w:val="20"/>
          <w:szCs w:val="20"/>
          <w:color w:val="auto"/>
        </w:rPr>
      </w:pPr>
      <w:r>
        <w:rPr>
          <w:rFonts w:ascii="Arial" w:cs="Arial" w:eastAsia="Arial" w:hAnsi="Arial"/>
          <w:sz w:val="10"/>
          <w:szCs w:val="10"/>
          <w:b w:val="1"/>
          <w:bCs w:val="1"/>
          <w:color w:val="auto"/>
        </w:rPr>
        <w:t>June 30,</w:t>
      </w:r>
    </w:p>
    <w:tbl>
      <w:tblPr>
        <w:tblLayout w:type="fixed"/>
        <w:tblInd w:w="2560" w:type="dxa"/>
        <w:tblCellMar>
          <w:top w:w="0" w:type="dxa"/>
          <w:left w:w="0" w:type="dxa"/>
          <w:bottom w:w="0" w:type="dxa"/>
          <w:right w:w="0" w:type="dxa"/>
        </w:tblCellMar>
      </w:tblPr>
      <w:tr>
        <w:trPr>
          <w:trHeight w:val="97"/>
        </w:trPr>
        <w:tc>
          <w:tcPr>
            <w:tcW w:w="19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640" w:type="dxa"/>
            <w:vAlign w:val="bottom"/>
            <w:tcBorders>
              <w:top w:val="single" w:sz="8" w:color="auto"/>
            </w:tcBorders>
          </w:tcPr>
          <w:p>
            <w:pPr>
              <w:jc w:val="right"/>
              <w:ind w:right="48"/>
              <w:spacing w:after="0" w:line="97" w:lineRule="exact"/>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8"/>
                <w:szCs w:val="8"/>
                <w:color w:val="auto"/>
              </w:rPr>
            </w:pPr>
          </w:p>
        </w:tc>
        <w:tc>
          <w:tcPr>
            <w:tcW w:w="540" w:type="dxa"/>
            <w:vAlign w:val="bottom"/>
            <w:gridSpan w:val="2"/>
          </w:tcPr>
          <w:p>
            <w:pPr>
              <w:ind w:left="180"/>
              <w:spacing w:after="0" w:line="97" w:lineRule="exact"/>
              <w:rPr>
                <w:sz w:val="20"/>
                <w:szCs w:val="20"/>
                <w:color w:val="auto"/>
              </w:rPr>
            </w:pPr>
            <w:r>
              <w:rPr>
                <w:rFonts w:ascii="Arial" w:cs="Arial" w:eastAsia="Arial" w:hAnsi="Arial"/>
                <w:sz w:val="10"/>
                <w:szCs w:val="10"/>
                <w:b w:val="1"/>
                <w:bCs w:val="1"/>
                <w:color w:val="auto"/>
                <w:w w:val="92"/>
              </w:rPr>
              <w:t>Change</w:t>
            </w:r>
          </w:p>
        </w:tc>
      </w:tr>
      <w:tr>
        <w:trPr>
          <w:trHeight w:val="88"/>
        </w:trPr>
        <w:tc>
          <w:tcPr>
            <w:tcW w:w="19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ind w:left="160"/>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44"/>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84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  742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180</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9"/>
              </w:rPr>
              <w:t>$ 562</w:t>
            </w:r>
          </w:p>
        </w:tc>
        <w:tc>
          <w:tcPr>
            <w:tcW w:w="40" w:type="dxa"/>
            <w:vAlign w:val="bottom"/>
            <w:shd w:val="clear" w:color="auto" w:fill="CCEEFF"/>
          </w:tcPr>
          <w:p>
            <w:pPr>
              <w:spacing w:after="0"/>
              <w:rPr>
                <w:sz w:val="12"/>
                <w:szCs w:val="12"/>
                <w:color w:val="auto"/>
              </w:rPr>
            </w:pPr>
          </w:p>
        </w:tc>
      </w:tr>
      <w:tr>
        <w:trPr>
          <w:trHeight w:val="243"/>
        </w:trPr>
        <w:tc>
          <w:tcPr>
            <w:tcW w:w="1900" w:type="dxa"/>
            <w:vAlign w:val="bottom"/>
          </w:tcPr>
          <w:p>
            <w:pPr>
              <w:spacing w:after="0"/>
              <w:rPr>
                <w:sz w:val="21"/>
                <w:szCs w:val="21"/>
                <w:color w:val="auto"/>
              </w:rPr>
            </w:pPr>
          </w:p>
        </w:tc>
        <w:tc>
          <w:tcPr>
            <w:tcW w:w="2340" w:type="dxa"/>
            <w:vAlign w:val="bottom"/>
          </w:tcPr>
          <w:p>
            <w:pPr>
              <w:jc w:val="right"/>
              <w:ind w:right="1000"/>
              <w:spacing w:after="0"/>
              <w:rPr>
                <w:sz w:val="20"/>
                <w:szCs w:val="20"/>
                <w:color w:val="auto"/>
              </w:rPr>
            </w:pPr>
            <w:r>
              <w:rPr>
                <w:rFonts w:ascii="Arial" w:cs="Arial" w:eastAsia="Arial" w:hAnsi="Arial"/>
                <w:sz w:val="12"/>
                <w:szCs w:val="12"/>
                <w:color w:val="auto"/>
              </w:rPr>
              <w:t>109</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Cost of revenues increased by $0.6 million to $0.7 million for the three months ended June 30, 2021 compared to $0.2 million for the three months ended June 30, 2020. Cost of revenues was not significant in either period presented and reflects primarily the cost of revenues generated by subscription and service-based fees.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For the three months ended June 30, 2021 and 2020, our research and development expenses consisted of the following:</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88"/>
              </w:rPr>
              <w:t>Three Months Ended</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3"/>
          </w:tcPr>
          <w:p>
            <w:pPr>
              <w:jc w:val="center"/>
              <w:ind w:right="620"/>
              <w:spacing w:after="0" w:line="114" w:lineRule="exact"/>
              <w:rPr>
                <w:sz w:val="20"/>
                <w:szCs w:val="20"/>
                <w:color w:val="auto"/>
              </w:rPr>
            </w:pPr>
            <w:r>
              <w:rPr>
                <w:rFonts w:ascii="Arial" w:cs="Arial" w:eastAsia="Arial" w:hAnsi="Arial"/>
                <w:sz w:val="10"/>
                <w:szCs w:val="10"/>
                <w:b w:val="1"/>
                <w:bCs w:val="1"/>
                <w:color w:val="auto"/>
                <w:w w:val="84"/>
              </w:rPr>
              <w:t>June 30,</w:t>
            </w:r>
          </w:p>
        </w:tc>
        <w:tc>
          <w:tcPr>
            <w:tcW w:w="180" w:type="dxa"/>
            <w:vAlign w:val="bottom"/>
          </w:tcPr>
          <w:p>
            <w:pPr>
              <w:spacing w:after="0"/>
              <w:rPr>
                <w:sz w:val="9"/>
                <w:szCs w:val="9"/>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1"/>
              </w:rPr>
              <w:t>Change</w:t>
            </w:r>
          </w:p>
        </w:tc>
        <w:tc>
          <w:tcPr>
            <w:tcW w:w="0" w:type="dxa"/>
            <w:vAlign w:val="bottom"/>
          </w:tcPr>
          <w:p>
            <w:pPr>
              <w:spacing w:after="0"/>
              <w:rPr>
                <w:sz w:val="1"/>
                <w:szCs w:val="1"/>
                <w:color w:val="auto"/>
              </w:rPr>
            </w:pPr>
          </w:p>
        </w:tc>
      </w:tr>
      <w:tr>
        <w:trPr>
          <w:trHeight w:val="97"/>
        </w:trPr>
        <w:tc>
          <w:tcPr>
            <w:tcW w:w="4200" w:type="dxa"/>
            <w:vAlign w:val="bottom"/>
          </w:tcPr>
          <w:p>
            <w:pPr>
              <w:spacing w:after="0"/>
              <w:rPr>
                <w:sz w:val="8"/>
                <w:szCs w:val="8"/>
                <w:color w:val="auto"/>
              </w:rPr>
            </w:pPr>
          </w:p>
        </w:tc>
        <w:tc>
          <w:tcPr>
            <w:tcW w:w="380" w:type="dxa"/>
            <w:vAlign w:val="bottom"/>
            <w:tcBorders>
              <w:top w:val="single" w:sz="8" w:color="auto"/>
            </w:tcBorders>
          </w:tcPr>
          <w:p>
            <w:pPr>
              <w:jc w:val="right"/>
              <w:ind w:right="42"/>
              <w:spacing w:after="0" w:line="97" w:lineRule="exact"/>
              <w:rPr>
                <w:sz w:val="20"/>
                <w:szCs w:val="20"/>
                <w:color w:val="auto"/>
              </w:rPr>
            </w:pPr>
            <w:r>
              <w:rPr>
                <w:rFonts w:ascii="Arial" w:cs="Arial" w:eastAsia="Arial" w:hAnsi="Arial"/>
                <w:sz w:val="10"/>
                <w:szCs w:val="10"/>
                <w:b w:val="1"/>
                <w:bCs w:val="1"/>
                <w:color w:val="auto"/>
              </w:rPr>
              <w:t>2021</w:t>
            </w:r>
          </w:p>
        </w:tc>
        <w:tc>
          <w:tcPr>
            <w:tcW w:w="74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3"/>
          </w:tcPr>
          <w:p>
            <w:pPr>
              <w:ind w:left="260"/>
              <w:spacing w:after="0" w:line="88" w:lineRule="exact"/>
              <w:rPr>
                <w:sz w:val="20"/>
                <w:szCs w:val="20"/>
                <w:color w:val="auto"/>
              </w:rPr>
            </w:pPr>
            <w:r>
              <w:rPr>
                <w:rFonts w:ascii="Arial" w:cs="Arial" w:eastAsia="Arial" w:hAnsi="Arial"/>
                <w:sz w:val="10"/>
                <w:szCs w:val="10"/>
                <w:b w:val="1"/>
                <w:bCs w:val="1"/>
                <w:i w:val="1"/>
                <w:iCs w:val="1"/>
                <w:color w:val="auto"/>
                <w:w w:val="98"/>
              </w:rPr>
              <w:t>(in thousands)</w:t>
            </w:r>
          </w:p>
        </w:tc>
        <w:tc>
          <w:tcPr>
            <w:tcW w:w="1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Program-specific costs:</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40"/>
              <w:spacing w:after="0"/>
              <w:rPr>
                <w:sz w:val="20"/>
                <w:szCs w:val="20"/>
                <w:color w:val="auto"/>
              </w:rPr>
            </w:pPr>
            <w:r>
              <w:rPr>
                <w:rFonts w:ascii="Arial" w:cs="Arial" w:eastAsia="Arial" w:hAnsi="Arial"/>
                <w:sz w:val="12"/>
                <w:szCs w:val="12"/>
                <w:color w:val="auto"/>
              </w:rPr>
              <w:t>IMVT-1401 (Immunovant, Inc.)</w:t>
            </w:r>
          </w:p>
        </w:tc>
        <w:tc>
          <w:tcPr>
            <w:tcW w:w="380" w:type="dxa"/>
            <w:vAlign w:val="bottom"/>
          </w:tcPr>
          <w:p>
            <w:pPr>
              <w:jc w:val="right"/>
              <w:spacing w:after="0"/>
              <w:rPr>
                <w:sz w:val="20"/>
                <w:szCs w:val="20"/>
                <w:color w:val="auto"/>
              </w:rPr>
            </w:pPr>
            <w:r>
              <w:rPr>
                <w:rFonts w:ascii="Arial" w:cs="Arial" w:eastAsia="Arial" w:hAnsi="Arial"/>
                <w:sz w:val="12"/>
                <w:szCs w:val="12"/>
                <w:color w:val="auto"/>
                <w:w w:val="82"/>
              </w:rPr>
              <w:t>$13,688</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$14,393</w:t>
            </w:r>
          </w:p>
        </w:tc>
        <w:tc>
          <w:tcPr>
            <w:tcW w:w="2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0" w:type="dxa"/>
            <w:vAlign w:val="bottom"/>
          </w:tcPr>
          <w:p>
            <w:pPr>
              <w:spacing w:after="0"/>
              <w:rPr>
                <w:sz w:val="1"/>
                <w:szCs w:val="1"/>
                <w:color w:val="auto"/>
              </w:rPr>
            </w:pPr>
          </w:p>
        </w:tc>
      </w:tr>
      <w:tr>
        <w:trPr>
          <w:trHeight w:val="144"/>
        </w:trPr>
        <w:tc>
          <w:tcPr>
            <w:tcW w:w="42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Tapinarof (Dermavant Sciences Ltd.)</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8,414</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40"/>
              <w:spacing w:after="0"/>
              <w:rPr>
                <w:sz w:val="20"/>
                <w:szCs w:val="20"/>
                <w:color w:val="auto"/>
              </w:rPr>
            </w:pPr>
            <w:r>
              <w:rPr>
                <w:rFonts w:ascii="Arial" w:cs="Arial" w:eastAsia="Arial" w:hAnsi="Arial"/>
                <w:sz w:val="12"/>
                <w:szCs w:val="12"/>
                <w:color w:val="auto"/>
              </w:rPr>
              <w:t>ARU-1801 (Aruvant Sciences Ltd.)</w:t>
            </w:r>
          </w:p>
        </w:tc>
        <w:tc>
          <w:tcPr>
            <w:tcW w:w="380" w:type="dxa"/>
            <w:vAlign w:val="bottom"/>
          </w:tcPr>
          <w:p>
            <w:pPr>
              <w:jc w:val="right"/>
              <w:spacing w:after="0"/>
              <w:rPr>
                <w:sz w:val="20"/>
                <w:szCs w:val="20"/>
                <w:color w:val="auto"/>
              </w:rPr>
            </w:pPr>
            <w:r>
              <w:rPr>
                <w:rFonts w:ascii="Arial" w:cs="Arial" w:eastAsia="Arial" w:hAnsi="Arial"/>
                <w:sz w:val="12"/>
                <w:szCs w:val="12"/>
                <w:color w:val="auto"/>
              </w:rPr>
              <w:t>2,389</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3,353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(964)</w:t>
            </w:r>
          </w:p>
        </w:tc>
        <w:tc>
          <w:tcPr>
            <w:tcW w:w="0" w:type="dxa"/>
            <w:vAlign w:val="bottom"/>
          </w:tcPr>
          <w:p>
            <w:pPr>
              <w:spacing w:after="0"/>
              <w:rPr>
                <w:sz w:val="1"/>
                <w:szCs w:val="1"/>
                <w:color w:val="auto"/>
              </w:rPr>
            </w:pPr>
          </w:p>
        </w:tc>
      </w:tr>
      <w:tr>
        <w:trPr>
          <w:trHeight w:val="144"/>
        </w:trPr>
        <w:tc>
          <w:tcPr>
            <w:tcW w:w="42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Gimsilumab (Kinevant Sciences Ltd.)</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12,325</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(10,256)</w:t>
            </w:r>
          </w:p>
        </w:tc>
        <w:tc>
          <w:tcPr>
            <w:tcW w:w="0" w:type="dxa"/>
            <w:vAlign w:val="bottom"/>
          </w:tcPr>
          <w:p>
            <w:pPr>
              <w:spacing w:after="0"/>
              <w:rPr>
                <w:sz w:val="1"/>
                <w:szCs w:val="1"/>
                <w:color w:val="auto"/>
              </w:rPr>
            </w:pPr>
          </w:p>
        </w:tc>
      </w:tr>
      <w:tr>
        <w:trPr>
          <w:trHeight w:val="144"/>
        </w:trPr>
        <w:tc>
          <w:tcPr>
            <w:tcW w:w="4200" w:type="dxa"/>
            <w:vAlign w:val="bottom"/>
          </w:tcPr>
          <w:p>
            <w:pPr>
              <w:ind w:left="240"/>
              <w:spacing w:after="0"/>
              <w:rPr>
                <w:sz w:val="20"/>
                <w:szCs w:val="20"/>
                <w:color w:val="auto"/>
              </w:rPr>
            </w:pPr>
            <w:r>
              <w:rPr>
                <w:rFonts w:ascii="Arial" w:cs="Arial" w:eastAsia="Arial" w:hAnsi="Arial"/>
                <w:sz w:val="12"/>
                <w:szCs w:val="12"/>
                <w:color w:val="auto"/>
              </w:rPr>
              <w:t>Other program-specific costs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20,112</w:t>
            </w: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Total program-specific costs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48,015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47,582</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20"/>
                <w:szCs w:val="20"/>
                <w:color w:val="auto"/>
              </w:rPr>
            </w:pPr>
            <w:r>
              <w:rPr>
                <w:rFonts w:ascii="Arial" w:cs="Arial" w:eastAsia="Arial" w:hAnsi="Arial"/>
                <w:sz w:val="12"/>
                <w:szCs w:val="12"/>
                <w:color w:val="auto"/>
              </w:rPr>
              <w:t>Unallocated internal costs:</w:t>
            </w: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1,119</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40"/>
              <w:spacing w:after="0"/>
              <w:rPr>
                <w:sz w:val="20"/>
                <w:szCs w:val="20"/>
                <w:color w:val="auto"/>
              </w:rPr>
            </w:pPr>
            <w:r>
              <w:rPr>
                <w:rFonts w:ascii="Arial" w:cs="Arial" w:eastAsia="Arial" w:hAnsi="Arial"/>
                <w:sz w:val="12"/>
                <w:szCs w:val="12"/>
                <w:color w:val="auto"/>
              </w:rPr>
              <w:t>Personnel-related expenses</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22,092</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8,767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13,325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Other expenses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6,904</w:t>
            </w:r>
          </w:p>
        </w:tc>
        <w:tc>
          <w:tcPr>
            <w:tcW w:w="3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1,266</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research and development expenses</w:t>
            </w:r>
          </w:p>
        </w:tc>
        <w:tc>
          <w:tcPr>
            <w:tcW w:w="380" w:type="dxa"/>
            <w:vAlign w:val="bottom"/>
          </w:tcPr>
          <w:p>
            <w:pPr>
              <w:jc w:val="right"/>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78,626</w:t>
            </w:r>
          </w:p>
        </w:tc>
        <w:tc>
          <w:tcPr>
            <w:tcW w:w="74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58,734</w:t>
            </w:r>
          </w:p>
        </w:tc>
        <w:tc>
          <w:tcPr>
            <w:tcW w:w="2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19,892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Research and development expenses increased by $19.9 million to $78.6 million for the three months ended June 30, 2021 compared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$58.7 million for the three months ended June 30, 2020, primarily due to an increase of $13.3 million in personnel-related expenses. This increase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personnel-related expenses is partially driven by additional headcount to support drug discovery efforts using our computational discovery technology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targeted protein degradation platform, following the acquisition of Silicon Therapeutics (“SiTX”) in March 2021 and Oncopia Therapeutics, Inc.</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(“Oncopia”) in November 2020. Additionally, program-specific costs for Dermavant’s tapinarof program increased by $1.3 million and other program-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specific costs increased by $11.0 million, partially offset by a decrease of $10.3 million for Kinevant Sciences Ltd.’s (“Kinevant”) gimsilumab program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a result of higher costs during the three months ended June 30, 2020 related to our study in COVID-19 Associated ARDS.</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8"/>
              </w:rPr>
              <w:t>Three Months Ended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4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June 30,</w:t>
            </w:r>
          </w:p>
        </w:tc>
        <w:tc>
          <w:tcPr>
            <w:tcW w:w="5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97"/>
        </w:trPr>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Borders>
              <w:top w:val="single" w:sz="8" w:color="auto"/>
            </w:tcBorders>
          </w:tcPr>
          <w:p>
            <w:pPr>
              <w:jc w:val="right"/>
              <w:ind w:right="152"/>
              <w:spacing w:after="0" w:line="97"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tcBorders>
          </w:tcPr>
          <w:p>
            <w:pPr>
              <w:jc w:val="right"/>
              <w:ind w:right="48"/>
              <w:spacing w:after="0" w:line="97"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10"/>
                <w:szCs w:val="10"/>
                <w:b w:val="1"/>
                <w:bCs w:val="1"/>
                <w:i w:val="1"/>
                <w:iCs w:val="1"/>
                <w:color w:val="auto"/>
                <w:w w:val="92"/>
              </w:rPr>
              <w:t>(in thousands)</w:t>
            </w: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202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$82,754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$57,115</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$ 25,639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General and administrative expenses increased by $25.6 million to $82.8 million for the three months ended June 30, 2021 compared to</w:t>
      </w:r>
    </w:p>
    <w:p>
      <w:pPr>
        <w:spacing w:after="0" w:line="26"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$57.1 million for the three months ended June 30, 2020. The increase was primarily due to increases in professional and transaction fees of $8.3 million, in part as a result of increased business activity as we prepare to operate as a public company, personnel-related expenses of $6.7 million and share-based compensation expense of $4.5 million.</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72"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Change in fair value of investments</w:t>
      </w:r>
    </w:p>
    <w:p>
      <w:pPr>
        <w:spacing w:after="0" w:line="156" w:lineRule="exact"/>
        <w:rPr>
          <w:sz w:val="20"/>
          <w:szCs w:val="20"/>
          <w:color w:val="auto"/>
        </w:rPr>
      </w:pPr>
    </w:p>
    <w:p>
      <w:pPr>
        <w:jc w:val="center"/>
        <w:ind w:left="3600"/>
        <w:spacing w:after="0"/>
        <w:rPr>
          <w:sz w:val="20"/>
          <w:szCs w:val="20"/>
          <w:color w:val="auto"/>
        </w:rPr>
      </w:pPr>
      <w:r>
        <w:rPr>
          <w:rFonts w:ascii="Arial" w:cs="Arial" w:eastAsia="Arial" w:hAnsi="Arial"/>
          <w:sz w:val="10"/>
          <w:szCs w:val="10"/>
          <w:b w:val="1"/>
          <w:bCs w:val="1"/>
          <w:color w:val="auto"/>
        </w:rPr>
        <w:t>Three Months Ended</w:t>
      </w:r>
    </w:p>
    <w:p>
      <w:pPr>
        <w:jc w:val="center"/>
        <w:ind w:left="3600"/>
        <w:spacing w:after="0" w:line="215" w:lineRule="auto"/>
        <w:rPr>
          <w:sz w:val="20"/>
          <w:szCs w:val="20"/>
          <w:color w:val="auto"/>
        </w:rPr>
      </w:pPr>
      <w:r>
        <w:rPr>
          <w:rFonts w:ascii="Arial" w:cs="Arial" w:eastAsia="Arial" w:hAnsi="Arial"/>
          <w:sz w:val="10"/>
          <w:szCs w:val="10"/>
          <w:b w:val="1"/>
          <w:bCs w:val="1"/>
          <w:color w:val="auto"/>
        </w:rPr>
        <w:t>June 30,</w:t>
      </w:r>
    </w:p>
    <w:tbl>
      <w:tblPr>
        <w:tblLayout w:type="fixed"/>
        <w:tblInd w:w="2560" w:type="dxa"/>
        <w:tblCellMar>
          <w:top w:w="0" w:type="dxa"/>
          <w:left w:w="0" w:type="dxa"/>
          <w:bottom w:w="0" w:type="dxa"/>
          <w:right w:w="0" w:type="dxa"/>
        </w:tblCellMar>
      </w:tblPr>
      <w:tr>
        <w:trPr>
          <w:trHeight w:val="97"/>
        </w:trPr>
        <w:tc>
          <w:tcPr>
            <w:tcW w:w="3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w w:val="98"/>
              </w:rPr>
              <w:t>2021</w:t>
            </w:r>
          </w:p>
        </w:tc>
        <w:tc>
          <w:tcPr>
            <w:tcW w:w="580" w:type="dxa"/>
            <w:vAlign w:val="bottom"/>
            <w:tcBorders>
              <w:top w:val="single" w:sz="8" w:color="auto"/>
            </w:tcBorders>
          </w:tcPr>
          <w:p>
            <w:pPr>
              <w:jc w:val="right"/>
              <w:ind w:right="68"/>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540" w:type="dxa"/>
            <w:vAlign w:val="bottom"/>
            <w:gridSpan w:val="2"/>
          </w:tcPr>
          <w:p>
            <w:pPr>
              <w:jc w:val="center"/>
              <w:spacing w:after="0" w:line="97" w:lineRule="exact"/>
              <w:rPr>
                <w:sz w:val="20"/>
                <w:szCs w:val="20"/>
                <w:color w:val="auto"/>
              </w:rPr>
            </w:pPr>
            <w:r>
              <w:rPr>
                <w:rFonts w:ascii="Arial" w:cs="Arial" w:eastAsia="Arial" w:hAnsi="Arial"/>
                <w:sz w:val="10"/>
                <w:szCs w:val="10"/>
                <w:b w:val="1"/>
                <w:bCs w:val="1"/>
                <w:color w:val="auto"/>
                <w:w w:val="81"/>
              </w:rPr>
              <w:t>Change</w:t>
            </w:r>
          </w:p>
        </w:tc>
      </w:tr>
      <w:tr>
        <w:trPr>
          <w:trHeight w:val="88"/>
        </w:trPr>
        <w:tc>
          <w:tcPr>
            <w:tcW w:w="3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100"/>
              <w:spacing w:after="0" w:line="88" w:lineRule="exact"/>
              <w:rPr>
                <w:sz w:val="20"/>
                <w:szCs w:val="20"/>
                <w:color w:val="auto"/>
              </w:rPr>
            </w:pPr>
            <w:r>
              <w:rPr>
                <w:rFonts w:ascii="Arial" w:cs="Arial" w:eastAsia="Arial" w:hAnsi="Arial"/>
                <w:sz w:val="10"/>
                <w:szCs w:val="10"/>
                <w:b w:val="1"/>
                <w:bCs w:val="1"/>
                <w:i w:val="1"/>
                <w:iCs w:val="1"/>
                <w:color w:val="auto"/>
                <w:w w:val="98"/>
              </w:rPr>
              <w:t>(in thousands)</w:t>
            </w: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44"/>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investments</w:t>
            </w:r>
          </w:p>
        </w:tc>
        <w:tc>
          <w:tcPr>
            <w:tcW w:w="18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$8,619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$(41,148)</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$49,767</w:t>
            </w:r>
          </w:p>
        </w:tc>
        <w:tc>
          <w:tcPr>
            <w:tcW w:w="40" w:type="dxa"/>
            <w:vAlign w:val="bottom"/>
            <w:shd w:val="clear" w:color="auto" w:fill="CCEEFF"/>
          </w:tcPr>
          <w:p>
            <w:pPr>
              <w:spacing w:after="0"/>
              <w:rPr>
                <w:sz w:val="12"/>
                <w:szCs w:val="12"/>
                <w:color w:val="auto"/>
              </w:rPr>
            </w:pPr>
          </w:p>
        </w:tc>
      </w:tr>
    </w:tbl>
    <w:p>
      <w:pPr>
        <w:spacing w:after="0" w:line="135" w:lineRule="exact"/>
        <w:rPr>
          <w:sz w:val="20"/>
          <w:szCs w:val="20"/>
          <w:color w:val="auto"/>
        </w:rPr>
      </w:pPr>
    </w:p>
    <w:p>
      <w:pPr>
        <w:ind w:left="1980" w:right="1199" w:firstLine="294"/>
        <w:spacing w:after="0" w:line="379" w:lineRule="auto"/>
        <w:rPr>
          <w:sz w:val="20"/>
          <w:szCs w:val="20"/>
          <w:color w:val="auto"/>
        </w:rPr>
      </w:pPr>
      <w:r>
        <w:rPr>
          <w:rFonts w:ascii="Arial" w:cs="Arial" w:eastAsia="Arial" w:hAnsi="Arial"/>
          <w:sz w:val="10"/>
          <w:szCs w:val="10"/>
          <w:color w:val="auto"/>
        </w:rPr>
        <w:t>Change in fair value of investments was an unrealized loss of $8.6 million and unrealized gain of $41.1 million for the three months ended June 30, 2021 and 2020, respectively. The change of $49.8 million was primarily driven by changes in the public share prices of Arbutus and Sio.</w:t>
      </w:r>
    </w:p>
    <w:p>
      <w:pPr>
        <w:spacing w:after="0" w:line="141"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Change in fair value of debt and liability instruments</w:t>
      </w:r>
    </w:p>
    <w:p>
      <w:pPr>
        <w:spacing w:after="0" w:line="156" w:lineRule="exact"/>
        <w:rPr>
          <w:sz w:val="20"/>
          <w:szCs w:val="20"/>
          <w:color w:val="auto"/>
        </w:rPr>
      </w:pPr>
    </w:p>
    <w:p>
      <w:pPr>
        <w:jc w:val="center"/>
        <w:ind w:left="3560"/>
        <w:spacing w:after="0"/>
        <w:rPr>
          <w:sz w:val="20"/>
          <w:szCs w:val="20"/>
          <w:color w:val="auto"/>
        </w:rPr>
      </w:pPr>
      <w:r>
        <w:rPr>
          <w:rFonts w:ascii="Arial" w:cs="Arial" w:eastAsia="Arial" w:hAnsi="Arial"/>
          <w:sz w:val="10"/>
          <w:szCs w:val="10"/>
          <w:b w:val="1"/>
          <w:bCs w:val="1"/>
          <w:color w:val="auto"/>
        </w:rPr>
        <w:t>Three Months Ended</w:t>
      </w:r>
    </w:p>
    <w:p>
      <w:pPr>
        <w:jc w:val="center"/>
        <w:ind w:left="3560"/>
        <w:spacing w:after="0" w:line="236" w:lineRule="auto"/>
        <w:rPr>
          <w:sz w:val="20"/>
          <w:szCs w:val="20"/>
          <w:color w:val="auto"/>
        </w:rPr>
      </w:pPr>
      <w:r>
        <w:rPr>
          <w:rFonts w:ascii="Arial" w:cs="Arial" w:eastAsia="Arial" w:hAnsi="Arial"/>
          <w:sz w:val="10"/>
          <w:szCs w:val="1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-5715</wp:posOffset>
            </wp:positionV>
            <wp:extent cx="6400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ind w:left="7000"/>
        <w:spacing w:after="0"/>
        <w:tabs>
          <w:tab w:leader="none" w:pos="7620" w:val="left"/>
          <w:tab w:leader="none" w:pos="826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r>
        <w:rPr>
          <w:sz w:val="20"/>
          <w:szCs w:val="20"/>
          <w:color w:val="auto"/>
        </w:rPr>
        <w:tab/>
      </w:r>
      <w:r>
        <w:rPr>
          <w:rFonts w:ascii="Arial" w:cs="Arial" w:eastAsia="Arial" w:hAnsi="Arial"/>
          <w:sz w:val="8"/>
          <w:szCs w:val="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-1905</wp:posOffset>
            </wp:positionV>
            <wp:extent cx="10972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ind w:left="7500"/>
        <w:spacing w:after="0" w:line="216" w:lineRule="auto"/>
        <w:rPr>
          <w:sz w:val="20"/>
          <w:szCs w:val="20"/>
          <w:color w:val="auto"/>
        </w:rPr>
      </w:pPr>
      <w:r>
        <w:rPr>
          <w:rFonts w:ascii="Arial" w:cs="Arial" w:eastAsia="Arial" w:hAnsi="Arial"/>
          <w:sz w:val="10"/>
          <w:szCs w:val="10"/>
          <w:b w:val="1"/>
          <w:bCs w:val="1"/>
          <w:i w:val="1"/>
          <w:iCs w:val="1"/>
          <w:color w:val="auto"/>
        </w:rPr>
        <w:t>(in thousands)</w:t>
      </w:r>
    </w:p>
    <w:p>
      <w:pPr>
        <w:spacing w:after="0" w:line="6" w:lineRule="exact"/>
        <w:rPr>
          <w:sz w:val="20"/>
          <w:szCs w:val="20"/>
          <w:color w:val="auto"/>
        </w:rPr>
      </w:pPr>
    </w:p>
    <w:tbl>
      <w:tblPr>
        <w:tblLayout w:type="fixed"/>
        <w:tblInd w:w="2560" w:type="dxa"/>
        <w:tblCellMar>
          <w:top w:w="0" w:type="dxa"/>
          <w:left w:w="0" w:type="dxa"/>
          <w:bottom w:w="0" w:type="dxa"/>
          <w:right w:w="0" w:type="dxa"/>
        </w:tblCellMar>
      </w:tblPr>
      <w:tr>
        <w:trPr>
          <w:trHeight w:val="13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1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$4,585</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$17,125</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$(12,540)</w:t>
            </w:r>
          </w:p>
        </w:tc>
      </w:tr>
    </w:tbl>
    <w:p>
      <w:pPr>
        <w:spacing w:after="0" w:line="13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Change in fair value of debt and liability instruments was an unrealized loss of $4.6 million and $17.1 million for the three months ended June 30, 2021 and 2020, respectively. Change in fair value of debt and liability instruments for the three months ended June 30, 2021 primarily consisted of an unrealized loss of $5.1 million relating to the NovaQuest facility, which was largely due to the passage of time. Change in fair value of debt and liability instruments for the three months ended June 30, 2020 primarily consisted of an unrealized loss of $17.9 million relating to the NovaQuest Facility, which was largely due to a decrease in the discount rate.</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Gain on termination of Sumitomo Options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6"/>
              </w:rPr>
              <w:t>Three Months Ended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2"/>
          </w:tcPr>
          <w:p>
            <w:pPr>
              <w:jc w:val="center"/>
              <w:ind w:right="40"/>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Gain on termination of Sumitomo Options</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 (66,472)</w:t>
            </w: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9"/>
              </w:rPr>
              <w:t>$ —</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$(66,472)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Gain on termination of Sumitomo Options was $66.5 million for the three months ended June 30, 2021 due to the completion of transactions contemplated by the Asset Purchase Agreement entered into with Sumitomo and SPC. See “Components of Results of Operations-Gain on termination of Sumitomo Options” above for additional information.</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Gain on deconsolidation of subsidiary</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88"/>
              </w:rPr>
              <w:t>Three Months Ended</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center"/>
              <w:ind w:right="520"/>
              <w:spacing w:after="0" w:line="114" w:lineRule="exact"/>
              <w:rPr>
                <w:sz w:val="20"/>
                <w:szCs w:val="20"/>
                <w:color w:val="auto"/>
              </w:rPr>
            </w:pPr>
            <w:r>
              <w:rPr>
                <w:rFonts w:ascii="Arial" w:cs="Arial" w:eastAsia="Arial" w:hAnsi="Arial"/>
                <w:sz w:val="10"/>
                <w:szCs w:val="10"/>
                <w:b w:val="1"/>
                <w:bCs w:val="1"/>
                <w:color w:val="auto"/>
                <w:w w:val="84"/>
              </w:rPr>
              <w:t>June 30,</w:t>
            </w:r>
          </w:p>
        </w:tc>
        <w:tc>
          <w:tcPr>
            <w:tcW w:w="5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1"/>
              </w:rPr>
              <w:t>Change</w:t>
            </w:r>
          </w:p>
        </w:tc>
        <w:tc>
          <w:tcPr>
            <w:tcW w:w="0" w:type="dxa"/>
            <w:vAlign w:val="bottom"/>
          </w:tcPr>
          <w:p>
            <w:pPr>
              <w:spacing w:after="0"/>
              <w:rPr>
                <w:sz w:val="1"/>
                <w:szCs w:val="1"/>
                <w:color w:val="auto"/>
              </w:rPr>
            </w:pPr>
          </w:p>
        </w:tc>
      </w:tr>
      <w:tr>
        <w:trPr>
          <w:trHeight w:val="97"/>
        </w:trPr>
        <w:tc>
          <w:tcPr>
            <w:tcW w:w="3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Borders>
              <w:top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w w:val="89"/>
              </w:rPr>
              <w:t>2021</w:t>
            </w:r>
          </w:p>
        </w:tc>
        <w:tc>
          <w:tcPr>
            <w:tcW w:w="760" w:type="dxa"/>
            <w:vAlign w:val="bottom"/>
            <w:tcBorders>
              <w:top w:val="single" w:sz="8" w:color="auto"/>
            </w:tcBorders>
          </w:tcPr>
          <w:p>
            <w:pPr>
              <w:jc w:val="right"/>
              <w:ind w:right="109"/>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right"/>
              <w:ind w:right="100"/>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Gain on deconsolidation of subsidiary</w:t>
            </w:r>
          </w:p>
        </w:tc>
        <w:tc>
          <w:tcPr>
            <w:tcW w:w="15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 —</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 (86,516)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Gain on deconsolidation of subsidiary was $86.5 million for the three months ended June 30, 2020 related to a gain of $86.5 million on the deconsolidation of Datavant in April 2020.</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72"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8"/>
              </w:rPr>
              <w:t>Three Months Ended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June 30,</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0" w:type="dxa"/>
            <w:vAlign w:val="bottom"/>
            <w:tcBorders>
              <w:top w:val="single" w:sz="8" w:color="auto"/>
            </w:tcBorders>
          </w:tcPr>
          <w:p>
            <w:pPr>
              <w:jc w:val="right"/>
              <w:ind w:right="152"/>
              <w:spacing w:after="0" w:line="97"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tcBorders>
          </w:tcPr>
          <w:p>
            <w:pPr>
              <w:jc w:val="right"/>
              <w:ind w:right="48"/>
              <w:spacing w:after="0" w:line="97"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10"/>
                <w:szCs w:val="10"/>
                <w:b w:val="1"/>
                <w:bCs w:val="1"/>
                <w:i w:val="1"/>
                <w:iCs w:val="1"/>
                <w:color w:val="auto"/>
                <w:w w:val="92"/>
              </w:rPr>
              <w:t>(in thousands)</w:t>
            </w: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198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 (134)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$ 2,842</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Other (income) expense, net consisted of $0.1 million of other income, net and $2.8 million of other expense, net for the three months ended June 30, 2021 and 2020, respectively. The change in other (income) expense, net was primarily driven by losses from our equity method investment in Genevant of $3.8 million incurred through June 2020 until we consolidated Genevant, partially offset by higher interest expense of $1.7 million for the three months ended June 30, 2021 as compared to the three months ended June 30, 2020.</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56" w:lineRule="exact"/>
        <w:rPr>
          <w:sz w:val="20"/>
          <w:szCs w:val="20"/>
          <w:color w:val="auto"/>
        </w:rPr>
      </w:pPr>
    </w:p>
    <w:p>
      <w:pPr>
        <w:jc w:val="center"/>
        <w:ind w:left="3520"/>
        <w:spacing w:after="0"/>
        <w:rPr>
          <w:sz w:val="20"/>
          <w:szCs w:val="20"/>
          <w:color w:val="auto"/>
        </w:rPr>
      </w:pPr>
      <w:r>
        <w:rPr>
          <w:rFonts w:ascii="Arial" w:cs="Arial" w:eastAsia="Arial" w:hAnsi="Arial"/>
          <w:sz w:val="10"/>
          <w:szCs w:val="10"/>
          <w:b w:val="1"/>
          <w:bCs w:val="1"/>
          <w:color w:val="auto"/>
        </w:rPr>
        <w:t>Three Months Ended</w:t>
      </w:r>
    </w:p>
    <w:p>
      <w:pPr>
        <w:jc w:val="center"/>
        <w:ind w:left="3520"/>
        <w:spacing w:after="0" w:line="215" w:lineRule="auto"/>
        <w:rPr>
          <w:sz w:val="20"/>
          <w:szCs w:val="20"/>
          <w:color w:val="auto"/>
        </w:rPr>
      </w:pPr>
      <w:r>
        <w:rPr>
          <w:rFonts w:ascii="Arial" w:cs="Arial" w:eastAsia="Arial" w:hAnsi="Arial"/>
          <w:sz w:val="10"/>
          <w:szCs w:val="10"/>
          <w:b w:val="1"/>
          <w:bCs w:val="1"/>
          <w:color w:val="auto"/>
        </w:rPr>
        <w:t>June 30,</w:t>
      </w:r>
    </w:p>
    <w:tbl>
      <w:tblPr>
        <w:tblLayout w:type="fixed"/>
        <w:tblInd w:w="2560" w:type="dxa"/>
        <w:tblCellMar>
          <w:top w:w="0" w:type="dxa"/>
          <w:left w:w="0" w:type="dxa"/>
          <w:bottom w:w="0" w:type="dxa"/>
          <w:right w:w="0" w:type="dxa"/>
        </w:tblCellMar>
      </w:tblPr>
      <w:tr>
        <w:trPr>
          <w:trHeight w:val="97"/>
        </w:trPr>
        <w:tc>
          <w:tcPr>
            <w:tcW w:w="2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Borders>
              <w:top w:val="single" w:sz="8" w:color="auto"/>
            </w:tcBorders>
          </w:tcPr>
          <w:p>
            <w:pPr>
              <w:jc w:val="right"/>
              <w:ind w:right="152"/>
              <w:spacing w:after="0" w:line="97" w:lineRule="exact"/>
              <w:rPr>
                <w:sz w:val="20"/>
                <w:szCs w:val="20"/>
                <w:color w:val="auto"/>
              </w:rPr>
            </w:pPr>
            <w:r>
              <w:rPr>
                <w:rFonts w:ascii="Arial" w:cs="Arial" w:eastAsia="Arial" w:hAnsi="Arial"/>
                <w:sz w:val="10"/>
                <w:szCs w:val="10"/>
                <w:b w:val="1"/>
                <w:bCs w:val="1"/>
                <w:color w:val="auto"/>
                <w:w w:val="98"/>
              </w:rPr>
              <w:t>2021</w:t>
            </w:r>
          </w:p>
        </w:tc>
        <w:tc>
          <w:tcPr>
            <w:tcW w:w="640" w:type="dxa"/>
            <w:vAlign w:val="bottom"/>
            <w:tcBorders>
              <w:top w:val="single" w:sz="8" w:color="auto"/>
            </w:tcBorders>
          </w:tcPr>
          <w:p>
            <w:pPr>
              <w:jc w:val="right"/>
              <w:ind w:right="88"/>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580" w:type="dxa"/>
            <w:vAlign w:val="bottom"/>
            <w:gridSpan w:val="2"/>
          </w:tcPr>
          <w:p>
            <w:pPr>
              <w:jc w:val="right"/>
              <w:ind w:right="120"/>
              <w:spacing w:after="0" w:line="97" w:lineRule="exact"/>
              <w:rPr>
                <w:sz w:val="20"/>
                <w:szCs w:val="20"/>
                <w:color w:val="auto"/>
              </w:rPr>
            </w:pPr>
            <w:r>
              <w:rPr>
                <w:rFonts w:ascii="Arial" w:cs="Arial" w:eastAsia="Arial" w:hAnsi="Arial"/>
                <w:sz w:val="10"/>
                <w:szCs w:val="10"/>
                <w:b w:val="1"/>
                <w:bCs w:val="1"/>
                <w:color w:val="auto"/>
              </w:rPr>
              <w:t>Change</w:t>
            </w:r>
          </w:p>
        </w:tc>
      </w:tr>
      <w:tr>
        <w:trPr>
          <w:trHeight w:val="88"/>
        </w:trPr>
        <w:tc>
          <w:tcPr>
            <w:tcW w:w="26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ind w:left="180"/>
              <w:spacing w:after="0" w:line="88" w:lineRule="exact"/>
              <w:rPr>
                <w:sz w:val="20"/>
                <w:szCs w:val="20"/>
                <w:color w:val="auto"/>
              </w:rPr>
            </w:pPr>
            <w:r>
              <w:rPr>
                <w:rFonts w:ascii="Arial" w:cs="Arial" w:eastAsia="Arial" w:hAnsi="Arial"/>
                <w:sz w:val="10"/>
                <w:szCs w:val="10"/>
                <w:b w:val="1"/>
                <w:bCs w:val="1"/>
                <w:i w:val="1"/>
                <w:iCs w:val="1"/>
                <w:color w:val="auto"/>
                <w:w w:val="95"/>
              </w:rPr>
              <w:t>(in thousands)</w:t>
            </w: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120" w:type="dxa"/>
            <w:vAlign w:val="bottom"/>
            <w:gridSpan w:val="2"/>
            <w:shd w:val="clear" w:color="auto" w:fill="CCEEFF"/>
          </w:tcPr>
          <w:p>
            <w:pPr>
              <w:jc w:val="right"/>
              <w:ind w:right="132"/>
              <w:spacing w:after="0"/>
              <w:rPr>
                <w:sz w:val="20"/>
                <w:szCs w:val="20"/>
                <w:color w:val="auto"/>
              </w:rPr>
            </w:pPr>
            <w:r>
              <w:rPr>
                <w:rFonts w:ascii="Arial" w:cs="Arial" w:eastAsia="Arial" w:hAnsi="Arial"/>
                <w:sz w:val="12"/>
                <w:szCs w:val="12"/>
                <w:color w:val="auto"/>
              </w:rPr>
              <w:t>$  93</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1,221</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$(1,128)</w:t>
            </w:r>
          </w:p>
        </w:tc>
      </w:tr>
    </w:tbl>
    <w:p>
      <w:pPr>
        <w:spacing w:after="0" w:line="13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Income tax expense decreased by $1.1 million to $93 thousand for the three months ended June 30, 2021, compared to $1.2 million for the three months ended June 30, 2020. Income tax expense was not significant in either period presented and reflects the income tax expense computed in jurisdictions in which we operate.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72"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spacing w:after="0"/>
        <w:rPr>
          <w:sz w:val="20"/>
          <w:szCs w:val="20"/>
          <w:color w:val="auto"/>
        </w:rPr>
      </w:pPr>
      <w:r>
        <w:rPr>
          <w:rFonts w:ascii="Arial" w:cs="Arial" w:eastAsia="Arial" w:hAnsi="Arial"/>
          <w:sz w:val="12"/>
          <w:szCs w:val="12"/>
          <w:b w:val="1"/>
          <w:bCs w:val="1"/>
          <w:color w:val="auto"/>
        </w:rPr>
        <w:t>Comparison of the years ended March 31, 2021 and 2020</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results of operations for the years ended March 31, 2021 and 2020:</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0" w:type="dxa"/>
            <w:vAlign w:val="bottom"/>
            <w:gridSpan w:val="7"/>
          </w:tcPr>
          <w:p>
            <w:pPr>
              <w:ind w:left="220"/>
              <w:spacing w:after="0"/>
              <w:rPr>
                <w:sz w:val="20"/>
                <w:szCs w:val="20"/>
                <w:color w:val="auto"/>
              </w:rPr>
            </w:pPr>
            <w:r>
              <w:rPr>
                <w:rFonts w:ascii="Arial" w:cs="Arial" w:eastAsia="Arial" w:hAnsi="Arial"/>
                <w:sz w:val="10"/>
                <w:szCs w:val="10"/>
                <w:b w:val="1"/>
                <w:bCs w:val="1"/>
                <w:color w:val="auto"/>
              </w:rPr>
              <w:t>Years Ended March 31,</w:t>
            </w:r>
          </w:p>
        </w:tc>
        <w:tc>
          <w:tcPr>
            <w:tcW w:w="4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top w:val="single" w:sz="8" w:color="auto"/>
            </w:tcBorders>
          </w:tcPr>
          <w:p>
            <w:pPr>
              <w:jc w:val="right"/>
              <w:ind w:right="141"/>
              <w:spacing w:after="0" w:line="97" w:lineRule="exact"/>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22"/>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3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4"/>
          </w:tcPr>
          <w:p>
            <w:pPr>
              <w:ind w:left="20"/>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23,795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   (43,894)</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Operating expenses:</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2,057</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832,758</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263,217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569,541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259,878</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335,766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(75,888)</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2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4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1,094,693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600,114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494,579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272"/>
              <w:spacing w:after="0"/>
              <w:rPr>
                <w:sz w:val="20"/>
                <w:szCs w:val="20"/>
                <w:color w:val="auto"/>
              </w:rPr>
            </w:pPr>
            <w:r>
              <w:rPr>
                <w:rFonts w:ascii="Arial" w:cs="Arial" w:eastAsia="Arial" w:hAnsi="Arial"/>
                <w:sz w:val="12"/>
                <w:szCs w:val="12"/>
                <w:color w:val="auto"/>
                <w:w w:val="87"/>
              </w:rPr>
              <w:t>(1,070,898)</w:t>
            </w: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(532,425)</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(538,473)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300"/>
              <w:spacing w:after="0"/>
              <w:rPr>
                <w:sz w:val="20"/>
                <w:szCs w:val="20"/>
                <w:color w:val="auto"/>
              </w:rPr>
            </w:pPr>
            <w:r>
              <w:rPr>
                <w:rFonts w:ascii="Arial" w:cs="Arial" w:eastAsia="Arial" w:hAnsi="Arial"/>
                <w:sz w:val="12"/>
                <w:szCs w:val="12"/>
                <w:color w:val="auto"/>
              </w:rPr>
              <w:t>Change in fair value of investments</w:t>
            </w: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(95,533)</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136,005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(231,538)</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29,845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(13,722)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43,567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20" w:type="dxa"/>
            <w:vAlign w:val="bottom"/>
          </w:tcPr>
          <w:p>
            <w:pPr>
              <w:spacing w:after="0" w:line="135" w:lineRule="exact"/>
              <w:rPr>
                <w:sz w:val="20"/>
                <w:szCs w:val="20"/>
                <w:color w:val="auto"/>
              </w:rPr>
            </w:pPr>
            <w:r>
              <w:rPr>
                <w:rFonts w:ascii="Arial" w:cs="Arial" w:eastAsia="Arial" w:hAnsi="Arial"/>
                <w:sz w:val="12"/>
                <w:szCs w:val="12"/>
                <w:color w:val="auto"/>
              </w:rPr>
              <w:t>Gain on deconsolidation of subsidiary and consolidation of</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unconsolidated entity</w:t>
            </w:r>
          </w:p>
        </w:tc>
        <w:tc>
          <w:tcPr>
            <w:tcW w:w="460" w:type="dxa"/>
            <w:vAlign w:val="bottom"/>
          </w:tcPr>
          <w:p>
            <w:pPr>
              <w:spacing w:after="0"/>
              <w:rPr>
                <w:sz w:val="13"/>
                <w:szCs w:val="13"/>
                <w:color w:val="auto"/>
              </w:rPr>
            </w:pP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(115,364)</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(107,344)</w:t>
            </w:r>
          </w:p>
        </w:tc>
        <w:tc>
          <w:tcPr>
            <w:tcW w:w="10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(8,020)</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8,701</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(4,921)</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300"/>
              <w:spacing w:after="0"/>
              <w:rPr>
                <w:sz w:val="20"/>
                <w:szCs w:val="20"/>
                <w:color w:val="auto"/>
              </w:rPr>
            </w:pPr>
            <w:r>
              <w:rPr>
                <w:rFonts w:ascii="Arial" w:cs="Arial" w:eastAsia="Arial" w:hAnsi="Arial"/>
                <w:sz w:val="12"/>
                <w:szCs w:val="12"/>
                <w:color w:val="auto"/>
              </w:rPr>
              <w:t>Loss from continuing operations before income taxes</w:t>
            </w: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(898,547)</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(560,986)</w:t>
            </w: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(337,561)</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(5,438)</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300"/>
              <w:spacing w:after="0"/>
              <w:rPr>
                <w:sz w:val="20"/>
                <w:szCs w:val="20"/>
                <w:color w:val="auto"/>
              </w:rPr>
            </w:pPr>
            <w:r>
              <w:rPr>
                <w:rFonts w:ascii="Arial" w:cs="Arial" w:eastAsia="Arial" w:hAnsi="Arial"/>
                <w:sz w:val="12"/>
                <w:szCs w:val="12"/>
                <w:color w:val="auto"/>
              </w:rPr>
              <w:t>Loss from continuing operations, net of tax</w:t>
            </w: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(900,233)</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(568,110)</w:t>
            </w: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(332,123)</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Income from discontinued operations, net of tax</w:t>
            </w:r>
          </w:p>
        </w:tc>
        <w:tc>
          <w:tcPr>
            <w:tcW w:w="4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1,578,426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(1,578,426)</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300"/>
              <w:spacing w:after="0"/>
              <w:rPr>
                <w:sz w:val="20"/>
                <w:szCs w:val="20"/>
                <w:color w:val="auto"/>
              </w:rPr>
            </w:pPr>
            <w:r>
              <w:rPr>
                <w:rFonts w:ascii="Arial" w:cs="Arial" w:eastAsia="Arial" w:hAnsi="Arial"/>
                <w:sz w:val="12"/>
                <w:szCs w:val="12"/>
                <w:color w:val="auto"/>
              </w:rPr>
              <w:t>Net (loss) income</w:t>
            </w: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(900,233)</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2"/>
              </w:rPr>
              <w:t>1,010,316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(1,910,549)</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vMerge w:val="continue"/>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interests</w:t>
            </w:r>
          </w:p>
        </w:tc>
        <w:tc>
          <w:tcPr>
            <w:tcW w:w="4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272"/>
              <w:spacing w:after="0"/>
              <w:rPr>
                <w:sz w:val="20"/>
                <w:szCs w:val="20"/>
                <w:color w:val="auto"/>
              </w:rPr>
            </w:pPr>
            <w:r>
              <w:rPr>
                <w:rFonts w:ascii="Arial" w:cs="Arial" w:eastAsia="Arial" w:hAnsi="Arial"/>
                <w:sz w:val="12"/>
                <w:szCs w:val="12"/>
                <w:color w:val="auto"/>
              </w:rPr>
              <w:t>(90,999)</w:t>
            </w: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(190,193)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99,194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300"/>
              <w:spacing w:after="0"/>
              <w:rPr>
                <w:sz w:val="20"/>
                <w:szCs w:val="20"/>
                <w:color w:val="auto"/>
              </w:rPr>
            </w:pPr>
            <w:r>
              <w:rPr>
                <w:rFonts w:ascii="Arial" w:cs="Arial" w:eastAsia="Arial" w:hAnsi="Arial"/>
                <w:sz w:val="12"/>
                <w:szCs w:val="12"/>
                <w:color w:val="auto"/>
              </w:rPr>
              <w:t>Net (loss) income attributable to Roivant Sciences Ltd.</w:t>
            </w: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20" w:type="dxa"/>
            <w:vAlign w:val="bottom"/>
            <w:gridSpan w:val="2"/>
            <w:vMerge w:val="continue"/>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72"/>
              <w:spacing w:after="0"/>
              <w:rPr>
                <w:sz w:val="20"/>
                <w:szCs w:val="20"/>
                <w:color w:val="auto"/>
              </w:rPr>
            </w:pPr>
            <w:r>
              <w:rPr>
                <w:rFonts w:ascii="Arial" w:cs="Arial" w:eastAsia="Arial" w:hAnsi="Arial"/>
                <w:sz w:val="12"/>
                <w:szCs w:val="12"/>
                <w:color w:val="auto"/>
              </w:rPr>
              <w:t>(809,234)</w:t>
            </w:r>
          </w:p>
        </w:tc>
        <w:tc>
          <w:tcPr>
            <w:tcW w:w="120" w:type="dxa"/>
            <w:vAlign w:val="bottom"/>
          </w:tcPr>
          <w:p>
            <w:pPr>
              <w:ind w:left="20"/>
              <w:spacing w:after="0"/>
              <w:rPr>
                <w:sz w:val="20"/>
                <w:szCs w:val="20"/>
                <w:color w:val="auto"/>
              </w:rPr>
            </w:pPr>
            <w:r>
              <w:rPr>
                <w:rFonts w:ascii="Arial" w:cs="Arial" w:eastAsia="Arial" w:hAnsi="Arial"/>
                <w:sz w:val="12"/>
                <w:szCs w:val="12"/>
                <w:u w:val="single" w:color="auto"/>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2"/>
              </w:rPr>
              <w:t>1,200,509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w w:val="93"/>
              </w:rPr>
              <w:t>$</w:t>
            </w:r>
            <w:r>
              <w:rPr>
                <w:rFonts w:ascii="Arial" w:cs="Arial" w:eastAsia="Arial" w:hAnsi="Arial"/>
                <w:sz w:val="12"/>
                <w:szCs w:val="12"/>
                <w:color w:val="auto"/>
                <w:w w:val="93"/>
              </w:rPr>
              <w:t>(2,009,743)</w:t>
            </w:r>
          </w:p>
        </w:tc>
        <w:tc>
          <w:tcPr>
            <w:tcW w:w="0" w:type="dxa"/>
            <w:vAlign w:val="bottom"/>
          </w:tcPr>
          <w:p>
            <w:pPr>
              <w:spacing w:after="0"/>
              <w:rPr>
                <w:sz w:val="1"/>
                <w:szCs w:val="1"/>
                <w:color w:val="auto"/>
              </w:rPr>
            </w:pPr>
          </w:p>
        </w:tc>
      </w:tr>
      <w:tr>
        <w:trPr>
          <w:trHeight w:val="369"/>
        </w:trPr>
        <w:tc>
          <w:tcPr>
            <w:tcW w:w="3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Variance analysis for years ended March 31, 2021 and 2020</w:t>
            </w:r>
          </w:p>
        </w:tc>
        <w:tc>
          <w:tcPr>
            <w:tcW w:w="4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Revenue, net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5"/>
          </w:tcPr>
          <w:p>
            <w:pPr>
              <w:ind w:left="80"/>
              <w:spacing w:after="0"/>
              <w:rPr>
                <w:sz w:val="20"/>
                <w:szCs w:val="20"/>
                <w:color w:val="auto"/>
              </w:rPr>
            </w:pPr>
            <w:r>
              <w:rPr>
                <w:rFonts w:ascii="Arial" w:cs="Arial" w:eastAsia="Arial" w:hAnsi="Arial"/>
                <w:sz w:val="10"/>
                <w:szCs w:val="10"/>
                <w:b w:val="1"/>
                <w:bCs w:val="1"/>
                <w:color w:val="auto"/>
              </w:rPr>
              <w:t>Years Ended March 31,</w:t>
            </w:r>
          </w:p>
        </w:tc>
        <w:tc>
          <w:tcPr>
            <w:tcW w:w="40" w:type="dxa"/>
            <w:vAlign w:val="bottom"/>
          </w:tcPr>
          <w:p>
            <w:pPr>
              <w:spacing w:after="0"/>
              <w:rPr>
                <w:sz w:val="23"/>
                <w:szCs w:val="2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3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right"/>
              <w:ind w:right="120"/>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3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3"/>
          </w:tcPr>
          <w:p>
            <w:pPr>
              <w:ind w:left="200"/>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Revenue, net</w:t>
            </w:r>
          </w:p>
        </w:tc>
        <w:tc>
          <w:tcPr>
            <w:tcW w:w="46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rPr>
              <w:t>$ 23,795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$ 67,689</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$(43,894)</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Revenue, net decreased by $43.9 million to $23.8 million for the year ended March 31, 2021 compared to $67.7 million for the year ended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March 31, 2020. The decrease was primarily driven by a nonrefundable, upfront payment of $60.0 million received by Dermavant during the year ended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March 31, 2020 from Japan Tobacco Inc., parent company of Torii Pharmaceutical Co., Ltd., for the exclusive rights to develop, register, and market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tapinarof in Japan, partially offset by $19.8 million of revenue generated by Genevant during the year ended March 31, 2021 following consolidation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July 2020. Revenue generated by subscription and service-based fees was not significant in either period presented.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72"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Cost of revenues</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0"/>
                <w:szCs w:val="10"/>
                <w:b w:val="1"/>
                <w:bCs w:val="1"/>
                <w:color w:val="auto"/>
              </w:rPr>
              <w:t>Years Ended March 31,</w:t>
            </w:r>
          </w:p>
        </w:tc>
        <w:tc>
          <w:tcPr>
            <w:tcW w:w="5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2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660" w:type="dxa"/>
            <w:vAlign w:val="bottom"/>
            <w:tcBorders>
              <w:top w:val="single" w:sz="8" w:color="auto"/>
            </w:tcBorders>
          </w:tcPr>
          <w:p>
            <w:pPr>
              <w:jc w:val="right"/>
              <w:ind w:right="68"/>
              <w:spacing w:after="0" w:line="97"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26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  2,057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1,131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9"/>
              </w:rPr>
              <w:t>$ 926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Cost of revenues increased by $0.9 million to $2.1 million for the year ended March 31, 2021 compared to $1.1 million for the year ended March 31, 2020. Cost of revenues was not significant in either period presented and reflects cost of revenues generated by subscription and service-based fees.</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For the years ended March 31, 2021 and 2020, our research and development expenses consisted of the following:</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4"/>
          </w:tcPr>
          <w:p>
            <w:pPr>
              <w:ind w:left="80"/>
              <w:spacing w:after="0"/>
              <w:rPr>
                <w:sz w:val="20"/>
                <w:szCs w:val="20"/>
                <w:color w:val="auto"/>
              </w:rPr>
            </w:pPr>
            <w:r>
              <w:rPr>
                <w:rFonts w:ascii="Arial" w:cs="Arial" w:eastAsia="Arial" w:hAnsi="Arial"/>
                <w:sz w:val="10"/>
                <w:szCs w:val="10"/>
                <w:b w:val="1"/>
                <w:bCs w:val="1"/>
                <w:color w:val="auto"/>
              </w:rPr>
              <w:t>Years Ended March 31,</w:t>
            </w:r>
          </w:p>
        </w:tc>
        <w:tc>
          <w:tcPr>
            <w:tcW w:w="2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1"/>
              </w:rPr>
              <w:t>Change</w:t>
            </w:r>
          </w:p>
        </w:tc>
        <w:tc>
          <w:tcPr>
            <w:tcW w:w="0" w:type="dxa"/>
            <w:vAlign w:val="bottom"/>
          </w:tcPr>
          <w:p>
            <w:pPr>
              <w:spacing w:after="0"/>
              <w:rPr>
                <w:sz w:val="1"/>
                <w:szCs w:val="1"/>
                <w:color w:val="auto"/>
              </w:rPr>
            </w:pPr>
          </w:p>
        </w:tc>
      </w:tr>
      <w:tr>
        <w:trPr>
          <w:trHeight w:val="97"/>
        </w:trPr>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top w:val="single" w:sz="8" w:color="auto"/>
            </w:tcBorders>
          </w:tcPr>
          <w:p>
            <w:pPr>
              <w:jc w:val="right"/>
              <w:ind w:right="82"/>
              <w:spacing w:after="0" w:line="97"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81"/>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3"/>
          </w:tcPr>
          <w:p>
            <w:pPr>
              <w:ind w:left="280"/>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Program-specific costs:</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IMVT-1401 (Immunovant, Inc.)</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49,236</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39,230</w:t>
            </w: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Tapinarof (Dermavant Sciences Ltd.)</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34,002</w:t>
            </w: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69,394</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(35,392)</w:t>
            </w:r>
          </w:p>
        </w:tc>
        <w:tc>
          <w:tcPr>
            <w:tcW w:w="0" w:type="dxa"/>
            <w:vAlign w:val="bottom"/>
          </w:tcPr>
          <w:p>
            <w:pPr>
              <w:spacing w:after="0"/>
              <w:rPr>
                <w:sz w:val="1"/>
                <w:szCs w:val="1"/>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ARU-1801 (Aruvant Sciences Ltd.)</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24,347</w:t>
            </w:r>
          </w:p>
        </w:tc>
        <w:tc>
          <w:tcPr>
            <w:tcW w:w="4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11,064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13,283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Gimsilumab (Kinevant Sciences Ltd.)</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21,969</w:t>
            </w: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7,288</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RVT-1601 (Respivant Sciences Ltd.)</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6,784</w:t>
            </w:r>
          </w:p>
        </w:tc>
        <w:tc>
          <w:tcPr>
            <w:tcW w:w="4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16,935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(10,151)</w:t>
            </w: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AXO-LENTI-PD (Sio Gene Therapies, Inc.)</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21,219</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(21,219)</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Other program-specific costs</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29,790</w:t>
            </w:r>
          </w:p>
        </w:tc>
        <w:tc>
          <w:tcPr>
            <w:tcW w:w="4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32,402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(2,612)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Total program-specific costs</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166,128</w:t>
            </w: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197,532</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(31,404)</w:t>
            </w:r>
          </w:p>
        </w:tc>
        <w:tc>
          <w:tcPr>
            <w:tcW w:w="0" w:type="dxa"/>
            <w:vAlign w:val="bottom"/>
          </w:tcPr>
          <w:p>
            <w:pPr>
              <w:spacing w:after="0"/>
              <w:rPr>
                <w:sz w:val="1"/>
                <w:szCs w:val="1"/>
                <w:color w:val="auto"/>
              </w:rPr>
            </w:pPr>
          </w:p>
        </w:tc>
      </w:tr>
      <w:tr>
        <w:trPr>
          <w:trHeight w:val="133"/>
        </w:trPr>
        <w:tc>
          <w:tcPr>
            <w:tcW w:w="3760" w:type="dxa"/>
            <w:vAlign w:val="bottom"/>
          </w:tcPr>
          <w:p>
            <w:pPr>
              <w:spacing w:after="0" w:line="133" w:lineRule="exact"/>
              <w:rPr>
                <w:sz w:val="20"/>
                <w:szCs w:val="20"/>
                <w:color w:val="auto"/>
              </w:rPr>
            </w:pPr>
            <w:r>
              <w:rPr>
                <w:rFonts w:ascii="Arial" w:cs="Arial" w:eastAsia="Arial" w:hAnsi="Arial"/>
                <w:sz w:val="12"/>
                <w:szCs w:val="12"/>
                <w:color w:val="auto"/>
                <w:w w:val="97"/>
              </w:rPr>
              <w:t>Consideration for the purchase of IPR&amp;D through asset acquisitions and</w:t>
            </w:r>
          </w:p>
        </w:tc>
        <w:tc>
          <w:tcPr>
            <w:tcW w:w="3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120"/>
              <w:spacing w:after="0"/>
              <w:rPr>
                <w:sz w:val="20"/>
                <w:szCs w:val="20"/>
                <w:color w:val="auto"/>
              </w:rPr>
            </w:pPr>
            <w:r>
              <w:rPr>
                <w:rFonts w:ascii="Arial" w:cs="Arial" w:eastAsia="Arial" w:hAnsi="Arial"/>
                <w:sz w:val="12"/>
                <w:szCs w:val="12"/>
                <w:color w:val="auto"/>
              </w:rPr>
              <w:t>license agreements</w:t>
            </w: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591,916</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10,250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581,666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Unallocated internal costs:</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Share-based compensation</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22,637</w:t>
            </w:r>
          </w:p>
        </w:tc>
        <w:tc>
          <w:tcPr>
            <w:tcW w:w="4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7,738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14,899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Personnel-related expenses</w:t>
            </w:r>
          </w:p>
        </w:tc>
        <w:tc>
          <w:tcPr>
            <w:tcW w:w="3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45,646</w:t>
            </w:r>
          </w:p>
        </w:tc>
        <w:tc>
          <w:tcPr>
            <w:tcW w:w="4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33,865</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Other expenses</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6,431</w:t>
            </w:r>
          </w:p>
        </w:tc>
        <w:tc>
          <w:tcPr>
            <w:tcW w:w="4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13,832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(7,401)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research and development expenses</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832,758</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263,217</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569,541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Research and development expenses increased by $569.5 million to $832.8 million for the year ended March 31, 2021 compared to $263.2 million for the year ended March 31, 2020 primarily due to an increase of $581.7 million in consideration for the purchase of IPR&amp;D through asset acquisitions and license agreements, partially offset by a decrease in program-specific costs of $31.4 million.</w:t>
      </w:r>
    </w:p>
    <w:p>
      <w:pPr>
        <w:spacing w:after="0" w:line="122"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increase of $581.7 million in consideration for the purchase of IPR&amp;D was primarily due to multiple asset acquisitions and license agreements entered into during the year ended March 31, 2021, including consideration of $399.6 million attributed to IPR&amp;D relating to the acquisition of the business of SiTX; consideration of $116.5 million relating to the stock purchase agreement to acquire Oncopia; $41.4 million attributed to IPR&amp;D as part of the consolidation of Genevant, which was previously accounted for as an equity method investment; and consideration relating to the licensing and strategic collaboration agreement with Affimed N.V. (“Affimed”), pursuant to which Affimed received consideration that included $40.0 million in upfront cash and pre-paid research and development funding and $20.0 million of our Common Shares. During the year ended March 31, 2020, we made a one-time upfront payment of $10.0 million related to our multi-program license and collaboration agreement with Medigene AG.</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72"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The decrease of $31.4 million in program-specific costs was mainly due to a decrease of $35.4 million relating to Dermavant’s tapinarof program primarily as a result of the completion of two pivotal Phase 3 clinical trials, PSOARING 1 AND PSOARING 2, and a one-time milestone payment of C$30.0 million (approximately $23 million) made upon the achievement of a development milestone during the year ended March 31, 2020; decrease of $21.2 million relating to Sio’s AXO-LENTI-PD program as a result of the deconsolidation of Sio in February 2020; and decrease of $10.2 million for Respivant Sciences Ltd.’s (“Respivant”) RVT-1601 program as a result of its termination. These decreases were partially offset by increases of</w:t>
      </w:r>
    </w:p>
    <w:p>
      <w:pPr>
        <w:spacing w:after="0" w:line="2"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$14.7 million for Kinevant’s gimsilumab program, including $3.0 million resulting from the achievement of development milestones, $13.3 million for Aruvant’s ARU-1801 program, and $10.0 million for Immunovant’s IMVT-1401 program. These increases in program-specific costs were primarily due to increases in clinical development costs.</w:t>
      </w:r>
    </w:p>
    <w:p>
      <w:pPr>
        <w:spacing w:after="0" w:line="199"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gridSpan w:val="3"/>
          </w:tcPr>
          <w:p>
            <w:pPr>
              <w:ind w:left="120"/>
              <w:spacing w:after="0"/>
              <w:rPr>
                <w:sz w:val="20"/>
                <w:szCs w:val="20"/>
                <w:color w:val="auto"/>
              </w:rPr>
            </w:pPr>
            <w:r>
              <w:rPr>
                <w:rFonts w:ascii="Arial" w:cs="Arial" w:eastAsia="Arial" w:hAnsi="Arial"/>
                <w:sz w:val="10"/>
                <w:szCs w:val="10"/>
                <w:b w:val="1"/>
                <w:bCs w:val="1"/>
                <w:color w:val="auto"/>
              </w:rPr>
              <w:t>Years Ended March 31,</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Borders>
              <w:top w:val="single" w:sz="8" w:color="auto"/>
            </w:tcBorders>
          </w:tcPr>
          <w:p>
            <w:pPr>
              <w:jc w:val="right"/>
              <w:ind w:right="192"/>
              <w:spacing w:after="0" w:line="97" w:lineRule="exact"/>
              <w:rPr>
                <w:sz w:val="20"/>
                <w:szCs w:val="20"/>
                <w:color w:val="auto"/>
              </w:rPr>
            </w:pPr>
            <w:r>
              <w:rPr>
                <w:rFonts w:ascii="Arial" w:cs="Arial" w:eastAsia="Arial" w:hAnsi="Arial"/>
                <w:sz w:val="10"/>
                <w:szCs w:val="10"/>
                <w:b w:val="1"/>
                <w:bCs w:val="1"/>
                <w:color w:val="auto"/>
              </w:rPr>
              <w:t>2021</w:t>
            </w:r>
          </w:p>
        </w:tc>
        <w:tc>
          <w:tcPr>
            <w:tcW w:w="640" w:type="dxa"/>
            <w:vAlign w:val="bottom"/>
            <w:tcBorders>
              <w:top w:val="single" w:sz="8" w:color="auto"/>
            </w:tcBorders>
          </w:tcPr>
          <w:p>
            <w:pPr>
              <w:jc w:val="right"/>
              <w:ind w:right="88"/>
              <w:spacing w:after="0" w:line="97"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10"/>
                <w:szCs w:val="10"/>
                <w:b w:val="1"/>
                <w:bCs w:val="1"/>
                <w:i w:val="1"/>
                <w:iCs w:val="1"/>
                <w:color w:val="auto"/>
                <w:w w:val="98"/>
              </w:rPr>
              <w:t>(in thousands)</w:t>
            </w: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200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$259,878</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$335,766</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$(75,888)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General and administrative expenses decreased by $75.9 million to $259.9 million for the year ended March 31, 2021 compared to $335.8 million for the year ended March 31, 2020. The decrease was primarily due to decreases in personnel-related expenses of $38.5 million and professional and transaction fees of $27.9 million. The decrease in personnel-related expenses is partially driven by the deconsolidation of Sio in February 2020 and Datavant in April 2020.</w:t>
      </w:r>
    </w:p>
    <w:p>
      <w:pPr>
        <w:spacing w:after="0" w:line="196"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Change in fair value of investments</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0" w:type="dxa"/>
            <w:vAlign w:val="bottom"/>
            <w:gridSpan w:val="3"/>
          </w:tcPr>
          <w:p>
            <w:pPr>
              <w:ind w:left="140"/>
              <w:spacing w:after="0"/>
              <w:rPr>
                <w:sz w:val="20"/>
                <w:szCs w:val="20"/>
                <w:color w:val="auto"/>
              </w:rPr>
            </w:pPr>
            <w:r>
              <w:rPr>
                <w:rFonts w:ascii="Arial" w:cs="Arial" w:eastAsia="Arial" w:hAnsi="Arial"/>
                <w:sz w:val="10"/>
                <w:szCs w:val="10"/>
                <w:b w:val="1"/>
                <w:bCs w:val="1"/>
                <w:color w:val="auto"/>
              </w:rPr>
              <w:t>Years Ended March 31,</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Borders>
              <w:top w:val="single" w:sz="8" w:color="auto"/>
            </w:tcBorders>
          </w:tcPr>
          <w:p>
            <w:pPr>
              <w:ind w:left="140"/>
              <w:spacing w:after="0" w:line="97" w:lineRule="exact"/>
              <w:rPr>
                <w:sz w:val="20"/>
                <w:szCs w:val="20"/>
                <w:color w:val="auto"/>
              </w:rPr>
            </w:pPr>
            <w:r>
              <w:rPr>
                <w:rFonts w:ascii="Arial" w:cs="Arial" w:eastAsia="Arial" w:hAnsi="Arial"/>
                <w:sz w:val="10"/>
                <w:szCs w:val="10"/>
                <w:b w:val="1"/>
                <w:bCs w:val="1"/>
                <w:color w:val="auto"/>
              </w:rPr>
              <w:t>2021</w:t>
            </w:r>
          </w:p>
        </w:tc>
        <w:tc>
          <w:tcPr>
            <w:tcW w:w="620" w:type="dxa"/>
            <w:vAlign w:val="bottom"/>
            <w:tcBorders>
              <w:top w:val="single" w:sz="8" w:color="auto"/>
            </w:tcBorders>
          </w:tcPr>
          <w:p>
            <w:pPr>
              <w:jc w:val="right"/>
              <w:ind w:right="88"/>
              <w:spacing w:after="0" w:line="97"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ind w:left="120"/>
              <w:spacing w:after="0" w:line="88" w:lineRule="exact"/>
              <w:rPr>
                <w:sz w:val="20"/>
                <w:szCs w:val="20"/>
                <w:color w:val="auto"/>
              </w:rPr>
            </w:pPr>
            <w:r>
              <w:rPr>
                <w:rFonts w:ascii="Arial" w:cs="Arial" w:eastAsia="Arial" w:hAnsi="Arial"/>
                <w:sz w:val="10"/>
                <w:szCs w:val="10"/>
                <w:b w:val="1"/>
                <w:bCs w:val="1"/>
                <w:i w:val="1"/>
                <w:iCs w:val="1"/>
                <w:color w:val="auto"/>
                <w:w w:val="95"/>
              </w:rPr>
              <w:t>(in thousands)</w:t>
            </w: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investments</w:t>
            </w:r>
          </w:p>
        </w:tc>
        <w:tc>
          <w:tcPr>
            <w:tcW w:w="18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$(95,533)</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$136,005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$(231,538)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Change in fair value of investments was an unrealized gain of $95.5 million and unrealized loss of $136.0 million for the years ended March 31, 2021 and 2020, respectively. The change of $231.5 million was primarily driven by changes in the share prices of Arbutus and Sio.</w:t>
      </w:r>
    </w:p>
    <w:p>
      <w:pPr>
        <w:spacing w:after="0" w:line="164"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Change in fair value of debt and liability instruments</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0"/>
                <w:szCs w:val="10"/>
                <w:b w:val="1"/>
                <w:bCs w:val="1"/>
                <w:color w:val="auto"/>
              </w:rPr>
              <w:t>Years Ended March 31,</w:t>
            </w:r>
          </w:p>
        </w:tc>
        <w:tc>
          <w:tcPr>
            <w:tcW w:w="560" w:type="dxa"/>
            <w:vAlign w:val="bottom"/>
            <w:gridSpan w:val="2"/>
            <w:vMerge w:val="restart"/>
          </w:tcPr>
          <w:p>
            <w:pPr>
              <w:jc w:val="center"/>
              <w:ind w:left="6"/>
              <w:spacing w:after="0"/>
              <w:rPr>
                <w:sz w:val="20"/>
                <w:szCs w:val="20"/>
                <w:color w:val="auto"/>
              </w:rPr>
            </w:pPr>
            <w:r>
              <w:rPr>
                <w:rFonts w:ascii="Arial" w:cs="Arial" w:eastAsia="Arial" w:hAnsi="Arial"/>
                <w:sz w:val="10"/>
                <w:szCs w:val="10"/>
                <w:b w:val="1"/>
                <w:bCs w:val="1"/>
                <w:color w:val="auto"/>
                <w:w w:val="81"/>
              </w:rPr>
              <w:t>Change</w:t>
            </w:r>
          </w:p>
        </w:tc>
        <w:tc>
          <w:tcPr>
            <w:tcW w:w="0" w:type="dxa"/>
            <w:vAlign w:val="bottom"/>
          </w:tcPr>
          <w:p>
            <w:pPr>
              <w:spacing w:after="0"/>
              <w:rPr>
                <w:sz w:val="1"/>
                <w:szCs w:val="1"/>
                <w:color w:val="auto"/>
              </w:rPr>
            </w:pPr>
          </w:p>
        </w:tc>
      </w:tr>
      <w:tr>
        <w:trPr>
          <w:trHeight w:val="97"/>
        </w:trPr>
        <w:tc>
          <w:tcPr>
            <w:tcW w:w="3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top w:val="single" w:sz="8" w:color="auto"/>
            </w:tcBorders>
          </w:tcPr>
          <w:p>
            <w:pPr>
              <w:jc w:val="right"/>
              <w:ind w:right="68"/>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i w:val="1"/>
                <w:iCs w:val="1"/>
                <w:color w:val="auto"/>
                <w:w w:val="81"/>
              </w:rPr>
              <w:t>(in thousands)</w:t>
            </w: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14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$29,845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$(13,722)</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Change in fair value of debt and liability instruments was an unrealized loss of $29.8 million and unrealized gain of $13.7 million for the years ended March 31, 2021 and 2020, respectively. Change in fair value of debt and liability instruments for the year ended March 31, 2021 primarily consisted of an unrealized loss of $61.0 million relating to the NovaQuest Facility, partially offset by an unrealized gain of $33.5 million relating to the Sumitomo Options. Change in fair value of debt and liability instruments for the year ended March 31, 2020 primarily consisted of an unrealized gain of $9.9 million relating to the NovaQuest Facility and an unrealized gain of $3.2 million relating to the Sumitomo Options. Changes in the fair value of the NovaQuest Facility primarily resulted from updates to the estimated timing of amounts payable to NovaQuest and discount rates.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72"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Gain on deconsolidation of subsidiary and consolidation of unconsolidated entity</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Years Ended March 31,</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jc w:val="right"/>
              <w:ind w:right="232"/>
              <w:spacing w:after="0" w:line="97" w:lineRule="exact"/>
              <w:rPr>
                <w:sz w:val="20"/>
                <w:szCs w:val="20"/>
                <w:color w:val="auto"/>
              </w:rPr>
            </w:pPr>
            <w:r>
              <w:rPr>
                <w:rFonts w:ascii="Arial" w:cs="Arial" w:eastAsia="Arial" w:hAnsi="Arial"/>
                <w:sz w:val="10"/>
                <w:szCs w:val="10"/>
                <w:b w:val="1"/>
                <w:bCs w:val="1"/>
                <w:color w:val="auto"/>
              </w:rPr>
              <w:t>2021</w:t>
            </w:r>
          </w:p>
        </w:tc>
        <w:tc>
          <w:tcPr>
            <w:tcW w:w="680" w:type="dxa"/>
            <w:vAlign w:val="bottom"/>
            <w:tcBorders>
              <w:top w:val="single" w:sz="8" w:color="auto"/>
            </w:tcBorders>
          </w:tcPr>
          <w:p>
            <w:pPr>
              <w:jc w:val="right"/>
              <w:ind w:right="88"/>
              <w:spacing w:after="0" w:line="97"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2"/>
              </w:rPr>
              <w:t>(in thousands)</w:t>
            </w: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Gain on deconsolidation of subsidiary and consolidation of unconsolidated</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entity</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$(115,364)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$(107,344)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$(8,020)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Gain on deconsolidation of subsidiary and consolidation of unconsolidated entity was $115.4 million and $107.3 million for the years ended March 31, 2021 and 2020, respectively. Gain on deconsolidation of subsidiary and consolidation of unconsolidated entity for the year ended March 31, 2021 primarily related to a gain of $86.5 million on the deconsolidation of Datavant in April 2020 and a gain of $28.8 million resulting from the remeasurement of our previously held interest in Genevant upon its consolidation in July 2020. Gain on deconsolidation of subsidiary was $107.3 million for the year ended March 31, 2020 due to the deconsolidation Sio in February 2020.</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Other expense, net</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00" w:type="dxa"/>
            <w:vAlign w:val="bottom"/>
            <w:gridSpan w:val="3"/>
          </w:tcPr>
          <w:p>
            <w:pPr>
              <w:ind w:left="80"/>
              <w:spacing w:after="0"/>
              <w:rPr>
                <w:sz w:val="20"/>
                <w:szCs w:val="20"/>
                <w:color w:val="auto"/>
              </w:rPr>
            </w:pPr>
            <w:r>
              <w:rPr>
                <w:rFonts w:ascii="Arial" w:cs="Arial" w:eastAsia="Arial" w:hAnsi="Arial"/>
                <w:sz w:val="10"/>
                <w:szCs w:val="10"/>
                <w:b w:val="1"/>
                <w:bCs w:val="1"/>
                <w:color w:val="auto"/>
              </w:rPr>
              <w:t>Years Ended March 31,</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6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0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640" w:type="dxa"/>
            <w:vAlign w:val="bottom"/>
            <w:tcBorders>
              <w:top w:val="single" w:sz="8" w:color="auto"/>
            </w:tcBorders>
          </w:tcPr>
          <w:p>
            <w:pPr>
              <w:jc w:val="right"/>
              <w:ind w:right="88"/>
              <w:spacing w:after="0" w:line="97"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ind w:left="120"/>
              <w:spacing w:after="0" w:line="88" w:lineRule="exact"/>
              <w:rPr>
                <w:sz w:val="20"/>
                <w:szCs w:val="20"/>
                <w:color w:val="auto"/>
              </w:rPr>
            </w:pPr>
            <w:r>
              <w:rPr>
                <w:rFonts w:ascii="Arial" w:cs="Arial" w:eastAsia="Arial" w:hAnsi="Arial"/>
                <w:sz w:val="10"/>
                <w:szCs w:val="10"/>
                <w:b w:val="1"/>
                <w:bCs w:val="1"/>
                <w:i w:val="1"/>
                <w:iCs w:val="1"/>
                <w:color w:val="auto"/>
                <w:w w:val="95"/>
              </w:rPr>
              <w:t>(in thousands)</w:t>
            </w: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22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$ 8,701</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13,622</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$(4,921)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Other expense, net was $8.7 million and $13.6 million for the years ended March 31, 2021 and 2020, respectively. The change in other expense, net was primarily driven by reduced losses from our equity method investment in Genevant of $17.6 million incurred through July 2020 until we consolidated Genevant and lower interest expense of $4.9 million, partially offset by lower interest income of $16.6 million for the year ended March 31, 2021 as compared to the year ended March 31, 2020.</w:t>
      </w:r>
    </w:p>
    <w:p>
      <w:pPr>
        <w:spacing w:after="0" w:line="196"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70"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gridSpan w:val="3"/>
          </w:tcPr>
          <w:p>
            <w:pPr>
              <w:ind w:left="80"/>
              <w:spacing w:after="0"/>
              <w:rPr>
                <w:sz w:val="20"/>
                <w:szCs w:val="20"/>
                <w:color w:val="auto"/>
              </w:rPr>
            </w:pPr>
            <w:r>
              <w:rPr>
                <w:rFonts w:ascii="Arial" w:cs="Arial" w:eastAsia="Arial" w:hAnsi="Arial"/>
                <w:sz w:val="10"/>
                <w:szCs w:val="10"/>
                <w:b w:val="1"/>
                <w:bCs w:val="1"/>
                <w:color w:val="auto"/>
              </w:rPr>
              <w:t>Years Ended March 31,</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2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2021</w:t>
            </w:r>
          </w:p>
        </w:tc>
        <w:tc>
          <w:tcPr>
            <w:tcW w:w="620" w:type="dxa"/>
            <w:vAlign w:val="bottom"/>
            <w:tcBorders>
              <w:top w:val="single" w:sz="8" w:color="auto"/>
            </w:tcBorders>
          </w:tcPr>
          <w:p>
            <w:pPr>
              <w:jc w:val="right"/>
              <w:ind w:right="68"/>
              <w:spacing w:after="0" w:line="97"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ind w:left="80"/>
              <w:spacing w:after="0" w:line="88" w:lineRule="exact"/>
              <w:rPr>
                <w:sz w:val="20"/>
                <w:szCs w:val="20"/>
                <w:color w:val="auto"/>
              </w:rPr>
            </w:pPr>
            <w:r>
              <w:rPr>
                <w:rFonts w:ascii="Arial" w:cs="Arial" w:eastAsia="Arial" w:hAnsi="Arial"/>
                <w:sz w:val="10"/>
                <w:szCs w:val="10"/>
                <w:b w:val="1"/>
                <w:bCs w:val="1"/>
                <w:color w:val="auto"/>
                <w:w w:val="98"/>
              </w:rPr>
              <w:t>(in thousands)</w:t>
            </w: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20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  1,686</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7,124</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$(5,438)</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1059" w:firstLine="294"/>
        <w:spacing w:after="0" w:line="263" w:lineRule="auto"/>
        <w:rPr>
          <w:sz w:val="20"/>
          <w:szCs w:val="20"/>
          <w:color w:val="auto"/>
        </w:rPr>
      </w:pPr>
      <w:r>
        <w:rPr>
          <w:rFonts w:ascii="Arial" w:cs="Arial" w:eastAsia="Arial" w:hAnsi="Arial"/>
          <w:sz w:val="12"/>
          <w:szCs w:val="12"/>
          <w:color w:val="auto"/>
        </w:rPr>
        <w:t>Income tax expense decreased by $5.4 million to $1.7 million for the year ended March 31, 2021, compared to $7.1 million for the year ended March 31, 2020. Income tax expense was not significant in either period presented and reflects the income tax expense computed in jurisdictions in which we operate.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from discontinued operations, net of tax</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right="190"/>
              <w:spacing w:after="0"/>
              <w:rPr>
                <w:sz w:val="20"/>
                <w:szCs w:val="20"/>
                <w:color w:val="auto"/>
              </w:rPr>
            </w:pPr>
            <w:r>
              <w:rPr>
                <w:rFonts w:ascii="Arial" w:cs="Arial" w:eastAsia="Arial" w:hAnsi="Arial"/>
                <w:sz w:val="10"/>
                <w:szCs w:val="10"/>
                <w:b w:val="1"/>
                <w:bCs w:val="1"/>
                <w:color w:val="auto"/>
                <w:w w:val="85"/>
              </w:rPr>
              <w:t>Years Ended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170"/>
              <w:spacing w:after="0" w:line="114" w:lineRule="exact"/>
              <w:rPr>
                <w:sz w:val="20"/>
                <w:szCs w:val="20"/>
                <w:color w:val="auto"/>
              </w:rPr>
            </w:pPr>
            <w:r>
              <w:rPr>
                <w:rFonts w:ascii="Arial" w:cs="Arial" w:eastAsia="Arial" w:hAnsi="Arial"/>
                <w:sz w:val="10"/>
                <w:szCs w:val="10"/>
                <w:b w:val="1"/>
                <w:bCs w:val="1"/>
                <w:color w:val="auto"/>
                <w:w w:val="90"/>
              </w:rPr>
              <w:t>March 31,</w:t>
            </w:r>
          </w:p>
        </w:tc>
        <w:tc>
          <w:tcPr>
            <w:tcW w:w="280" w:type="dxa"/>
            <w:vAlign w:val="bottom"/>
          </w:tcPr>
          <w:p>
            <w:pPr>
              <w:spacing w:after="0"/>
              <w:rPr>
                <w:sz w:val="9"/>
                <w:szCs w:val="9"/>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3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Arial" w:cs="Arial" w:eastAsia="Arial" w:hAnsi="Arial"/>
                <w:sz w:val="10"/>
                <w:szCs w:val="10"/>
                <w:b w:val="1"/>
                <w:bCs w:val="1"/>
                <w:color w:val="auto"/>
                <w:w w:val="89"/>
              </w:rPr>
              <w:t>2021</w:t>
            </w:r>
          </w:p>
        </w:tc>
        <w:tc>
          <w:tcPr>
            <w:tcW w:w="840" w:type="dxa"/>
            <w:vAlign w:val="bottom"/>
          </w:tcPr>
          <w:p>
            <w:pPr>
              <w:jc w:val="right"/>
              <w:ind w:right="130"/>
              <w:spacing w:after="0" w:line="97" w:lineRule="exact"/>
              <w:rPr>
                <w:sz w:val="20"/>
                <w:szCs w:val="20"/>
                <w:color w:val="auto"/>
              </w:rPr>
            </w:pPr>
            <w:r>
              <w:rPr>
                <w:rFonts w:ascii="Arial" w:cs="Arial" w:eastAsia="Arial" w:hAnsi="Arial"/>
                <w:sz w:val="10"/>
                <w:szCs w:val="10"/>
                <w:b w:val="1"/>
                <w:bCs w:val="1"/>
                <w:color w:val="auto"/>
              </w:rPr>
              <w:t>2020</w:t>
            </w:r>
          </w:p>
        </w:tc>
        <w:tc>
          <w:tcPr>
            <w:tcW w:w="2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center"/>
              <w:ind w:right="170"/>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2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Income from discontinued operations, net of tax</w:t>
            </w: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$ 1,578,426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(1,578,426)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Income from discontinued operations, net of tax was $1,578.4 million for the year ended March 31, 2020 and consisted of a $1,985.9 million gain on sale of business resulting from the Sumitomo Transaction, partially offset by the net losses of the entities for which we transferred our entire ownership interest to Sumitomo. Refer to Note 5, “Sumitomo Transaction Agreement” of our consolidated financial statements included elsewhere in this prospectus for additional information.</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72"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Overview</w:t>
      </w:r>
    </w:p>
    <w:p>
      <w:pPr>
        <w:spacing w:after="0" w:line="78"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For the three months ended June 30, 2021 and 2020, we incurred net losses of $101.1 million and $8.0 million, respectively. As of June 30, 2021, we had cash and cash equivalents of approximately $2.0 billion and our accumulated deficit was approximately $2.0 billion. We have not generated any revenues to date from the sale of our product candidates. Our revenue, primarily generated through license agreements as well as from subscription and service-based fees, has not been significant to date. Our operations to date have been financed primarily through the sale of equity securities, sale of subsidiary interests, debt financings and revenue generated from licensing and collaboration arrangements.</w:t>
      </w:r>
    </w:p>
    <w:p>
      <w:pPr>
        <w:spacing w:after="0" w:line="113"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In May 2021, Dermavant and certain of its subsidiaries entered in a $40.0 million senior secured credit facility with XYQ Luxco S.A.R.L (“XYQ Luxco”), as lender, and U.S. Bank National Association, as collateral agent.</w:t>
      </w:r>
    </w:p>
    <w:p>
      <w:pPr>
        <w:spacing w:after="0" w:line="115" w:lineRule="exact"/>
        <w:rPr>
          <w:sz w:val="20"/>
          <w:szCs w:val="20"/>
          <w:color w:val="auto"/>
        </w:rPr>
      </w:pPr>
    </w:p>
    <w:p>
      <w:pPr>
        <w:jc w:val="both"/>
        <w:ind w:left="1980" w:right="859" w:firstLine="294"/>
        <w:spacing w:after="0" w:line="285" w:lineRule="auto"/>
        <w:rPr>
          <w:sz w:val="20"/>
          <w:szCs w:val="20"/>
          <w:color w:val="auto"/>
        </w:rPr>
      </w:pPr>
      <w:r>
        <w:rPr>
          <w:rFonts w:ascii="Arial" w:cs="Arial" w:eastAsia="Arial" w:hAnsi="Arial"/>
          <w:sz w:val="11"/>
          <w:szCs w:val="11"/>
          <w:color w:val="auto"/>
        </w:rPr>
        <w:t>For the years ended March 31, 2021 and 2020, we incurred losses from continuing operations of $900.2 million and $568.1 million, respectively. As of March 31, 2021, we had cash and cash equivalents of approximately $2.1 billion and our accumulated deficit was approximately $1.9 billion. We have not generated any revenues to date from the sale of our product candidates. Our revenue, primarily generated through license agreements as well as from subscription and service-based fees, has not been significant to date. Our operations to date have been financed primarily through the sale of equity securities, sale of subsidiary interests, debt financings and revenue generated from licensing and collaboration arrangements.</w:t>
      </w:r>
    </w:p>
    <w:p>
      <w:pPr>
        <w:spacing w:after="0" w:line="185"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left="2120"/>
        <w:spacing w:after="0"/>
        <w:rPr>
          <w:sz w:val="20"/>
          <w:szCs w:val="20"/>
          <w:color w:val="auto"/>
        </w:rPr>
      </w:pPr>
      <w:r>
        <w:rPr>
          <w:rFonts w:ascii="Arial" w:cs="Arial" w:eastAsia="Arial" w:hAnsi="Arial"/>
          <w:sz w:val="12"/>
          <w:szCs w:val="12"/>
          <w:i w:val="1"/>
          <w:iCs w:val="1"/>
          <w:u w:val="single" w:color="auto"/>
          <w:color w:val="auto"/>
        </w:rPr>
        <w:t>Roivant Equity Financing Transactions</w:t>
      </w:r>
    </w:p>
    <w:p>
      <w:pPr>
        <w:spacing w:after="0" w:line="78"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Since inception, we have completed multiple equity financing transactions, including the following financing transaction completed during the year ended March 31, 2020.</w:t>
      </w:r>
    </w:p>
    <w:p>
      <w:pPr>
        <w:spacing w:after="0" w:line="115"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In December 2019, in connection with the Sumitomo Transaction, we raised net proceeds of approximately $999.2 million in connection with the sale of our Common Shares to Sumitomo.</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i w:val="1"/>
          <w:iCs w:val="1"/>
          <w:u w:val="single" w:color="auto"/>
          <w:color w:val="auto"/>
        </w:rPr>
        <w:t>Sumitomo Transaction</w:t>
      </w:r>
    </w:p>
    <w:p>
      <w:pPr>
        <w:spacing w:after="0" w:line="78"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December 2019, we closed the Sumitomo Transaction, including the transfer of our ownership interest in five Vants – Myovant Sciences Ltd., Urovant Sciences Ltd., Enzyvant Therapeutics Ltd., Altavant Sciences Ltd., and Spirovant Sciences Ltd. – to Sumitovant Biopharma Ltd. (“Sumitovant”), a wholly-owned subsidiary of Sumitomo. In addition, in connection with the Sumitomo Transaction, we (i) granted Sumitomo options to purchase all, or in the case of Dermavant, 75%, of our ownership interests in six other subsidiaries (Dermavant, Genevant, Lysovant, Metavant, Cytovant and Sinovant), and (ii) (a) transferred the proprietary technology platform DrugOme to Sumitomo (for which Roivant retains a perpetual royalty free license for internal use) and (b) licensed the Digital Innovation technology platform to Sumitomo (for which both parties retain ongoing access). In exchange for these components of the Sumitomo Transaction, we received approximately $1.9 billion in cash, which was in addition to the $999.2 million from the sale of our Common Shares to Sumitomo as discussed above.</w:t>
      </w:r>
    </w:p>
    <w:p>
      <w:pPr>
        <w:spacing w:after="0" w:line="115"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In June 2021, we completed a transaction with Sumitomo pursuant to which Sumitomo terminated its existing options to acquire our equity interests in certain of our subsidiaries.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72"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i w:val="1"/>
          <w:iCs w:val="1"/>
          <w:u w:val="single" w:color="auto"/>
          <w:color w:val="auto"/>
        </w:rPr>
        <w:t>Consolidated Vant Equity Financing Transactions</w:t>
      </w:r>
    </w:p>
    <w:p>
      <w:pPr>
        <w:spacing w:after="0" w:line="78"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Since inception, we have completed multiple Vant equity financing transactions, including the following financing transactions completed during the years ended March 31, 2021 and 2020:</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i w:val="1"/>
          <w:iCs w:val="1"/>
          <w:color w:val="auto"/>
        </w:rPr>
        <w:t>Immunovant</w:t>
      </w:r>
    </w:p>
    <w:p>
      <w:pPr>
        <w:spacing w:after="0" w:line="78"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color w:val="auto"/>
        </w:rPr>
        <w:t>During the years ended March 31, 2021 and 2020, Immunovant issued shares of common stock for an aggregate net proceeds of $384.9 million (including an aggregate of $27.5 million of shares of common stock purchased by us) in private financings, underwritten public offerings, and warrant exercises.</w:t>
      </w:r>
    </w:p>
    <w:p>
      <w:pPr>
        <w:spacing w:after="0" w:line="122"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Additionally, in December 2019, Immunovant Sciences Ltd. (“ISL”) completed a business combination with Health Sciences Acquisition Corporation (“HSAC”), a special purpose acquisition company, pursuant to which HSAC acquired 100% of the outstanding shares of ISL (the “HSAC Transaction”). Following the HSAC Transaction, ISL became a wholly owned subsidiary of HSAC, which was renamed “Immunovant, Inc.” HSAC was treated as the “acquired” company for accounting purposes. Immunovant received $111.0 million in cash as a result of the HSAC Transaction, consisting of the funds held in HSAC’s trust account. The proceeds included $5.1 million related to common shares purchased by us.</w:t>
      </w:r>
    </w:p>
    <w:p>
      <w:pPr>
        <w:spacing w:after="0" w:line="185" w:lineRule="exact"/>
        <w:rPr>
          <w:sz w:val="20"/>
          <w:szCs w:val="20"/>
          <w:color w:val="auto"/>
        </w:rPr>
      </w:pPr>
    </w:p>
    <w:p>
      <w:pPr>
        <w:ind w:left="2120"/>
        <w:spacing w:after="0"/>
        <w:rPr>
          <w:sz w:val="20"/>
          <w:szCs w:val="20"/>
          <w:color w:val="auto"/>
        </w:rPr>
      </w:pPr>
      <w:r>
        <w:rPr>
          <w:rFonts w:ascii="Arial" w:cs="Arial" w:eastAsia="Arial" w:hAnsi="Arial"/>
          <w:sz w:val="12"/>
          <w:szCs w:val="12"/>
          <w:i w:val="1"/>
          <w:iCs w:val="1"/>
          <w:color w:val="auto"/>
        </w:rPr>
        <w:t>Proteovant</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December 2020, following Proteovant Sciences, Inc’s (“Proteovant”) acquisition of Oncopia in November 2020, SK, Inc. (formerly known as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SK Holdings Co., Ltd.) (“SK”) entered into a subscription agreement (the “SK Subscription Agreement”) pursuant to which SK agreed to make a</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$200.0 million equity investment in Proteovant, representing an ownership interest of 40.0% on the closing date. In January 2021, in accordance with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terms of the SK Subscription Agreement, SK made the first payment of $100.0 million to Proteovant. A second $100.0 million payment is expected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be made by SK to Proteovant on or about July 12, 2021, the date six months from the closing date.</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2"/>
          <w:szCs w:val="12"/>
          <w:i w:val="1"/>
          <w:iCs w:val="1"/>
          <w:u w:val="single" w:color="auto"/>
          <w:color w:val="auto"/>
        </w:rPr>
        <w:t>Consolidated Vant Debt Financings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Since inception, we have completed multiple Vant debt financings, including the following debt financing completed during the year ended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31, 2020:</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2"/>
          <w:szCs w:val="12"/>
          <w:i w:val="1"/>
          <w:iCs w:val="1"/>
          <w:color w:val="auto"/>
        </w:rPr>
        <w:t>Dermavant</w:t>
      </w:r>
    </w:p>
    <w:p>
      <w:pPr>
        <w:spacing w:after="0" w:line="78"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In May 2019, Dermavant entered into a loan and security agreement (the “Hercules Loan Agreement”) with Hercules, pursuant to which Dermavant borrowed an aggregate of $20.0 million. In May 2021, all amounts outstanding under the Hercules Loan Agreement were repaid using the proceeds from the $40.0 million senior secured credit facility entered into by Dermavant in May 2021, and Dermavant terminated the Hercules Loan Agreement.</w:t>
      </w:r>
    </w:p>
    <w:p>
      <w:pPr>
        <w:spacing w:after="0" w:line="19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We expect to continue to incur significant and increasing operating losses at least for the foreseeable future. We do not expect to generate product revenue until we successfully complete development and obtain regulatory approval for any of our current or future product candidates, which may never occur. Our operating results, including our net losses, may fluctuate significantly from quarter-to-quarter and year-to-year, depending on the timing of our planned clinical trials, our expenditures on other research and development activities and our pre-commercialization efforts. We anticipate that our expenses will increase substantially as we:</w:t>
      </w:r>
    </w:p>
    <w:p>
      <w:pPr>
        <w:spacing w:after="0" w:line="65" w:lineRule="exact"/>
        <w:rPr>
          <w:sz w:val="20"/>
          <w:szCs w:val="20"/>
          <w:color w:val="auto"/>
        </w:rPr>
      </w:pPr>
    </w:p>
    <w:p>
      <w:pPr>
        <w:jc w:val="center"/>
        <w:ind w:left="5560" w:right="1279" w:hanging="3300"/>
        <w:spacing w:after="0" w:line="448" w:lineRule="auto"/>
        <w:tabs>
          <w:tab w:leader="none" w:pos="2624" w:val="left"/>
        </w:tabs>
        <w:numPr>
          <w:ilvl w:val="0"/>
          <w:numId w:val="59"/>
        </w:numPr>
        <w:rPr>
          <w:rFonts w:ascii="Arial" w:cs="Arial" w:eastAsia="Arial" w:hAnsi="Arial"/>
          <w:sz w:val="12"/>
          <w:szCs w:val="12"/>
          <w:color w:val="auto"/>
        </w:rPr>
      </w:pPr>
      <w:r>
        <w:rPr>
          <w:rFonts w:ascii="Arial" w:cs="Arial" w:eastAsia="Arial" w:hAnsi="Arial"/>
          <w:sz w:val="12"/>
          <w:szCs w:val="12"/>
          <w:color w:val="auto"/>
        </w:rPr>
        <w:t>fund preclinical studies and clinical trials for our product candidates, which we are pursuing or may choose to pursue in the future; 118</w:t>
      </w:r>
    </w:p>
    <w:p>
      <w:pPr>
        <w:sectPr>
          <w:pgSz w:w="11900" w:h="16838" w:orient="portrait"/>
          <w:cols w:equalWidth="0" w:num="1">
            <w:col w:w="10159"/>
          </w:cols>
          <w:pgMar w:left="300" w:top="372"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fund the manufacturing of drug substance and drug product of our product candidates in development;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seek to identify, acquire, develop and commercialize additional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invest in activities related to the discovery of novel drugs and advancement of our internal programs;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integrate acquired technologies into a comprehensive regulatory and product development strategy;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hire scientific, clinical, quality control and administrative personnel;</w:t>
      </w:r>
    </w:p>
    <w:p>
      <w:pPr>
        <w:spacing w:after="0" w:line="87" w:lineRule="exact"/>
        <w:rPr>
          <w:rFonts w:ascii="Arial" w:cs="Arial" w:eastAsia="Arial" w:hAnsi="Arial"/>
          <w:sz w:val="12"/>
          <w:szCs w:val="12"/>
          <w:color w:val="auto"/>
        </w:rPr>
      </w:pPr>
    </w:p>
    <w:p>
      <w:pPr>
        <w:ind w:left="2620" w:right="1159" w:hanging="360"/>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add operational, financial and management information systems and personnel, including personnel to support our drug development efforts;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achieve milestones under our agreements with third parties that will require us to make substantial payments to those parties;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seek regulatory approvals for any product candidates that successfully complete clinical trials;</w:t>
      </w:r>
    </w:p>
    <w:p>
      <w:pPr>
        <w:spacing w:after="0" w:line="87" w:lineRule="exact"/>
        <w:rPr>
          <w:rFonts w:ascii="Arial" w:cs="Arial" w:eastAsia="Arial" w:hAnsi="Arial"/>
          <w:sz w:val="12"/>
          <w:szCs w:val="12"/>
          <w:color w:val="auto"/>
        </w:rPr>
      </w:pPr>
    </w:p>
    <w:p>
      <w:pPr>
        <w:ind w:left="2620" w:right="1039" w:hanging="360"/>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ultimately establish a sales, marketing and distribution infrastructure and scale up external manufacturing capabilities to commercialize any drug candidates for which we may obtain regulatory approval; and</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begin to operate as a public company.</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expect to continue to finance our cash needs through a combination of our cash on hand and future equity offerings, debt financings, sales of subsidiaries, and collaborations, strategic alliances or marketing, distribution, licensing or similar arrangements with third parties. To the extent that we raise additional capital through the sale of equity or convertible debt securities, your ownership interest will be diluted, and the terms of 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28"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a summary of our cash flows for the three months ended June 30, 2021 and 2020:</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88"/>
              </w:rPr>
              <w:t>Three Months Ended June 30,</w:t>
            </w:r>
          </w:p>
        </w:tc>
      </w:tr>
      <w:tr>
        <w:trPr>
          <w:trHeight w:val="97"/>
        </w:trPr>
        <w:tc>
          <w:tcPr>
            <w:tcW w:w="2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306"/>
              <w:spacing w:after="0" w:line="97"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23"/>
              <w:spacing w:after="0" w:line="97"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8"/>
                <w:szCs w:val="8"/>
                <w:color w:val="auto"/>
              </w:rPr>
            </w:pPr>
          </w:p>
        </w:tc>
      </w:tr>
      <w:tr>
        <w:trPr>
          <w:trHeight w:val="88"/>
        </w:trPr>
        <w:tc>
          <w:tcPr>
            <w:tcW w:w="23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right"/>
              <w:spacing w:after="0" w:line="88" w:lineRule="exact"/>
              <w:rPr>
                <w:sz w:val="20"/>
                <w:szCs w:val="20"/>
                <w:color w:val="auto"/>
              </w:rPr>
            </w:pPr>
            <w:r>
              <w:rPr>
                <w:rFonts w:ascii="Arial" w:cs="Arial" w:eastAsia="Arial" w:hAnsi="Arial"/>
                <w:sz w:val="10"/>
                <w:szCs w:val="10"/>
                <w:b w:val="1"/>
                <w:bCs w:val="1"/>
                <w:i w:val="1"/>
                <w:iCs w:val="1"/>
                <w:color w:val="auto"/>
              </w:rPr>
              <w:t>(in thousands)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w w:val="93"/>
              </w:rPr>
              <w:t>(141,170)</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5"/>
              </w:rPr>
              <w:t>(111,167)</w:t>
            </w:r>
          </w:p>
        </w:tc>
      </w:tr>
      <w:tr>
        <w:trPr>
          <w:trHeight w:val="144"/>
        </w:trPr>
        <w:tc>
          <w:tcPr>
            <w:tcW w:w="23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18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06"/>
              <w:spacing w:after="0"/>
              <w:rPr>
                <w:sz w:val="20"/>
                <w:szCs w:val="20"/>
                <w:color w:val="auto"/>
              </w:rPr>
            </w:pPr>
            <w:r>
              <w:rPr>
                <w:rFonts w:ascii="Arial" w:cs="Arial" w:eastAsia="Arial" w:hAnsi="Arial"/>
                <w:sz w:val="12"/>
                <w:szCs w:val="12"/>
                <w:color w:val="auto"/>
              </w:rPr>
              <w:t>(2,339)</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(25,641)</w:t>
            </w:r>
          </w:p>
        </w:tc>
      </w:tr>
      <w:tr>
        <w:trPr>
          <w:trHeight w:val="144"/>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rPr>
              <w:t>10,210</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181,130</w:t>
            </w:r>
          </w:p>
        </w:tc>
      </w:tr>
      <w:tr>
        <w:trPr>
          <w:trHeight w:val="243"/>
        </w:trPr>
        <w:tc>
          <w:tcPr>
            <w:tcW w:w="2320" w:type="dxa"/>
            <w:vAlign w:val="bottom"/>
          </w:tcPr>
          <w:p>
            <w:pPr>
              <w:spacing w:after="0"/>
              <w:rPr>
                <w:sz w:val="21"/>
                <w:szCs w:val="21"/>
                <w:color w:val="auto"/>
              </w:rPr>
            </w:pPr>
          </w:p>
        </w:tc>
        <w:tc>
          <w:tcPr>
            <w:tcW w:w="1720" w:type="dxa"/>
            <w:vAlign w:val="bottom"/>
          </w:tcPr>
          <w:p>
            <w:pPr>
              <w:jc w:val="right"/>
              <w:ind w:right="1100"/>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a summary of our cash flows for the years ended March 31, 2021 and 2020:</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7"/>
              </w:rPr>
              <w:t>Years Ended March 31,</w:t>
            </w:r>
          </w:p>
        </w:tc>
      </w:tr>
      <w:tr>
        <w:trPr>
          <w:trHeight w:val="97"/>
        </w:trPr>
        <w:tc>
          <w:tcPr>
            <w:tcW w:w="4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86"/>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23"/>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8"/>
                <w:szCs w:val="8"/>
                <w:color w:val="auto"/>
              </w:rPr>
            </w:pPr>
          </w:p>
        </w:tc>
      </w:tr>
      <w:tr>
        <w:trPr>
          <w:trHeight w:val="88"/>
        </w:trPr>
        <w:tc>
          <w:tcPr>
            <w:tcW w:w="4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3"/>
          </w:tcPr>
          <w:p>
            <w:pPr>
              <w:jc w:val="center"/>
              <w:spacing w:after="0" w:line="88" w:lineRule="exact"/>
              <w:rPr>
                <w:sz w:val="20"/>
                <w:szCs w:val="20"/>
                <w:color w:val="auto"/>
              </w:rPr>
            </w:pPr>
            <w:r>
              <w:rPr>
                <w:rFonts w:ascii="Arial" w:cs="Arial" w:eastAsia="Arial" w:hAnsi="Arial"/>
                <w:sz w:val="10"/>
                <w:szCs w:val="10"/>
                <w:b w:val="1"/>
                <w:bCs w:val="1"/>
                <w:i w:val="1"/>
                <w:iCs w:val="1"/>
                <w:color w:val="auto"/>
                <w:w w:val="84"/>
              </w:rPr>
              <w:t>(in thousands)</w:t>
            </w:r>
          </w:p>
        </w:tc>
        <w:tc>
          <w:tcPr>
            <w:tcW w:w="80" w:type="dxa"/>
            <w:vAlign w:val="bottom"/>
          </w:tcPr>
          <w:p>
            <w:pPr>
              <w:spacing w:after="0"/>
              <w:rPr>
                <w:sz w:val="7"/>
                <w:szCs w:val="7"/>
                <w:color w:val="auto"/>
              </w:rPr>
            </w:pPr>
          </w:p>
        </w:tc>
      </w:tr>
      <w:tr>
        <w:trPr>
          <w:trHeight w:val="144"/>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w w:val="89"/>
              </w:rPr>
              <w:t>(552,138)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(758,750)</w:t>
            </w:r>
          </w:p>
        </w:tc>
      </w:tr>
      <w:tr>
        <w:trPr>
          <w:trHeight w:val="144"/>
        </w:trPr>
        <w:tc>
          <w:tcPr>
            <w:tcW w:w="4100" w:type="dxa"/>
            <w:vAlign w:val="bottom"/>
          </w:tcPr>
          <w:p>
            <w:pPr>
              <w:spacing w:after="0"/>
              <w:rPr>
                <w:sz w:val="20"/>
                <w:szCs w:val="20"/>
                <w:color w:val="auto"/>
              </w:rPr>
            </w:pPr>
            <w:r>
              <w:rPr>
                <w:rFonts w:ascii="Arial" w:cs="Arial" w:eastAsia="Arial" w:hAnsi="Arial"/>
                <w:sz w:val="12"/>
                <w:szCs w:val="12"/>
                <w:color w:val="auto"/>
              </w:rPr>
              <w:t>Net cash (used in) provided by investing activities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06"/>
              <w:spacing w:after="0"/>
              <w:rPr>
                <w:sz w:val="20"/>
                <w:szCs w:val="20"/>
                <w:color w:val="auto"/>
              </w:rPr>
            </w:pPr>
            <w:r>
              <w:rPr>
                <w:rFonts w:ascii="Arial" w:cs="Arial" w:eastAsia="Arial" w:hAnsi="Arial"/>
                <w:sz w:val="12"/>
                <w:szCs w:val="12"/>
                <w:color w:val="auto"/>
              </w:rPr>
              <w:t>(31,702)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1,694,790</w:t>
            </w:r>
          </w:p>
        </w:tc>
      </w:tr>
      <w:tr>
        <w:trPr>
          <w:trHeight w:val="144"/>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w w:val="96"/>
              </w:rPr>
              <w:t>456,264</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214,081</w:t>
            </w:r>
          </w:p>
        </w:tc>
      </w:tr>
    </w:tbl>
    <w:p>
      <w:pPr>
        <w:spacing w:after="0" w:line="13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cash flows from discontinued operations have not been segregated and are included in the statements of cash flows for the year ended March 31, 2020. Refer to Note 6, “Discontinued Operations” of our financial statements included elsewhere in this prospectus for further information regarding our discontinued operations.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8" w:lineRule="exact"/>
        <w:rPr>
          <w:sz w:val="20"/>
          <w:szCs w:val="20"/>
          <w:color w:val="auto"/>
        </w:rPr>
      </w:pPr>
    </w:p>
    <w:p>
      <w:pPr>
        <w:ind w:left="1980" w:right="859" w:firstLine="294"/>
        <w:spacing w:after="0" w:line="379" w:lineRule="auto"/>
        <w:rPr>
          <w:sz w:val="20"/>
          <w:szCs w:val="20"/>
          <w:color w:val="auto"/>
        </w:rPr>
      </w:pPr>
      <w:r>
        <w:rPr>
          <w:rFonts w:ascii="Arial" w:cs="Arial" w:eastAsia="Arial" w:hAnsi="Arial"/>
          <w:sz w:val="10"/>
          <w:szCs w:val="10"/>
          <w:color w:val="auto"/>
        </w:rPr>
        <w:t>Cash flow from operating activities represents the cash receipts and disbursements related to all of our activities other than investing and financing activities. Cash flow from operating activities is derived from adjusting our net loss (income) for non-cash items and changes in working capital.</w:t>
      </w:r>
    </w:p>
    <w:p>
      <w:pPr>
        <w:spacing w:after="0" w:line="69" w:lineRule="exact"/>
        <w:rPr>
          <w:sz w:val="20"/>
          <w:szCs w:val="20"/>
          <w:color w:val="auto"/>
        </w:rPr>
      </w:pPr>
    </w:p>
    <w:p>
      <w:pPr>
        <w:jc w:val="both"/>
        <w:ind w:left="1980" w:right="1039" w:firstLine="294"/>
        <w:spacing w:after="0" w:line="298" w:lineRule="auto"/>
        <w:rPr>
          <w:sz w:val="20"/>
          <w:szCs w:val="20"/>
          <w:color w:val="auto"/>
        </w:rPr>
      </w:pPr>
      <w:r>
        <w:rPr>
          <w:rFonts w:ascii="Arial" w:cs="Arial" w:eastAsia="Arial" w:hAnsi="Arial"/>
          <w:sz w:val="11"/>
          <w:szCs w:val="11"/>
          <w:color w:val="auto"/>
        </w:rPr>
        <w:t>For the three months ended June 30, 2021, cash used in operating activities increased by $30.0 million to $141.2 million compared to the three months ended June 30, 2020. This increase was primarily driven by an increase in cash required to fund operations, particularly as a result of recent asset acquisitions including SiTX in March 2021, Oncopia in November 2020, Affimed in November 2020, and Genevant in July 2020.</w:t>
      </w:r>
    </w:p>
    <w:p>
      <w:pPr>
        <w:spacing w:after="0" w:line="105" w:lineRule="exact"/>
        <w:rPr>
          <w:sz w:val="20"/>
          <w:szCs w:val="20"/>
          <w:color w:val="auto"/>
        </w:rPr>
      </w:pPr>
    </w:p>
    <w:p>
      <w:pPr>
        <w:jc w:val="both"/>
        <w:ind w:left="1980" w:right="999" w:firstLine="294"/>
        <w:spacing w:after="0" w:line="298" w:lineRule="auto"/>
        <w:rPr>
          <w:sz w:val="20"/>
          <w:szCs w:val="20"/>
          <w:color w:val="auto"/>
        </w:rPr>
      </w:pPr>
      <w:r>
        <w:rPr>
          <w:rFonts w:ascii="Arial" w:cs="Arial" w:eastAsia="Arial" w:hAnsi="Arial"/>
          <w:sz w:val="11"/>
          <w:szCs w:val="11"/>
          <w:color w:val="auto"/>
        </w:rPr>
        <w:t>For the year ended March 31, 2021, cash used in operating activities decreased by $206.6 million to $552.1 million compared to the year ended March 31, 2020. This decrease was primarily driven by the reduction in cash required to fund the operations of Vants sold to Sumitomo in December 2019, partially offset by an increase in upfront cash consideration for IPR&amp;D relating to asset acquisitions and license agreements.</w:t>
      </w:r>
    </w:p>
    <w:p>
      <w:pPr>
        <w:spacing w:after="0" w:line="17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Cash flow from investing activities includes cash used for acquisitions, net of cash acquired; cash provided by dispositions, net of cash disposed; capital expenditures; and purchases of equity securities and other investments. Cash flow from investing activities also includes cash provided by sale of business.</w:t>
      </w:r>
    </w:p>
    <w:p>
      <w:pPr>
        <w:spacing w:after="0" w:line="12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For the three months ended June 30, 2021, cash used in investing activities decreased by $23.3 million to $2.3 million compared to the three months ended June 30, 2020. This decrease in cash used in investing activities is primarily attributed to cash disposed upon deconsolidation of Datavant in April 2020 and investments made in unconsolidated entities during the three months ended June 30, 2020.</w:t>
      </w:r>
    </w:p>
    <w:p>
      <w:pPr>
        <w:spacing w:after="0" w:line="122"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For the year ended March 31, 2021, cash flow from investing activities changed by $1,726.5 million to net cash used in investing activities of $31.7 million from net cash provided by investing activities of $1,694.8 million for the year ended March 31, 2020. This change in cash flow from investing activities is primarily attributed to proceeds from the sale of business, net of cash disposed, in December 2019, resulting from the Sumitomo Transaction.</w:t>
      </w:r>
    </w:p>
    <w:p>
      <w:pPr>
        <w:spacing w:after="0" w:line="19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8" w:lineRule="exact"/>
        <w:rPr>
          <w:sz w:val="20"/>
          <w:szCs w:val="20"/>
          <w:color w:val="auto"/>
        </w:rPr>
      </w:pPr>
    </w:p>
    <w:p>
      <w:pPr>
        <w:ind w:left="1980" w:right="1059" w:firstLine="294"/>
        <w:spacing w:after="0" w:line="340" w:lineRule="auto"/>
        <w:rPr>
          <w:sz w:val="20"/>
          <w:szCs w:val="20"/>
          <w:color w:val="auto"/>
        </w:rPr>
      </w:pPr>
      <w:r>
        <w:rPr>
          <w:rFonts w:ascii="Arial" w:cs="Arial" w:eastAsia="Arial" w:hAnsi="Arial"/>
          <w:sz w:val="10"/>
          <w:szCs w:val="10"/>
          <w:color w:val="auto"/>
        </w:rPr>
        <w:t>For the three months ended June 30, 2021, cash provided by financing activities decreased by $170.9 million to $10.2 million compared to the three months ended June 30, 2020. This change was primarily driven by net proceeds from the issuance of equity at our majority-owned subsidiary Immunovant, Inc. during the three months ended June 30, 2020. During the three months ended June 30, 2021, proceeds were generated by the</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72"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w:t>
      </w:r>
    </w:p>
    <w:p>
      <w:pPr>
        <w:spacing w:after="0" w:line="12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For the year ended March 31, 2021, cash provided by financing activities increased by $242.2 million to $456.3 million compared to the year ended March 31, 2020. This change was primarily driven by higher net proceeds from the issuance of subsidiary equity, resulting from the issuance of Immunovant common stock upon completing two underwritten public offerings and warrant exercises and the issuance of Proteovant common stock to SK, during the year ended March 31, 2021 as compared to net proceeds from the issuance of subsidiary equity during the year ended March 31, 2020. During the year ended March 31, 2020, proceeds were also generated from the issuance of our Common Shares and the Sumitomo Options pursuant to the Sumitomo Transaction as well as from subsidiary debt financings. However, these proceeds were largely offset by cash used to repurchase certain of our Common Shares and equity awards along with cash used to purchase subsidiary equity and repay certain subsidiary long-term debt and convertible debt during the year ended March 31, 2020.</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Outlook</w:t>
      </w:r>
    </w:p>
    <w:p>
      <w:pPr>
        <w:spacing w:after="0" w:line="78" w:lineRule="exact"/>
        <w:rPr>
          <w:sz w:val="20"/>
          <w:szCs w:val="20"/>
          <w:color w:val="auto"/>
        </w:rPr>
      </w:pPr>
    </w:p>
    <w:p>
      <w:pPr>
        <w:ind w:left="1980" w:right="1119" w:firstLine="294"/>
        <w:spacing w:after="0" w:line="259" w:lineRule="auto"/>
        <w:rPr>
          <w:sz w:val="20"/>
          <w:szCs w:val="20"/>
          <w:color w:val="auto"/>
        </w:rPr>
      </w:pPr>
      <w:r>
        <w:rPr>
          <w:rFonts w:ascii="Arial" w:cs="Arial" w:eastAsia="Arial" w:hAnsi="Arial"/>
          <w:sz w:val="12"/>
          <w:szCs w:val="12"/>
          <w:color w:val="auto"/>
        </w:rPr>
        <w:t>We expect our existing cash and cash equivalents will be sufficient to fund our committed operating expenses and capital expenditure requirements for at least the next twelve months based on current operating plans and financial forecasts. However, we have based this estimate on assumptions that may prove to be wrong, which may require us to use our capital resources sooner than expected. See “Cautionary Note Regarding Forward-Looking Statements” and “Risk Factors”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82"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we will be required to make milestone payments and royalty payments in connection with the sale of products developed under these agreements. The achievement and timing of these future milestone payments are not probable or reasonably estimable, and therefore such amounts have not been included on our consolidated balance sheet as of June 30, 2021.</w:t>
      </w:r>
    </w:p>
    <w:p>
      <w:pPr>
        <w:spacing w:after="0" w:line="113"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enter into agreements in the normal course of business with CROs and other vendors for clinical trials and with vendors for preclinical studies and other services and products for operating purposes, which are generally cancelable upon written notice.</w:t>
      </w:r>
    </w:p>
    <w:p>
      <w:pPr>
        <w:spacing w:after="0" w:line="11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Our contractual obligations also include operating lease liabilities, primarily relating to real estate leases. Refer to Note 13, “Leases” of our audited financial statements included elsewhere in this prospectus for further information regarding our leases.</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Loan and Security Agreement between Dermavant and Hercules</w:t>
      </w:r>
    </w:p>
    <w:p>
      <w:pPr>
        <w:spacing w:after="0" w:line="78"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In May 2019, Dermavant entered into the Hercules Loan Agreement with Hercules as agent and lender, under which Dermavant, borrowed an aggregate of $20.0 million (the “2019 Term Loan”). The 2019 Term Loan was fully drawn in May 2019. In May 2021, Dermavant repaid all amounts outstanding under the Hercules Loan Agreement using the proceeds from the $40.0 million Credit Facility entered into by Dermavant and certain of its subsidiaries in May 2021, and Dermavant terminated the Hercules Loan Agreement. See “Dermavant Senior Secured Credit Facility” below for additional information.</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72"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Funding Agreement between Dermavant and NovaQuest</w:t>
      </w:r>
    </w:p>
    <w:p>
      <w:pPr>
        <w:spacing w:after="0" w:line="78" w:lineRule="exact"/>
        <w:rPr>
          <w:sz w:val="20"/>
          <w:szCs w:val="20"/>
          <w:color w:val="auto"/>
        </w:rPr>
      </w:pPr>
    </w:p>
    <w:p>
      <w:pPr>
        <w:ind w:left="1980" w:right="919" w:firstLine="294"/>
        <w:spacing w:after="0" w:line="308" w:lineRule="auto"/>
        <w:rPr>
          <w:sz w:val="20"/>
          <w:szCs w:val="20"/>
          <w:color w:val="auto"/>
        </w:rPr>
      </w:pPr>
      <w:r>
        <w:rPr>
          <w:rFonts w:ascii="Arial" w:cs="Arial" w:eastAsia="Arial" w:hAnsi="Arial"/>
          <w:sz w:val="10"/>
          <w:szCs w:val="10"/>
          <w:color w:val="auto"/>
        </w:rPr>
        <w:t>In July 2018, as a result of Dermavant’s acquisition of tapinarof from GlaxoSmithKline Intellectual Property Development Ltd. and Glaxo Group Limited (collectively “GSK”), Dermavant entered into the NovaQuest Facility, pursuant to which Dermavant is required to make milestone and other quarterly interest payments to NovaQuest Co-Investment Fund VIII, L.P. (“NovaQuest”) upon the achievement of certain regulatory and commercial milestones for tapinarof in either psoriasis or atopic dermatitis in the United States, the European Union and Japan. These obligations terminate upon marketing approval revocation or withdrawal of tapinarof for health and safety reasons by either (x) the U.S. Food and Drug Administration (the “FDA”) or (y) Dermavant, Dermavant’s affiliates, or any sublicensee. The aggregate maximum amount of regulatory milestone payments Dermavant could be required to make under the NovaQuest Facility is $440.6 million and the maximum aggregate amount of commercial milestone payments Dermavant could be required to make under the NovaQuest Facility is $141.0 million. In some circumstances, Dermavant may be able to offset certain of the regulatory milestone payments with up to $88.1 million of the commercial milestone payments. Dermavant is also required to make significant payments to NovaQuest if development of tapinarof is terminated or if Dermavant terminates development of tapinarof for one indication and receives approval for the other. NovaQuest is not obligated to refund to Dermavant any payments previously made under the NovaQuest Facility.</w:t>
      </w:r>
    </w:p>
    <w:p>
      <w:pPr>
        <w:spacing w:after="0" w:line="17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Dermavant Senior Secured Credit Facility</w:t>
      </w:r>
    </w:p>
    <w:p>
      <w:pPr>
        <w:spacing w:after="0" w:line="78"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In May 2021, DSL, Dermavant Holdings Limited, Dermavant Sciences IRL Limited and DSG, as borrowers and certain other subsidiaries of DSL, as initial guarantors, entered into a $40.0 million senior secured credit facility (the “Credit Facility”) with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w:t>
      </w:r>
    </w:p>
    <w:p>
      <w:pPr>
        <w:spacing w:after="0" w:line="16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Acquisition of Silicon Therapeutics</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March 2021, we completed the acquisition of the business of SiTX for consideration of approximately $450.0 million, with additional cash payments payable subject to the satisfaction of certain regulatory and commercial milestones. A remaining balance of approximately $100.0 million is payable to former SiTX equity holders on the earlier of (x) approximately 30 to 60 days following the public listing of our Common Shares, in either cash or our Common Shares (at our election), and (y) 12 months following the closing of the acquisition, in cash. For accounting purposes, the fair value of consideration transferred was $402.4 million.</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Palantir Master Subscription Agreement</w:t>
      </w:r>
    </w:p>
    <w:p>
      <w:pPr>
        <w:spacing w:after="0" w:line="78" w:lineRule="exact"/>
        <w:rPr>
          <w:sz w:val="20"/>
          <w:szCs w:val="20"/>
          <w:color w:val="auto"/>
        </w:rPr>
      </w:pPr>
    </w:p>
    <w:p>
      <w:pPr>
        <w:ind w:left="1980" w:right="1099" w:firstLine="294"/>
        <w:spacing w:after="0" w:line="323" w:lineRule="auto"/>
        <w:rPr>
          <w:sz w:val="20"/>
          <w:szCs w:val="20"/>
          <w:color w:val="auto"/>
        </w:rPr>
      </w:pPr>
      <w:r>
        <w:rPr>
          <w:rFonts w:ascii="Arial" w:cs="Arial" w:eastAsia="Arial" w:hAnsi="Arial"/>
          <w:sz w:val="11"/>
          <w:szCs w:val="11"/>
          <w:color w:val="auto"/>
        </w:rPr>
        <w:t>In May 2021, we entered into a master subscription agreement with Palantir Technologies Inc. (“Palantir”) for access to Palantir’s proprietary software for a five-year period. The remaining minimum payments for this software subscription are $39.0 million.</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did not have any material off-balance sheet arrangements, as defined under SEC rules, during the periods presented.</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72"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judgments and assumptions that affect the reported amounts of assets and liabilities, and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 Any references to applicable accounting guidance is meant to refer to the authoritative U.S. GAAP as found in the Accounting Standards Codification (the “ASC”), and Accounting Standards Updates (“ASU”), issued by the Financial Accounting Standards Board (the “FASB”). The consolidated financial statements include the accounts of Roivant and our subsidiaries in which we have a controlling financial interest, most often through a majority voting interest.</w:t>
      </w:r>
    </w:p>
    <w:p>
      <w:pPr>
        <w:spacing w:after="0" w:line="119"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While our significant accounting policies are described in more detail in Note 2, “Summary of Significant Accounting Policies” in our consolidated financial statements included elsewhere in this prospectus, we believe that the following accounting policies are those most critical to the judgments and estimates used in the preparation of our financial statements.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Research and development expenses consist primarily of costs incurred in connection with the discovery and development of our product candidates. We expense research and development costs as incurred.</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We accrue expense for preclinical studies and clinical trial activities performed by vendors based upon estimates of the proportion of work completed. We determine such estimates by reviewing contracts, vendor agreements and purchase orders, and through discussions with our internal personnel and external service providers as to the progress or stage of completion and the agreed-upon fee to be paid for such services. However, actual costs and timing of preclinical studies and clinical trials are highly uncertain, subject to risks, and may change depending upon a number of factors, including our clinical development plan.</w:t>
      </w:r>
    </w:p>
    <w:p>
      <w:pPr>
        <w:spacing w:after="0" w:line="128"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We make estimates of our accrued expenses as of each balance sheet date in our financial statements based on facts and circumstances known at that time. If the actual timing of the performance of services or the level of effort varies from the estimate, the accrual is adjusted accordingly. Nonrefundable advance payments for goods and services are deferred and recognized as expense in the period that the related goods are consumed or services are performed.</w:t>
      </w:r>
    </w:p>
    <w:p>
      <w:pPr>
        <w:spacing w:after="0" w:line="124"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We evaluate license agreements and asset acquisitions for IPR&amp;D projects to determine if it meets the definition of a business and thus should be accounted for as a business combination. If the IPR&amp;D does not meet the definition of a business and the assets have not reached technological feasibility and therefore have no alternative future use, we expense payments made under such license agreements as research and development expense.</w:t>
      </w:r>
    </w:p>
    <w:p>
      <w:pPr>
        <w:spacing w:after="0" w:line="159"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We recognize compensation costs related to share-based awards granted to employees, directors, and consultants based on the estimated fair value of the awards on the date of grant. The grant date fair value of the stock-based awards is recognized over the requisite service period, which is generally the vesting period of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72"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respective awards. We may grant awards with graded-vesting features. When such awards have only service vesting requirements, we elected to record share-based compensation expense on a straight-line basis. If awards with graded-vesting features contain performance or market conditions, then we record share-based compensation expense using the accelerated attribution method.</w:t>
      </w:r>
    </w:p>
    <w:p>
      <w:pPr>
        <w:spacing w:after="0" w:line="122"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estimate the fair value of stock options using the Black-Scholes option-pricing model, which requires assumptions, including the fair value of our Common Shares prior to our initial public offering,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These subjective assumptions are estimated as follows: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i w:val="1"/>
          <w:iCs w:val="1"/>
          <w:color w:val="auto"/>
        </w:rPr>
        <w:t>Fair value of common share</w:t>
      </w:r>
      <w:r>
        <w:rPr>
          <w:rFonts w:ascii="Arial" w:cs="Arial" w:eastAsia="Arial" w:hAnsi="Arial"/>
          <w:sz w:val="11"/>
          <w:szCs w:val="11"/>
          <w:color w:val="auto"/>
        </w:rPr>
        <w:t>—As a privately held company, we estimate the fair value of the shares of common stock underlying our share-based</w:t>
      </w:r>
      <w:r>
        <w:rPr>
          <w:rFonts w:ascii="Arial" w:cs="Arial" w:eastAsia="Arial" w:hAnsi="Arial"/>
          <w:sz w:val="11"/>
          <w:szCs w:val="11"/>
          <w:i w:val="1"/>
          <w:iCs w:val="1"/>
          <w:color w:val="auto"/>
        </w:rPr>
        <w:t xml:space="preserve"> </w:t>
      </w:r>
      <w:r>
        <w:rPr>
          <w:rFonts w:ascii="Arial" w:cs="Arial" w:eastAsia="Arial" w:hAnsi="Arial"/>
          <w:sz w:val="11"/>
          <w:szCs w:val="11"/>
          <w:color w:val="auto"/>
        </w:rPr>
        <w:t>awards on each grant date. To determine the fair value of our Common Shares underlying option grants, we considered, among other things, valuations of our common share prepared by an unrelated third-party valuation firm in accordance with the guidance provided by the American Institute of Certified Public Accountants Practice Guide, Valuation of Privately-Held-Company Equity Securities Issued as Compensation. The estimation of the fair value of the Common Shares considered factors including the following:</w:t>
      </w:r>
    </w:p>
    <w:p>
      <w:pPr>
        <w:spacing w:after="0" w:line="131" w:lineRule="exact"/>
        <w:rPr>
          <w:sz w:val="20"/>
          <w:szCs w:val="20"/>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prices of our Common Shares sold to investors in arm’s length transactions;</w:t>
      </w:r>
    </w:p>
    <w:p>
      <w:pPr>
        <w:spacing w:after="0" w:line="14"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estimated present value of our future cash flows;</w:t>
      </w:r>
    </w:p>
    <w:p>
      <w:pPr>
        <w:spacing w:after="0" w:line="6"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business, financial condition and results of operations;</w:t>
      </w:r>
    </w:p>
    <w:p>
      <w:pPr>
        <w:spacing w:after="0" w:line="6"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forecasted operating performance;</w:t>
      </w:r>
    </w:p>
    <w:p>
      <w:pPr>
        <w:spacing w:after="0" w:line="6"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illiquid nature of our Common Shares;</w:t>
      </w:r>
    </w:p>
    <w:p>
      <w:pPr>
        <w:spacing w:after="0" w:line="6"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industry information such as market size and growth;</w:t>
      </w:r>
    </w:p>
    <w:p>
      <w:pPr>
        <w:spacing w:after="0" w:line="6" w:lineRule="exact"/>
        <w:rPr>
          <w:rFonts w:ascii="Arial" w:cs="Arial" w:eastAsia="Arial" w:hAnsi="Arial"/>
          <w:sz w:val="12"/>
          <w:szCs w:val="12"/>
          <w:color w:val="auto"/>
        </w:rPr>
      </w:pPr>
    </w:p>
    <w:p>
      <w:pPr>
        <w:ind w:left="2620" w:hanging="288"/>
        <w:spacing w:after="0"/>
        <w:tabs>
          <w:tab w:leader="none" w:pos="26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market capitalization of comparable companies and the estimated value of transactions such companies have engaged in; and</w:t>
      </w:r>
    </w:p>
    <w:p>
      <w:pPr>
        <w:spacing w:after="0" w:line="17" w:lineRule="exact"/>
        <w:rPr>
          <w:rFonts w:ascii="Arial" w:cs="Arial" w:eastAsia="Arial" w:hAnsi="Arial"/>
          <w:sz w:val="11"/>
          <w:szCs w:val="11"/>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macroeconomic conditions.</w:t>
      </w:r>
    </w:p>
    <w:p>
      <w:pPr>
        <w:spacing w:after="0" w:line="14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apply similar methodology to estimate the fair value of the shares of common stock underlying share-based awards at our privately held Vants. Now that our Common Shares are publicly traded, we will determine the fair value of each common share underlying share-based awards based on the closing price of our Common Shares as reported by the Nasdaq on the date of grant and therefore it will not be necessary to determine the fair value of the new stock-based award pursuant to the methodology described above.</w:t>
      </w:r>
    </w:p>
    <w:p>
      <w:pPr>
        <w:spacing w:after="0" w:line="124"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—We have generally elected to use the “simplified method” for estimating the expected term of options, whereby the expected term</w:t>
      </w:r>
      <w:r>
        <w:rPr>
          <w:rFonts w:ascii="Arial" w:cs="Arial" w:eastAsia="Arial" w:hAnsi="Arial"/>
          <w:sz w:val="12"/>
          <w:szCs w:val="12"/>
          <w:i w:val="1"/>
          <w:iCs w:val="1"/>
          <w:color w:val="auto"/>
        </w:rPr>
        <w:t xml:space="preserve"> </w:t>
      </w:r>
      <w:r>
        <w:rPr>
          <w:rFonts w:ascii="Arial" w:cs="Arial" w:eastAsia="Arial" w:hAnsi="Arial"/>
          <w:sz w:val="12"/>
          <w:szCs w:val="12"/>
          <w:color w:val="auto"/>
        </w:rPr>
        <w:t>equals the arithmetic average of the vesting term and the original contractual term of the option (generally 10 years).</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—As a privately held company, we do not have any trading history for our common share; accordingly, the expected volatility</w:t>
      </w:r>
      <w:r>
        <w:rPr>
          <w:rFonts w:ascii="Arial" w:cs="Arial" w:eastAsia="Arial" w:hAnsi="Arial"/>
          <w:sz w:val="12"/>
          <w:szCs w:val="12"/>
          <w:i w:val="1"/>
          <w:iCs w:val="1"/>
          <w:color w:val="auto"/>
        </w:rPr>
        <w:t xml:space="preserve"> </w:t>
      </w:r>
      <w:r>
        <w:rPr>
          <w:rFonts w:ascii="Arial" w:cs="Arial" w:eastAsia="Arial" w:hAnsi="Arial"/>
          <w:sz w:val="12"/>
          <w:szCs w:val="12"/>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 We apply similar methodology to estimate the expected volatility at our privately held Vants.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rate assumption is based on the U.S. Treasury instruments with maturities similar to the expected term of our</w:t>
      </w:r>
      <w:r>
        <w:rPr>
          <w:rFonts w:ascii="Arial" w:cs="Arial" w:eastAsia="Arial" w:hAnsi="Arial"/>
          <w:sz w:val="12"/>
          <w:szCs w:val="12"/>
          <w:i w:val="1"/>
          <w:iCs w:val="1"/>
          <w:color w:val="auto"/>
        </w:rPr>
        <w:t xml:space="preserve"> </w:t>
      </w:r>
      <w:r>
        <w:rPr>
          <w:rFonts w:ascii="Arial" w:cs="Arial" w:eastAsia="Arial" w:hAnsi="Arial"/>
          <w:sz w:val="12"/>
          <w:szCs w:val="12"/>
          <w:color w:val="auto"/>
        </w:rPr>
        <w:t>stock options at the time of the grant.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72"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i w:val="1"/>
          <w:iCs w:val="1"/>
          <w:color w:val="auto"/>
        </w:rPr>
        <w:t>Expected dividend yield</w:t>
      </w:r>
      <w:r>
        <w:rPr>
          <w:rFonts w:ascii="Arial" w:cs="Arial" w:eastAsia="Arial" w:hAnsi="Arial"/>
          <w:sz w:val="12"/>
          <w:szCs w:val="12"/>
          <w:color w:val="auto"/>
        </w:rPr>
        <w:t>—We have not issued any dividends in our history and do not expect to issue dividends over the life of the options;</w:t>
      </w:r>
      <w:r>
        <w:rPr>
          <w:rFonts w:ascii="Arial" w:cs="Arial" w:eastAsia="Arial" w:hAnsi="Arial"/>
          <w:sz w:val="12"/>
          <w:szCs w:val="12"/>
          <w:i w:val="1"/>
          <w:iCs w:val="1"/>
          <w:color w:val="auto"/>
        </w:rPr>
        <w:t xml:space="preserve"> </w:t>
      </w:r>
      <w:r>
        <w:rPr>
          <w:rFonts w:ascii="Arial" w:cs="Arial" w:eastAsia="Arial" w:hAnsi="Arial"/>
          <w:sz w:val="12"/>
          <w:szCs w:val="12"/>
          <w:color w:val="auto"/>
        </w:rPr>
        <w:t>therefore, we have estimated the dividend yield to be zero.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82" w:lineRule="exact"/>
        <w:rPr>
          <w:sz w:val="20"/>
          <w:szCs w:val="20"/>
          <w:color w:val="auto"/>
        </w:rPr>
      </w:pPr>
    </w:p>
    <w:p>
      <w:pPr>
        <w:ind w:left="1980" w:right="1159" w:firstLine="294"/>
        <w:spacing w:after="0" w:line="379" w:lineRule="auto"/>
        <w:rPr>
          <w:sz w:val="20"/>
          <w:szCs w:val="20"/>
          <w:color w:val="auto"/>
        </w:rPr>
      </w:pPr>
      <w:r>
        <w:rPr>
          <w:rFonts w:ascii="Arial" w:cs="Arial" w:eastAsia="Arial" w:hAnsi="Arial"/>
          <w:sz w:val="10"/>
          <w:szCs w:val="10"/>
          <w:color w:val="auto"/>
        </w:rPr>
        <w:t>A description of recently issued accounting pronouncements that may potentially impact our financial position and results of operations is disclosed in Note 2, “Summary of Significant Accounting Policies” in our consolidated financial statements included elsewhere in this prospectus.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JOBS Act</w:t>
      </w:r>
    </w:p>
    <w:p>
      <w:pPr>
        <w:spacing w:after="0" w:line="82"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8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Under SEC rules and regulations, because we are considered to be a “smaller reporting company,” we are not required to provide the information required by this item in this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Implications of Being an Emerging Growth Company and Smaller Reporting Company</w:t>
      </w:r>
    </w:p>
    <w:p>
      <w:pPr>
        <w:spacing w:after="0" w:line="8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certain requirements related to the disclosure of executive compensation in this prospectus and in our periodic reports and proxy statements, and the requirement that we hold a nonbinding advisory vote on executive compensation and any golden parachute payments. We have also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 However, because we have taken advantage of certain reduced reporting requirements, the information contained herein may be different from the information you receive from other public companies in which you hold shares.</w:t>
      </w:r>
    </w:p>
    <w:p>
      <w:pPr>
        <w:spacing w:after="0" w:line="122" w:lineRule="exact"/>
        <w:rPr>
          <w:sz w:val="20"/>
          <w:szCs w:val="20"/>
          <w:color w:val="auto"/>
        </w:rPr>
      </w:pPr>
    </w:p>
    <w:p>
      <w:pPr>
        <w:ind w:left="1980" w:right="899" w:firstLine="294"/>
        <w:spacing w:after="0" w:line="305" w:lineRule="auto"/>
        <w:rPr>
          <w:sz w:val="20"/>
          <w:szCs w:val="20"/>
          <w:color w:val="auto"/>
        </w:rPr>
      </w:pPr>
      <w:r>
        <w:rPr>
          <w:rFonts w:ascii="Arial" w:cs="Arial" w:eastAsia="Arial" w:hAnsi="Arial"/>
          <w:sz w:val="10"/>
          <w:szCs w:val="10"/>
          <w:color w:val="auto"/>
        </w:rPr>
        <w:t>We will remain an emerging growth company until the earlier of (1) the last day of the fiscal year (a) following the fifth anniversary of the date of the first sale of Roivant Common Shares pursuant to an effective registration statement or (b) in which we have total annual gross revenue of at least $1.07 billion (as adjusted for inflation pursuant to SEC rules from time to time), and (2) the date on which (x) we are deemed to be a large accelerated filer, which means the market value of Roivant Common Shares that are held by non-affiliates exceeds $700 million as of the prior September 30th, or</w:t>
      </w:r>
    </w:p>
    <w:p>
      <w:pPr>
        <w:ind w:left="5560" w:right="2539" w:hanging="3588"/>
        <w:spacing w:after="0" w:line="433" w:lineRule="auto"/>
        <w:tabs>
          <w:tab w:leader="none" w:pos="2148"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date on which we have issued more than $1.0 billion in nonconvertible debt during the prior three-year period. 125</w:t>
      </w:r>
    </w:p>
    <w:p>
      <w:pPr>
        <w:sectPr>
          <w:pgSz w:w="11900" w:h="16838" w:orient="portrait"/>
          <w:cols w:equalWidth="0" w:num="1">
            <w:col w:w="10159"/>
          </w:cols>
          <w:pgMar w:left="300" w:top="372"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more difficult.</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72"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BUSINESS</w:t>
      </w:r>
    </w:p>
    <w:p>
      <w:pPr>
        <w:spacing w:after="0" w:line="154"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i w:val="1"/>
          <w:iCs w:val="1"/>
          <w:color w:val="auto"/>
        </w:rPr>
        <w:t>References to “Roivant,” “the Company,” “we,” “us” or “our” in the following section refer to Roivant Sciences Ltd. and its subsidiaries, unless the context otherwise requires.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1980" w:right="1039" w:firstLine="294"/>
        <w:spacing w:after="0" w:line="379" w:lineRule="auto"/>
        <w:rPr>
          <w:sz w:val="20"/>
          <w:szCs w:val="20"/>
          <w:color w:val="auto"/>
        </w:rPr>
      </w:pPr>
      <w:r>
        <w:rPr>
          <w:rFonts w:ascii="Arial" w:cs="Arial" w:eastAsia="Arial" w:hAnsi="Arial"/>
          <w:sz w:val="10"/>
          <w:szCs w:val="10"/>
          <w:color w:val="auto"/>
        </w:rPr>
        <w:t>We are building the next-generation “big pharma” company, organized to harness modern technologies and the entrepreneurial spirit of nimble biotechnology companies at scale. Our mission is to improve the delivery of healthcare to patients by treating every inefficiency as an opportunity.</w:t>
      </w:r>
    </w:p>
    <w:p>
      <w:pPr>
        <w:spacing w:after="0" w:line="69"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0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a unique combination of leading computational physics and machine learning (“ML”) capabilities for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drug design.</w:t>
      </w:r>
    </w:p>
    <w:p>
      <w:pPr>
        <w:spacing w:after="0" w:line="10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develop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24"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Our agile Vant model has allowed us to rapidly add capabilities in diverse therapeutic areas, including immunology, dermatology, hematology and oncology, and modalities, including biologics, topicals, gene therapies and bifunctional small molecules. We currently have 14 Vants and, together, we are advancing a deep and diversified pipeline of over 30 drug candidates. We have launched and taken public multiple Vants, resulting in an aggregate ownership stake of approximately $940 million in the Public Vants (inclusive of the value of the Myovant Top-Up Shares) as of September 30, 2021.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Since our founding in 2014, we have:</w:t>
      </w:r>
    </w:p>
    <w:p>
      <w:pPr>
        <w:spacing w:after="0" w:line="87" w:lineRule="exact"/>
        <w:rPr>
          <w:sz w:val="20"/>
          <w:szCs w:val="20"/>
          <w:color w:val="auto"/>
        </w:rPr>
      </w:pPr>
    </w:p>
    <w:p>
      <w:pPr>
        <w:ind w:left="3360" w:hanging="434"/>
        <w:spacing w:after="0"/>
        <w:tabs>
          <w:tab w:leader="none" w:pos="3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conducted nine international Phase 3 trials, the last eight of which have been successful;</w:t>
      </w:r>
    </w:p>
    <w:p>
      <w:pPr>
        <w:spacing w:after="0" w:line="87" w:lineRule="exact"/>
        <w:rPr>
          <w:rFonts w:ascii="Arial" w:cs="Arial" w:eastAsia="Arial" w:hAnsi="Arial"/>
          <w:sz w:val="12"/>
          <w:szCs w:val="12"/>
          <w:color w:val="auto"/>
        </w:rPr>
      </w:pPr>
    </w:p>
    <w:p>
      <w:pPr>
        <w:ind w:left="3360" w:hanging="434"/>
        <w:spacing w:after="0"/>
        <w:tabs>
          <w:tab w:leader="none" w:pos="3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consummated a $3 billion upfront partnership with Sumitomo (see “—Platform Recognition”);</w:t>
      </w:r>
    </w:p>
    <w:p>
      <w:pPr>
        <w:spacing w:after="0" w:line="87" w:lineRule="exact"/>
        <w:rPr>
          <w:rFonts w:ascii="Arial" w:cs="Arial" w:eastAsia="Arial" w:hAnsi="Arial"/>
          <w:sz w:val="12"/>
          <w:szCs w:val="12"/>
          <w:color w:val="auto"/>
        </w:rPr>
      </w:pPr>
    </w:p>
    <w:p>
      <w:pPr>
        <w:ind w:left="3360" w:hanging="434"/>
        <w:spacing w:after="0"/>
        <w:tabs>
          <w:tab w:leader="none" w:pos="3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developed four drugs that received FDA approval after their transfer to Sumitomo;</w:t>
      </w:r>
    </w:p>
    <w:p>
      <w:pPr>
        <w:spacing w:after="0" w:line="87" w:lineRule="exact"/>
        <w:rPr>
          <w:rFonts w:ascii="Arial" w:cs="Arial" w:eastAsia="Arial" w:hAnsi="Arial"/>
          <w:sz w:val="12"/>
          <w:szCs w:val="12"/>
          <w:color w:val="auto"/>
        </w:rPr>
      </w:pPr>
    </w:p>
    <w:p>
      <w:pPr>
        <w:ind w:left="3360" w:hanging="434"/>
        <w:spacing w:after="0"/>
        <w:tabs>
          <w:tab w:leader="none" w:pos="3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built a pipeline of over 30 drug candidates ranging from early discovery to registration;</w:t>
      </w:r>
    </w:p>
    <w:p>
      <w:pPr>
        <w:spacing w:after="0" w:line="87" w:lineRule="exact"/>
        <w:rPr>
          <w:rFonts w:ascii="Arial" w:cs="Arial" w:eastAsia="Arial" w:hAnsi="Arial"/>
          <w:sz w:val="12"/>
          <w:szCs w:val="12"/>
          <w:color w:val="auto"/>
        </w:rPr>
      </w:pPr>
    </w:p>
    <w:p>
      <w:pPr>
        <w:ind w:left="3360" w:right="1019" w:hanging="434"/>
        <w:spacing w:after="0" w:line="276" w:lineRule="auto"/>
        <w:tabs>
          <w:tab w:leader="none" w:pos="3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launched Roivant Discovery, our small molecule discovery engine, consisting of a collection of advanced computational physics capabilities, integrated with an in-house wet lab facility; and</w:t>
      </w:r>
    </w:p>
    <w:p>
      <w:pPr>
        <w:spacing w:after="0" w:line="51" w:lineRule="exact"/>
        <w:rPr>
          <w:rFonts w:ascii="Arial" w:cs="Arial" w:eastAsia="Arial" w:hAnsi="Arial"/>
          <w:sz w:val="12"/>
          <w:szCs w:val="12"/>
          <w:color w:val="auto"/>
        </w:rPr>
      </w:pPr>
    </w:p>
    <w:p>
      <w:pPr>
        <w:ind w:left="5560" w:right="839" w:hanging="2634"/>
        <w:spacing w:after="0" w:line="448" w:lineRule="auto"/>
        <w:tabs>
          <w:tab w:leader="none" w:pos="3364" w:val="left"/>
        </w:tabs>
        <w:numPr>
          <w:ilvl w:val="0"/>
          <w:numId w:val="63"/>
        </w:numPr>
        <w:rPr>
          <w:rFonts w:ascii="Arial" w:cs="Arial" w:eastAsia="Arial" w:hAnsi="Arial"/>
          <w:sz w:val="12"/>
          <w:szCs w:val="12"/>
          <w:color w:val="auto"/>
        </w:rPr>
      </w:pPr>
      <w:r>
        <w:rPr>
          <w:rFonts w:ascii="Arial" w:cs="Arial" w:eastAsia="Arial" w:hAnsi="Arial"/>
          <w:sz w:val="12"/>
          <w:szCs w:val="12"/>
          <w:color w:val="auto"/>
        </w:rPr>
        <w:t>created innovative software tools to optimize each stage of the drug discovery, development and commercialization process. 127</w:t>
      </w:r>
    </w:p>
    <w:p>
      <w:pPr>
        <w:sectPr>
          <w:pgSz w:w="11900" w:h="16838" w:orient="portrait"/>
          <w:cols w:equalWidth="0" w:num="1">
            <w:col w:w="10159"/>
          </w:cols>
          <w:pgMar w:left="300" w:top="372"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Today, we have 14 Vants. We plan to create additional Vants based on the outputs of the Roivant platform, including our in-licensing efforts and our small molecule discovery engine, Roivant Discovery. The following table summarizes our Vants: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7"/>
              </w:rPr>
              <w:t>Roivant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gridSpan w:val="4"/>
          </w:tcPr>
          <w:p>
            <w:pPr>
              <w:jc w:val="center"/>
              <w:ind w:right="60"/>
              <w:spacing w:after="0" w:line="99" w:lineRule="exact"/>
              <w:rPr>
                <w:sz w:val="20"/>
                <w:szCs w:val="20"/>
                <w:color w:val="auto"/>
              </w:rPr>
            </w:pPr>
            <w:r>
              <w:rPr>
                <w:rFonts w:ascii="Arial" w:cs="Arial" w:eastAsia="Arial" w:hAnsi="Arial"/>
                <w:sz w:val="10"/>
                <w:szCs w:val="10"/>
                <w:b w:val="1"/>
                <w:bCs w:val="1"/>
                <w:color w:val="auto"/>
                <w:w w:val="88"/>
              </w:rPr>
              <w:t>Ownership at</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Vant</w:t>
            </w:r>
          </w:p>
        </w:tc>
        <w:tc>
          <w:tcPr>
            <w:tcW w:w="660" w:type="dxa"/>
            <w:vAlign w:val="bottom"/>
            <w:gridSpan w:val="4"/>
          </w:tcPr>
          <w:p>
            <w:pPr>
              <w:jc w:val="center"/>
              <w:ind w:right="60"/>
              <w:spacing w:after="0" w:line="114" w:lineRule="exact"/>
              <w:rPr>
                <w:sz w:val="20"/>
                <w:szCs w:val="20"/>
                <w:color w:val="auto"/>
              </w:rPr>
            </w:pPr>
            <w:r>
              <w:rPr>
                <w:rFonts w:ascii="Arial" w:cs="Arial" w:eastAsia="Arial" w:hAnsi="Arial"/>
                <w:sz w:val="10"/>
                <w:szCs w:val="10"/>
                <w:b w:val="1"/>
                <w:bCs w:val="1"/>
                <w:color w:val="auto"/>
                <w:w w:val="86"/>
              </w:rPr>
              <w:t>June 30, 2021</w:t>
            </w:r>
          </w:p>
        </w:tc>
        <w:tc>
          <w:tcPr>
            <w:tcW w:w="10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Description</w:t>
            </w:r>
          </w:p>
        </w:tc>
        <w:tc>
          <w:tcPr>
            <w:tcW w:w="14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w w:val="99"/>
              </w:rPr>
              <w:t>Lead Program / Mechanism</w:t>
            </w:r>
          </w:p>
        </w:tc>
        <w:tc>
          <w:tcPr>
            <w:tcW w:w="6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Modality</w:t>
            </w:r>
          </w:p>
        </w:tc>
        <w:tc>
          <w:tcPr>
            <w:tcW w:w="12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Indication(s) /Phase</w:t>
            </w:r>
          </w:p>
        </w:tc>
        <w:tc>
          <w:tcPr>
            <w:tcW w:w="174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Upcoming Milestones</w:t>
            </w:r>
          </w:p>
        </w:tc>
        <w:tc>
          <w:tcPr>
            <w:tcW w:w="0" w:type="dxa"/>
            <w:vAlign w:val="bottom"/>
          </w:tcPr>
          <w:p>
            <w:pPr>
              <w:spacing w:after="0"/>
              <w:rPr>
                <w:sz w:val="1"/>
                <w:szCs w:val="1"/>
                <w:color w:val="auto"/>
              </w:rPr>
            </w:pPr>
          </w:p>
        </w:tc>
      </w:tr>
      <w:tr>
        <w:trPr>
          <w:trHeight w:val="79"/>
        </w:trPr>
        <w:tc>
          <w:tcPr>
            <w:tcW w:w="620" w:type="dxa"/>
            <w:vAlign w:val="bottom"/>
            <w:gridSpan w:val="2"/>
            <w:vMerge w:val="continue"/>
          </w:tcPr>
          <w:p>
            <w:pPr>
              <w:spacing w:after="0"/>
              <w:rPr>
                <w:sz w:val="6"/>
                <w:szCs w:val="6"/>
                <w:color w:val="auto"/>
              </w:rPr>
            </w:pPr>
          </w:p>
        </w:tc>
        <w:tc>
          <w:tcPr>
            <w:tcW w:w="300" w:type="dxa"/>
            <w:vAlign w:val="bottom"/>
            <w:tcBorders>
              <w:top w:val="single" w:sz="8" w:color="auto"/>
            </w:tcBorders>
            <w:gridSpan w:val="2"/>
          </w:tcPr>
          <w:p>
            <w:pPr>
              <w:spacing w:after="0" w:line="70" w:lineRule="exact"/>
              <w:rPr>
                <w:sz w:val="20"/>
                <w:szCs w:val="20"/>
                <w:color w:val="auto"/>
              </w:rPr>
            </w:pPr>
            <w:r>
              <w:rPr>
                <w:rFonts w:ascii="Arial" w:cs="Arial" w:eastAsia="Arial" w:hAnsi="Arial"/>
                <w:sz w:val="8"/>
                <w:szCs w:val="8"/>
                <w:b w:val="1"/>
                <w:bCs w:val="1"/>
                <w:color w:val="auto"/>
              </w:rPr>
              <w:t>Basic</w:t>
            </w:r>
          </w:p>
        </w:tc>
        <w:tc>
          <w:tcPr>
            <w:tcW w:w="300" w:type="dxa"/>
            <w:vAlign w:val="bottom"/>
            <w:tcBorders>
              <w:top w:val="single" w:sz="8" w:color="auto"/>
            </w:tcBorders>
          </w:tcPr>
          <w:p>
            <w:pPr>
              <w:spacing w:after="0" w:line="70" w:lineRule="exact"/>
              <w:rPr>
                <w:sz w:val="20"/>
                <w:szCs w:val="20"/>
                <w:color w:val="auto"/>
              </w:rPr>
            </w:pPr>
            <w:r>
              <w:rPr>
                <w:rFonts w:ascii="Arial" w:cs="Arial" w:eastAsia="Arial" w:hAnsi="Arial"/>
                <w:sz w:val="8"/>
                <w:szCs w:val="8"/>
                <w:b w:val="1"/>
                <w:bCs w:val="1"/>
                <w:color w:val="auto"/>
              </w:rPr>
              <w:t>Diluted</w:t>
            </w:r>
          </w:p>
        </w:tc>
        <w:tc>
          <w:tcPr>
            <w:tcW w:w="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620" w:type="dxa"/>
            <w:vAlign w:val="bottom"/>
            <w:gridSpan w:val="2"/>
          </w:tcPr>
          <w:p>
            <w:pPr>
              <w:spacing w:after="0" w:line="74" w:lineRule="exact"/>
              <w:rPr>
                <w:sz w:val="20"/>
                <w:szCs w:val="20"/>
                <w:color w:val="auto"/>
              </w:rPr>
            </w:pPr>
            <w:r>
              <w:rPr>
                <w:rFonts w:ascii="Arial" w:cs="Arial" w:eastAsia="Arial" w:hAnsi="Arial"/>
                <w:sz w:val="8"/>
                <w:szCs w:val="8"/>
                <w:color w:val="auto"/>
              </w:rPr>
              <w:t>Dermavant</w:t>
            </w:r>
          </w:p>
        </w:tc>
        <w:tc>
          <w:tcPr>
            <w:tcW w:w="220" w:type="dxa"/>
            <w:vAlign w:val="bottom"/>
          </w:tcPr>
          <w:p>
            <w:pPr>
              <w:spacing w:after="0" w:line="74" w:lineRule="exact"/>
              <w:rPr>
                <w:sz w:val="20"/>
                <w:szCs w:val="20"/>
                <w:color w:val="auto"/>
              </w:rPr>
            </w:pPr>
            <w:r>
              <w:rPr>
                <w:rFonts w:ascii="Arial" w:cs="Arial" w:eastAsia="Arial" w:hAnsi="Arial"/>
                <w:sz w:val="8"/>
                <w:szCs w:val="8"/>
                <w:color w:val="auto"/>
                <w:w w:val="97"/>
              </w:rPr>
              <w:t>100%</w:t>
            </w:r>
          </w:p>
        </w:tc>
        <w:tc>
          <w:tcPr>
            <w:tcW w:w="80" w:type="dxa"/>
            <w:vAlign w:val="bottom"/>
          </w:tcPr>
          <w:p>
            <w:pPr>
              <w:spacing w:after="0"/>
              <w:rPr>
                <w:sz w:val="6"/>
                <w:szCs w:val="6"/>
                <w:color w:val="auto"/>
              </w:rPr>
            </w:pPr>
          </w:p>
        </w:tc>
        <w:tc>
          <w:tcPr>
            <w:tcW w:w="300" w:type="dxa"/>
            <w:vAlign w:val="bottom"/>
          </w:tcPr>
          <w:p>
            <w:pPr>
              <w:spacing w:after="0" w:line="74" w:lineRule="exact"/>
              <w:rPr>
                <w:sz w:val="20"/>
                <w:szCs w:val="20"/>
                <w:color w:val="auto"/>
              </w:rPr>
            </w:pPr>
            <w:r>
              <w:rPr>
                <w:rFonts w:ascii="Arial" w:cs="Arial" w:eastAsia="Arial" w:hAnsi="Arial"/>
                <w:sz w:val="8"/>
                <w:szCs w:val="8"/>
                <w:color w:val="auto"/>
              </w:rPr>
              <w:t>84%</w:t>
            </w:r>
          </w:p>
        </w:tc>
        <w:tc>
          <w:tcPr>
            <w:tcW w:w="60" w:type="dxa"/>
            <w:vAlign w:val="bottom"/>
          </w:tcPr>
          <w:p>
            <w:pPr>
              <w:spacing w:after="0"/>
              <w:rPr>
                <w:sz w:val="6"/>
                <w:szCs w:val="6"/>
                <w:color w:val="auto"/>
              </w:rPr>
            </w:pPr>
          </w:p>
        </w:tc>
        <w:tc>
          <w:tcPr>
            <w:tcW w:w="980" w:type="dxa"/>
            <w:vAlign w:val="bottom"/>
          </w:tcPr>
          <w:p>
            <w:pPr>
              <w:spacing w:after="0" w:line="74" w:lineRule="exact"/>
              <w:rPr>
                <w:sz w:val="20"/>
                <w:szCs w:val="20"/>
                <w:color w:val="auto"/>
              </w:rPr>
            </w:pPr>
            <w:r>
              <w:rPr>
                <w:rFonts w:ascii="Arial" w:cs="Arial" w:eastAsia="Arial" w:hAnsi="Arial"/>
                <w:sz w:val="8"/>
                <w:szCs w:val="8"/>
                <w:color w:val="auto"/>
              </w:rPr>
              <w:t>Developing treatments</w:t>
            </w:r>
          </w:p>
        </w:tc>
        <w:tc>
          <w:tcPr>
            <w:tcW w:w="80" w:type="dxa"/>
            <w:vAlign w:val="bottom"/>
          </w:tcPr>
          <w:p>
            <w:pPr>
              <w:spacing w:after="0"/>
              <w:rPr>
                <w:sz w:val="6"/>
                <w:szCs w:val="6"/>
                <w:color w:val="auto"/>
              </w:rPr>
            </w:pPr>
          </w:p>
        </w:tc>
        <w:tc>
          <w:tcPr>
            <w:tcW w:w="1360" w:type="dxa"/>
            <w:vAlign w:val="bottom"/>
          </w:tcPr>
          <w:p>
            <w:pPr>
              <w:spacing w:after="0" w:line="74" w:lineRule="exact"/>
              <w:rPr>
                <w:sz w:val="20"/>
                <w:szCs w:val="20"/>
                <w:color w:val="auto"/>
              </w:rPr>
            </w:pPr>
            <w:r>
              <w:rPr>
                <w:rFonts w:ascii="Arial" w:cs="Arial" w:eastAsia="Arial" w:hAnsi="Arial"/>
                <w:sz w:val="8"/>
                <w:szCs w:val="8"/>
                <w:color w:val="auto"/>
              </w:rPr>
              <w:t>Tapinarof / Therapeutic aryl</w:t>
            </w:r>
          </w:p>
        </w:tc>
        <w:tc>
          <w:tcPr>
            <w:tcW w:w="80" w:type="dxa"/>
            <w:vAlign w:val="bottom"/>
          </w:tcPr>
          <w:p>
            <w:pPr>
              <w:spacing w:after="0"/>
              <w:rPr>
                <w:sz w:val="6"/>
                <w:szCs w:val="6"/>
                <w:color w:val="auto"/>
              </w:rPr>
            </w:pPr>
          </w:p>
        </w:tc>
        <w:tc>
          <w:tcPr>
            <w:tcW w:w="520" w:type="dxa"/>
            <w:vAlign w:val="bottom"/>
          </w:tcPr>
          <w:p>
            <w:pPr>
              <w:spacing w:after="0" w:line="74" w:lineRule="exact"/>
              <w:rPr>
                <w:sz w:val="20"/>
                <w:szCs w:val="20"/>
                <w:color w:val="auto"/>
              </w:rPr>
            </w:pPr>
            <w:r>
              <w:rPr>
                <w:rFonts w:ascii="Arial" w:cs="Arial" w:eastAsia="Arial" w:hAnsi="Arial"/>
                <w:sz w:val="8"/>
                <w:szCs w:val="8"/>
                <w:color w:val="auto"/>
              </w:rPr>
              <w:t>Topical</w:t>
            </w:r>
          </w:p>
        </w:tc>
        <w:tc>
          <w:tcPr>
            <w:tcW w:w="80" w:type="dxa"/>
            <w:vAlign w:val="bottom"/>
          </w:tcPr>
          <w:p>
            <w:pPr>
              <w:spacing w:after="0"/>
              <w:rPr>
                <w:sz w:val="6"/>
                <w:szCs w:val="6"/>
                <w:color w:val="auto"/>
              </w:rPr>
            </w:pPr>
          </w:p>
        </w:tc>
        <w:tc>
          <w:tcPr>
            <w:tcW w:w="1160" w:type="dxa"/>
            <w:vAlign w:val="bottom"/>
          </w:tcPr>
          <w:p>
            <w:pPr>
              <w:ind w:left="40"/>
              <w:spacing w:after="0" w:line="74" w:lineRule="exact"/>
              <w:rPr>
                <w:sz w:val="20"/>
                <w:szCs w:val="20"/>
                <w:color w:val="auto"/>
              </w:rPr>
            </w:pPr>
            <w:r>
              <w:rPr>
                <w:rFonts w:ascii="Arial" w:cs="Arial" w:eastAsia="Arial" w:hAnsi="Arial"/>
                <w:sz w:val="8"/>
                <w:szCs w:val="8"/>
                <w:color w:val="auto"/>
              </w:rPr>
              <w:t>•  Psoriasis /Registration</w:t>
            </w:r>
          </w:p>
        </w:tc>
        <w:tc>
          <w:tcPr>
            <w:tcW w:w="60" w:type="dxa"/>
            <w:vAlign w:val="bottom"/>
          </w:tcPr>
          <w:p>
            <w:pPr>
              <w:spacing w:after="0"/>
              <w:rPr>
                <w:sz w:val="6"/>
                <w:szCs w:val="6"/>
                <w:color w:val="auto"/>
              </w:rPr>
            </w:pPr>
          </w:p>
        </w:tc>
        <w:tc>
          <w:tcPr>
            <w:tcW w:w="1740" w:type="dxa"/>
            <w:vAlign w:val="bottom"/>
          </w:tcPr>
          <w:p>
            <w:pPr>
              <w:ind w:left="60"/>
              <w:spacing w:after="0" w:line="74" w:lineRule="exact"/>
              <w:rPr>
                <w:sz w:val="20"/>
                <w:szCs w:val="20"/>
                <w:color w:val="auto"/>
              </w:rPr>
            </w:pPr>
            <w:r>
              <w:rPr>
                <w:rFonts w:ascii="Arial" w:cs="Arial" w:eastAsia="Arial" w:hAnsi="Arial"/>
                <w:sz w:val="8"/>
                <w:szCs w:val="8"/>
                <w:color w:val="auto"/>
              </w:rPr>
              <w:t>•  Q2 ‘22: FDA approval decision on</w:t>
            </w: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tcPr>
          <w:p>
            <w:pPr>
              <w:spacing w:after="0" w:line="99" w:lineRule="exact"/>
              <w:rPr>
                <w:sz w:val="20"/>
                <w:szCs w:val="20"/>
                <w:color w:val="auto"/>
              </w:rPr>
            </w:pPr>
            <w:r>
              <w:rPr>
                <w:rFonts w:ascii="Arial" w:cs="Arial" w:eastAsia="Arial" w:hAnsi="Arial"/>
                <w:sz w:val="10"/>
                <w:szCs w:val="10"/>
                <w:color w:val="auto"/>
              </w:rPr>
              <w:t>for unmet needs in</w:t>
            </w:r>
          </w:p>
        </w:tc>
        <w:tc>
          <w:tcPr>
            <w:tcW w:w="1440" w:type="dxa"/>
            <w:vAlign w:val="bottom"/>
            <w:gridSpan w:val="2"/>
          </w:tcPr>
          <w:p>
            <w:pPr>
              <w:spacing w:after="0" w:line="99" w:lineRule="exact"/>
              <w:rPr>
                <w:sz w:val="20"/>
                <w:szCs w:val="20"/>
                <w:color w:val="auto"/>
              </w:rPr>
            </w:pPr>
            <w:r>
              <w:rPr>
                <w:rFonts w:ascii="Arial" w:cs="Arial" w:eastAsia="Arial" w:hAnsi="Arial"/>
                <w:sz w:val="10"/>
                <w:szCs w:val="10"/>
                <w:color w:val="auto"/>
                <w:w w:val="96"/>
              </w:rPr>
              <w:t>hydrocarbon receptor modulating</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0"/>
                <w:szCs w:val="10"/>
                <w:color w:val="auto"/>
              </w:rPr>
              <w:t>Atopic dermatitis /</w:t>
            </w:r>
          </w:p>
        </w:tc>
        <w:tc>
          <w:tcPr>
            <w:tcW w:w="1740" w:type="dxa"/>
            <w:vAlign w:val="bottom"/>
          </w:tcPr>
          <w:p>
            <w:pPr>
              <w:ind w:left="200"/>
              <w:spacing w:after="0" w:line="99" w:lineRule="exact"/>
              <w:rPr>
                <w:sz w:val="20"/>
                <w:szCs w:val="20"/>
                <w:color w:val="auto"/>
              </w:rPr>
            </w:pPr>
            <w:r>
              <w:rPr>
                <w:rFonts w:ascii="Arial" w:cs="Arial" w:eastAsia="Arial" w:hAnsi="Arial"/>
                <w:sz w:val="10"/>
                <w:szCs w:val="10"/>
                <w:color w:val="auto"/>
              </w:rPr>
              <w:t>Tapinarof for psoriasis</w:t>
            </w: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tcPr>
          <w:p>
            <w:pPr>
              <w:spacing w:after="0" w:line="94" w:lineRule="exact"/>
              <w:rPr>
                <w:sz w:val="20"/>
                <w:szCs w:val="20"/>
                <w:color w:val="auto"/>
              </w:rPr>
            </w:pPr>
            <w:r>
              <w:rPr>
                <w:rFonts w:ascii="Arial" w:cs="Arial" w:eastAsia="Arial" w:hAnsi="Arial"/>
                <w:sz w:val="10"/>
                <w:szCs w:val="10"/>
                <w:color w:val="auto"/>
              </w:rPr>
              <w:t>immuno-dermatology</w:t>
            </w:r>
          </w:p>
        </w:tc>
        <w:tc>
          <w:tcPr>
            <w:tcW w:w="1440" w:type="dxa"/>
            <w:vAlign w:val="bottom"/>
            <w:gridSpan w:val="2"/>
          </w:tcPr>
          <w:p>
            <w:pPr>
              <w:spacing w:after="0" w:line="94" w:lineRule="exact"/>
              <w:rPr>
                <w:sz w:val="20"/>
                <w:szCs w:val="20"/>
                <w:color w:val="auto"/>
              </w:rPr>
            </w:pPr>
            <w:r>
              <w:rPr>
                <w:rFonts w:ascii="Arial" w:cs="Arial" w:eastAsia="Arial" w:hAnsi="Arial"/>
                <w:sz w:val="10"/>
                <w:szCs w:val="10"/>
                <w:color w:val="auto"/>
              </w:rPr>
              <w:t>agent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40" w:type="dxa"/>
            <w:vAlign w:val="bottom"/>
            <w:vMerge w:val="restart"/>
          </w:tcPr>
          <w:p>
            <w:pPr>
              <w:ind w:left="200"/>
              <w:spacing w:after="0"/>
              <w:rPr>
                <w:sz w:val="20"/>
                <w:szCs w:val="20"/>
                <w:color w:val="auto"/>
              </w:rPr>
            </w:pPr>
            <w:r>
              <w:rPr>
                <w:rFonts w:ascii="Arial" w:cs="Arial" w:eastAsia="Arial" w:hAnsi="Arial"/>
                <w:sz w:val="10"/>
                <w:szCs w:val="10"/>
                <w:color w:val="auto"/>
                <w:w w:val="89"/>
              </w:rPr>
              <w:t>1H ‘23: Topline Phase 3 data in atopic</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ind w:left="180"/>
              <w:spacing w:after="0" w:line="95" w:lineRule="exact"/>
              <w:rPr>
                <w:sz w:val="20"/>
                <w:szCs w:val="20"/>
                <w:color w:val="auto"/>
              </w:rPr>
            </w:pPr>
            <w:r>
              <w:rPr>
                <w:rFonts w:ascii="Arial" w:cs="Arial" w:eastAsia="Arial" w:hAnsi="Arial"/>
                <w:sz w:val="10"/>
                <w:szCs w:val="10"/>
                <w:color w:val="auto"/>
              </w:rPr>
              <w:t>Phase 3</w:t>
            </w: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80"/>
        <w:spacing w:after="0" w:line="236" w:lineRule="auto"/>
        <w:rPr>
          <w:sz w:val="20"/>
          <w:szCs w:val="20"/>
          <w:color w:val="auto"/>
        </w:rPr>
      </w:pPr>
      <w:r>
        <w:rPr>
          <w:rFonts w:ascii="Arial" w:cs="Arial" w:eastAsia="Arial" w:hAnsi="Arial"/>
          <w:sz w:val="10"/>
          <w:szCs w:val="10"/>
          <w:color w:val="auto"/>
        </w:rPr>
        <w:t>dermatitis</w:t>
      </w:r>
    </w:p>
    <w:p>
      <w:pPr>
        <w:sectPr>
          <w:pgSz w:w="11900" w:h="16838" w:orient="portrait"/>
          <w:cols w:equalWidth="0" w:num="1">
            <w:col w:w="10159"/>
          </w:cols>
          <w:pgMar w:left="300" w:top="372" w:right="1440" w:bottom="1440" w:gutter="0" w:footer="0" w:header="0"/>
        </w:sectPr>
      </w:pPr>
    </w:p>
    <w:p>
      <w:pPr>
        <w:spacing w:after="0" w:line="51" w:lineRule="exact"/>
        <w:rPr>
          <w:sz w:val="20"/>
          <w:szCs w:val="20"/>
          <w:color w:val="auto"/>
        </w:rPr>
      </w:pPr>
    </w:p>
    <w:p>
      <w:pPr>
        <w:ind w:left="1980"/>
        <w:spacing w:after="0"/>
        <w:tabs>
          <w:tab w:leader="none" w:pos="2580" w:val="left"/>
          <w:tab w:leader="none" w:pos="3240" w:val="left"/>
          <w:tab w:leader="none" w:pos="4300" w:val="left"/>
        </w:tabs>
        <w:rPr>
          <w:sz w:val="20"/>
          <w:szCs w:val="20"/>
          <w:color w:val="auto"/>
        </w:rPr>
      </w:pPr>
      <w:r>
        <w:rPr>
          <w:rFonts w:ascii="Arial" w:cs="Arial" w:eastAsia="Arial" w:hAnsi="Arial"/>
          <w:sz w:val="10"/>
          <w:szCs w:val="10"/>
          <w:color w:val="auto"/>
        </w:rPr>
        <w:t>Immunovant</w:t>
        <w:tab/>
        <w:t>58%*  53%*</w:t>
        <w:tab/>
        <w:t>Developing an anti-FcRn</w:t>
      </w:r>
      <w:r>
        <w:rPr>
          <w:sz w:val="20"/>
          <w:szCs w:val="20"/>
          <w:color w:val="auto"/>
        </w:rPr>
        <w:tab/>
      </w:r>
      <w:r>
        <w:rPr>
          <w:rFonts w:ascii="Arial" w:cs="Arial" w:eastAsia="Arial" w:hAnsi="Arial"/>
          <w:sz w:val="8"/>
          <w:szCs w:val="8"/>
          <w:color w:val="auto"/>
        </w:rPr>
        <w:t>IMVT-1401 / Anti-FcRn</w:t>
      </w:r>
    </w:p>
    <w:p>
      <w:pPr>
        <w:ind w:left="3260"/>
        <w:spacing w:after="0"/>
        <w:tabs>
          <w:tab w:leader="none" w:pos="4300" w:val="left"/>
        </w:tabs>
        <w:rPr>
          <w:sz w:val="20"/>
          <w:szCs w:val="20"/>
          <w:color w:val="auto"/>
        </w:rPr>
      </w:pPr>
      <w:r>
        <w:rPr>
          <w:rFonts w:ascii="Arial" w:cs="Arial" w:eastAsia="Arial" w:hAnsi="Arial"/>
          <w:sz w:val="10"/>
          <w:szCs w:val="10"/>
          <w:color w:val="auto"/>
        </w:rPr>
        <w:t>monoclonal antibody for</w:t>
      </w:r>
      <w:r>
        <w:rPr>
          <w:sz w:val="20"/>
          <w:szCs w:val="20"/>
          <w:color w:val="auto"/>
        </w:rPr>
        <w:tab/>
      </w:r>
      <w:r>
        <w:rPr>
          <w:rFonts w:ascii="Arial" w:cs="Arial" w:eastAsia="Arial" w:hAnsi="Arial"/>
          <w:sz w:val="8"/>
          <w:szCs w:val="8"/>
          <w:color w:val="auto"/>
        </w:rPr>
        <w:t>monoclonal antibody</w:t>
      </w:r>
    </w:p>
    <w:p>
      <w:pPr>
        <w:ind w:left="3260"/>
        <w:spacing w:after="0" w:line="207" w:lineRule="auto"/>
        <w:rPr>
          <w:sz w:val="20"/>
          <w:szCs w:val="20"/>
          <w:color w:val="auto"/>
        </w:rPr>
      </w:pPr>
      <w:r>
        <w:rPr>
          <w:rFonts w:ascii="Arial" w:cs="Arial" w:eastAsia="Arial" w:hAnsi="Arial"/>
          <w:sz w:val="10"/>
          <w:szCs w:val="10"/>
          <w:color w:val="auto"/>
        </w:rPr>
        <w:t>IgG-mediated</w:t>
      </w:r>
    </w:p>
    <w:p>
      <w:pPr>
        <w:ind w:left="3260"/>
        <w:spacing w:after="0" w:line="237" w:lineRule="auto"/>
        <w:rPr>
          <w:sz w:val="20"/>
          <w:szCs w:val="20"/>
          <w:color w:val="auto"/>
        </w:rPr>
      </w:pPr>
      <w:r>
        <w:rPr>
          <w:rFonts w:ascii="Arial" w:cs="Arial" w:eastAsia="Arial" w:hAnsi="Arial"/>
          <w:sz w:val="10"/>
          <w:szCs w:val="10"/>
          <w:color w:val="auto"/>
        </w:rPr>
        <w:t>autoimmune diseases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20"/>
                <w:szCs w:val="20"/>
                <w:color w:val="auto"/>
              </w:rPr>
            </w:pPr>
            <w:r>
              <w:rPr>
                <w:rFonts w:ascii="Arial" w:cs="Arial" w:eastAsia="Arial" w:hAnsi="Arial"/>
                <w:sz w:val="10"/>
                <w:szCs w:val="10"/>
                <w:color w:val="auto"/>
              </w:rPr>
              <w:t>Biologic</w:t>
            </w:r>
          </w:p>
        </w:tc>
        <w:tc>
          <w:tcPr>
            <w:tcW w:w="1320" w:type="dxa"/>
            <w:vAlign w:val="bottom"/>
          </w:tcPr>
          <w:p>
            <w:pPr>
              <w:ind w:left="160"/>
              <w:spacing w:after="0"/>
              <w:rPr>
                <w:sz w:val="20"/>
                <w:szCs w:val="20"/>
                <w:color w:val="auto"/>
              </w:rPr>
            </w:pPr>
            <w:r>
              <w:rPr>
                <w:rFonts w:ascii="Arial" w:cs="Arial" w:eastAsia="Arial" w:hAnsi="Arial"/>
                <w:sz w:val="10"/>
                <w:szCs w:val="10"/>
                <w:color w:val="auto"/>
              </w:rPr>
              <w:t>•  Myasthenia gravis,</w:t>
            </w:r>
          </w:p>
        </w:tc>
        <w:tc>
          <w:tcPr>
            <w:tcW w:w="1700" w:type="dxa"/>
            <w:vAlign w:val="bottom"/>
            <w:gridSpan w:val="2"/>
          </w:tcPr>
          <w:p>
            <w:pPr>
              <w:ind w:left="80"/>
              <w:spacing w:after="0"/>
              <w:rPr>
                <w:sz w:val="20"/>
                <w:szCs w:val="20"/>
                <w:color w:val="auto"/>
              </w:rPr>
            </w:pPr>
            <w:r>
              <w:rPr>
                <w:rFonts w:ascii="Arial" w:cs="Arial" w:eastAsia="Arial" w:hAnsi="Arial"/>
                <w:sz w:val="10"/>
                <w:szCs w:val="10"/>
                <w:color w:val="auto"/>
                <w:w w:val="93"/>
              </w:rPr>
              <w:t>•  Early 2022: Initiate pivotal trial in MG</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320" w:type="dxa"/>
            <w:vAlign w:val="bottom"/>
          </w:tcPr>
          <w:p>
            <w:pPr>
              <w:ind w:left="300"/>
              <w:spacing w:after="0" w:line="99" w:lineRule="exact"/>
              <w:rPr>
                <w:sz w:val="20"/>
                <w:szCs w:val="20"/>
                <w:color w:val="auto"/>
              </w:rPr>
            </w:pPr>
            <w:r>
              <w:rPr>
                <w:rFonts w:ascii="Arial" w:cs="Arial" w:eastAsia="Arial" w:hAnsi="Arial"/>
                <w:sz w:val="10"/>
                <w:szCs w:val="10"/>
                <w:color w:val="auto"/>
                <w:w w:val="92"/>
              </w:rPr>
              <w:t>thyroid eye disease, and</w:t>
            </w:r>
          </w:p>
        </w:tc>
        <w:tc>
          <w:tcPr>
            <w:tcW w:w="160" w:type="dxa"/>
            <w:vAlign w:val="bottom"/>
            <w:vMerge w:val="restart"/>
          </w:tcPr>
          <w:p>
            <w:pPr>
              <w:ind w:left="80"/>
              <w:spacing w:after="0"/>
              <w:rPr>
                <w:sz w:val="20"/>
                <w:szCs w:val="20"/>
                <w:color w:val="auto"/>
              </w:rPr>
            </w:pPr>
            <w:r>
              <w:rPr>
                <w:rFonts w:ascii="Arial" w:cs="Arial" w:eastAsia="Arial" w:hAnsi="Arial"/>
                <w:sz w:val="10"/>
                <w:szCs w:val="10"/>
                <w:color w:val="auto"/>
              </w:rPr>
              <w:t>•</w:t>
            </w:r>
          </w:p>
        </w:tc>
        <w:tc>
          <w:tcPr>
            <w:tcW w:w="1540" w:type="dxa"/>
            <w:vAlign w:val="bottom"/>
            <w:vMerge w:val="restart"/>
          </w:tcPr>
          <w:p>
            <w:pPr>
              <w:ind w:left="40"/>
              <w:spacing w:after="0"/>
              <w:rPr>
                <w:sz w:val="20"/>
                <w:szCs w:val="20"/>
                <w:color w:val="auto"/>
              </w:rPr>
            </w:pPr>
            <w:r>
              <w:rPr>
                <w:rFonts w:ascii="Arial" w:cs="Arial" w:eastAsia="Arial" w:hAnsi="Arial"/>
                <w:sz w:val="10"/>
                <w:szCs w:val="10"/>
                <w:color w:val="auto"/>
              </w:rPr>
              <w:t>TBA: Reinitiate program in TED</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320" w:type="dxa"/>
            <w:vAlign w:val="bottom"/>
          </w:tcPr>
          <w:p>
            <w:pPr>
              <w:ind w:left="300"/>
              <w:spacing w:after="0" w:line="99" w:lineRule="exact"/>
              <w:rPr>
                <w:sz w:val="20"/>
                <w:szCs w:val="20"/>
                <w:color w:val="auto"/>
              </w:rPr>
            </w:pPr>
            <w:r>
              <w:rPr>
                <w:rFonts w:ascii="Arial" w:cs="Arial" w:eastAsia="Arial" w:hAnsi="Arial"/>
                <w:sz w:val="10"/>
                <w:szCs w:val="10"/>
                <w:color w:val="auto"/>
              </w:rPr>
              <w:t>warm autoimmune</w:t>
            </w:r>
          </w:p>
        </w:tc>
        <w:tc>
          <w:tcPr>
            <w:tcW w:w="1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320" w:type="dxa"/>
            <w:vAlign w:val="bottom"/>
          </w:tcPr>
          <w:p>
            <w:pPr>
              <w:ind w:left="300"/>
              <w:spacing w:after="0" w:line="99" w:lineRule="exact"/>
              <w:rPr>
                <w:sz w:val="20"/>
                <w:szCs w:val="20"/>
                <w:color w:val="auto"/>
              </w:rPr>
            </w:pPr>
            <w:r>
              <w:rPr>
                <w:rFonts w:ascii="Arial" w:cs="Arial" w:eastAsia="Arial" w:hAnsi="Arial"/>
                <w:sz w:val="10"/>
                <w:szCs w:val="10"/>
                <w:color w:val="auto"/>
              </w:rPr>
              <w:t>hemolytic anemia /</w:t>
            </w: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320" w:type="dxa"/>
            <w:vAlign w:val="bottom"/>
          </w:tcPr>
          <w:p>
            <w:pPr>
              <w:ind w:left="300"/>
              <w:spacing w:after="0"/>
              <w:rPr>
                <w:sz w:val="20"/>
                <w:szCs w:val="20"/>
                <w:color w:val="auto"/>
              </w:rPr>
            </w:pPr>
            <w:r>
              <w:rPr>
                <w:rFonts w:ascii="Arial" w:cs="Arial" w:eastAsia="Arial" w:hAnsi="Arial"/>
                <w:sz w:val="10"/>
                <w:szCs w:val="10"/>
                <w:color w:val="auto"/>
              </w:rPr>
              <w:t>Phase 2</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1540" w:type="dxa"/>
            <w:vAlign w:val="bottom"/>
          </w:tcPr>
          <w:p>
            <w:pPr>
              <w:ind w:left="40"/>
              <w:spacing w:after="0"/>
              <w:rPr>
                <w:sz w:val="20"/>
                <w:szCs w:val="20"/>
                <w:color w:val="auto"/>
              </w:rPr>
            </w:pPr>
            <w:r>
              <w:rPr>
                <w:rFonts w:ascii="Arial" w:cs="Arial" w:eastAsia="Arial" w:hAnsi="Arial"/>
                <w:sz w:val="10"/>
                <w:szCs w:val="10"/>
                <w:color w:val="auto"/>
                <w:w w:val="96"/>
              </w:rPr>
              <w:t>TBA: Reinitiate program in WAIHA</w:t>
            </w: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2">
            <w:col w:w="5260" w:space="500"/>
            <w:col w:w="4399"/>
          </w:cols>
          <w:pgMar w:left="300" w:top="372"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15"/>
        </w:trPr>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40" w:type="dxa"/>
            <w:vAlign w:val="bottom"/>
          </w:tcPr>
          <w:p>
            <w:pPr>
              <w:ind w:left="180"/>
              <w:spacing w:after="0"/>
              <w:rPr>
                <w:sz w:val="20"/>
                <w:szCs w:val="20"/>
                <w:color w:val="auto"/>
              </w:rPr>
            </w:pPr>
            <w:r>
              <w:rPr>
                <w:rFonts w:ascii="Arial" w:cs="Arial" w:eastAsia="Arial" w:hAnsi="Arial"/>
                <w:sz w:val="10"/>
                <w:szCs w:val="10"/>
                <w:color w:val="auto"/>
                <w:w w:val="94"/>
              </w:rPr>
              <w:t>•  2H ‘22: Announce at least two new</w:t>
            </w:r>
          </w:p>
        </w:tc>
      </w:tr>
      <w:tr>
        <w:trPr>
          <w:trHeight w:val="121"/>
        </w:trPr>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40" w:type="dxa"/>
            <w:vAlign w:val="bottom"/>
          </w:tcPr>
          <w:p>
            <w:pPr>
              <w:ind w:left="320"/>
              <w:spacing w:after="0"/>
              <w:rPr>
                <w:sz w:val="20"/>
                <w:szCs w:val="20"/>
                <w:color w:val="auto"/>
              </w:rPr>
            </w:pPr>
            <w:r>
              <w:rPr>
                <w:rFonts w:ascii="Arial" w:cs="Arial" w:eastAsia="Arial" w:hAnsi="Arial"/>
                <w:sz w:val="10"/>
                <w:szCs w:val="10"/>
                <w:color w:val="auto"/>
              </w:rPr>
              <w:t>indications for IMVT-1401</w:t>
            </w:r>
          </w:p>
        </w:tc>
      </w:tr>
      <w:tr>
        <w:trPr>
          <w:trHeight w:val="149"/>
        </w:trPr>
        <w:tc>
          <w:tcPr>
            <w:tcW w:w="520" w:type="dxa"/>
            <w:vAlign w:val="bottom"/>
          </w:tcPr>
          <w:p>
            <w:pPr>
              <w:spacing w:after="0"/>
              <w:rPr>
                <w:sz w:val="20"/>
                <w:szCs w:val="20"/>
                <w:color w:val="auto"/>
              </w:rPr>
            </w:pPr>
            <w:r>
              <w:rPr>
                <w:rFonts w:ascii="Arial" w:cs="Arial" w:eastAsia="Arial" w:hAnsi="Arial"/>
                <w:sz w:val="10"/>
                <w:szCs w:val="10"/>
                <w:color w:val="auto"/>
              </w:rPr>
              <w:t>Aruvant</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88%</w:t>
            </w:r>
          </w:p>
        </w:tc>
        <w:tc>
          <w:tcPr>
            <w:tcW w:w="340" w:type="dxa"/>
            <w:vAlign w:val="bottom"/>
          </w:tcPr>
          <w:p>
            <w:pPr>
              <w:jc w:val="right"/>
              <w:ind w:right="52"/>
              <w:spacing w:after="0"/>
              <w:rPr>
                <w:sz w:val="20"/>
                <w:szCs w:val="20"/>
                <w:color w:val="auto"/>
              </w:rPr>
            </w:pPr>
            <w:r>
              <w:rPr>
                <w:rFonts w:ascii="Arial" w:cs="Arial" w:eastAsia="Arial" w:hAnsi="Arial"/>
                <w:sz w:val="10"/>
                <w:szCs w:val="10"/>
                <w:color w:val="auto"/>
              </w:rPr>
              <w:t>79%</w:t>
            </w:r>
          </w:p>
        </w:tc>
        <w:tc>
          <w:tcPr>
            <w:tcW w:w="1100" w:type="dxa"/>
            <w:vAlign w:val="bottom"/>
          </w:tcPr>
          <w:p>
            <w:pPr>
              <w:ind w:left="80"/>
              <w:spacing w:after="0"/>
              <w:rPr>
                <w:sz w:val="20"/>
                <w:szCs w:val="20"/>
                <w:color w:val="auto"/>
              </w:rPr>
            </w:pPr>
            <w:r>
              <w:rPr>
                <w:rFonts w:ascii="Arial" w:cs="Arial" w:eastAsia="Arial" w:hAnsi="Arial"/>
                <w:sz w:val="10"/>
                <w:szCs w:val="10"/>
                <w:color w:val="auto"/>
              </w:rPr>
              <w:t>Developing</w:t>
            </w:r>
          </w:p>
        </w:tc>
        <w:tc>
          <w:tcPr>
            <w:tcW w:w="1380" w:type="dxa"/>
            <w:vAlign w:val="bottom"/>
          </w:tcPr>
          <w:p>
            <w:pPr>
              <w:ind w:left="40"/>
              <w:spacing w:after="0"/>
              <w:rPr>
                <w:sz w:val="20"/>
                <w:szCs w:val="20"/>
                <w:color w:val="auto"/>
              </w:rPr>
            </w:pPr>
            <w:r>
              <w:rPr>
                <w:rFonts w:ascii="Arial" w:cs="Arial" w:eastAsia="Arial" w:hAnsi="Arial"/>
                <w:sz w:val="10"/>
                <w:szCs w:val="10"/>
                <w:color w:val="auto"/>
              </w:rPr>
              <w:t>ARU-1801 / Ex vivo lentiviral</w:t>
            </w:r>
          </w:p>
        </w:tc>
        <w:tc>
          <w:tcPr>
            <w:tcW w:w="680" w:type="dxa"/>
            <w:vAlign w:val="bottom"/>
          </w:tcPr>
          <w:p>
            <w:pPr>
              <w:ind w:left="100"/>
              <w:spacing w:after="0"/>
              <w:rPr>
                <w:sz w:val="20"/>
                <w:szCs w:val="20"/>
                <w:color w:val="auto"/>
              </w:rPr>
            </w:pPr>
            <w:r>
              <w:rPr>
                <w:rFonts w:ascii="Arial" w:cs="Arial" w:eastAsia="Arial" w:hAnsi="Arial"/>
                <w:sz w:val="10"/>
                <w:szCs w:val="10"/>
                <w:color w:val="auto"/>
                <w:w w:val="92"/>
              </w:rPr>
              <w:t>Gene therapy</w:t>
            </w:r>
          </w:p>
        </w:tc>
        <w:tc>
          <w:tcPr>
            <w:tcW w:w="1120" w:type="dxa"/>
            <w:vAlign w:val="bottom"/>
          </w:tcPr>
          <w:p>
            <w:pPr>
              <w:ind w:left="60"/>
              <w:spacing w:after="0"/>
              <w:rPr>
                <w:sz w:val="20"/>
                <w:szCs w:val="20"/>
                <w:color w:val="auto"/>
              </w:rPr>
            </w:pPr>
            <w:r>
              <w:rPr>
                <w:rFonts w:ascii="Arial" w:cs="Arial" w:eastAsia="Arial" w:hAnsi="Arial"/>
                <w:sz w:val="10"/>
                <w:szCs w:val="10"/>
                <w:color w:val="auto"/>
              </w:rPr>
              <w:t>•  Sickle cell disease /</w:t>
            </w:r>
          </w:p>
        </w:tc>
        <w:tc>
          <w:tcPr>
            <w:tcW w:w="1740" w:type="dxa"/>
            <w:vAlign w:val="bottom"/>
          </w:tcPr>
          <w:p>
            <w:pPr>
              <w:ind w:left="180"/>
              <w:spacing w:after="0"/>
              <w:rPr>
                <w:sz w:val="20"/>
                <w:szCs w:val="20"/>
                <w:color w:val="auto"/>
              </w:rPr>
            </w:pPr>
            <w:r>
              <w:rPr>
                <w:rFonts w:ascii="Arial" w:cs="Arial" w:eastAsia="Arial" w:hAnsi="Arial"/>
                <w:sz w:val="10"/>
                <w:szCs w:val="10"/>
                <w:color w:val="auto"/>
                <w:w w:val="99"/>
              </w:rPr>
              <w:t>•  2H ‘21: Ongoing new patient and</w:t>
            </w: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transformative gene</w:t>
            </w:r>
          </w:p>
        </w:tc>
        <w:tc>
          <w:tcPr>
            <w:tcW w:w="1380" w:type="dxa"/>
            <w:vAlign w:val="bottom"/>
          </w:tcPr>
          <w:p>
            <w:pPr>
              <w:ind w:left="40"/>
              <w:spacing w:after="0" w:line="99" w:lineRule="exact"/>
              <w:rPr>
                <w:sz w:val="20"/>
                <w:szCs w:val="20"/>
                <w:color w:val="auto"/>
              </w:rPr>
            </w:pPr>
            <w:r>
              <w:rPr>
                <w:rFonts w:ascii="Arial" w:cs="Arial" w:eastAsia="Arial" w:hAnsi="Arial"/>
                <w:sz w:val="10"/>
                <w:szCs w:val="10"/>
                <w:color w:val="auto"/>
                <w:w w:val="93"/>
              </w:rPr>
              <w:t>gene therapy delivering a novel,</w:t>
            </w:r>
          </w:p>
        </w:tc>
        <w:tc>
          <w:tcPr>
            <w:tcW w:w="680" w:type="dxa"/>
            <w:vAlign w:val="bottom"/>
          </w:tcPr>
          <w:p>
            <w:pPr>
              <w:spacing w:after="0"/>
              <w:rPr>
                <w:sz w:val="8"/>
                <w:szCs w:val="8"/>
                <w:color w:val="auto"/>
              </w:rPr>
            </w:pPr>
          </w:p>
        </w:tc>
        <w:tc>
          <w:tcPr>
            <w:tcW w:w="1120" w:type="dxa"/>
            <w:vAlign w:val="bottom"/>
          </w:tcPr>
          <w:p>
            <w:pPr>
              <w:ind w:left="200"/>
              <w:spacing w:after="0" w:line="99" w:lineRule="exact"/>
              <w:rPr>
                <w:sz w:val="20"/>
                <w:szCs w:val="20"/>
                <w:color w:val="auto"/>
              </w:rPr>
            </w:pPr>
            <w:r>
              <w:rPr>
                <w:rFonts w:ascii="Arial" w:cs="Arial" w:eastAsia="Arial" w:hAnsi="Arial"/>
                <w:sz w:val="10"/>
                <w:szCs w:val="10"/>
                <w:color w:val="auto"/>
              </w:rPr>
              <w:t>Phase 1/2</w:t>
            </w:r>
          </w:p>
        </w:tc>
        <w:tc>
          <w:tcPr>
            <w:tcW w:w="1740" w:type="dxa"/>
            <w:vAlign w:val="bottom"/>
          </w:tcPr>
          <w:p>
            <w:pPr>
              <w:ind w:left="320"/>
              <w:spacing w:after="0" w:line="99" w:lineRule="exact"/>
              <w:rPr>
                <w:sz w:val="20"/>
                <w:szCs w:val="20"/>
                <w:color w:val="auto"/>
              </w:rPr>
            </w:pPr>
            <w:r>
              <w:rPr>
                <w:rFonts w:ascii="Arial" w:cs="Arial" w:eastAsia="Arial" w:hAnsi="Arial"/>
                <w:sz w:val="10"/>
                <w:szCs w:val="10"/>
                <w:color w:val="auto"/>
              </w:rPr>
              <w:t>follow up data from additional</w:t>
            </w: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therapies for severe</w:t>
            </w:r>
          </w:p>
        </w:tc>
        <w:tc>
          <w:tcPr>
            <w:tcW w:w="1380" w:type="dxa"/>
            <w:vAlign w:val="bottom"/>
          </w:tcPr>
          <w:p>
            <w:pPr>
              <w:ind w:left="40"/>
              <w:spacing w:after="0" w:line="99" w:lineRule="exact"/>
              <w:rPr>
                <w:sz w:val="20"/>
                <w:szCs w:val="20"/>
                <w:color w:val="auto"/>
              </w:rPr>
            </w:pPr>
            <w:r>
              <w:rPr>
                <w:rFonts w:ascii="Arial" w:cs="Arial" w:eastAsia="Arial" w:hAnsi="Arial"/>
                <w:sz w:val="10"/>
                <w:szCs w:val="10"/>
                <w:color w:val="auto"/>
              </w:rPr>
              <w:t>highly potent variant of fetal</w:t>
            </w: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ind w:left="320"/>
              <w:spacing w:after="0" w:line="99" w:lineRule="exact"/>
              <w:rPr>
                <w:sz w:val="20"/>
                <w:szCs w:val="20"/>
                <w:color w:val="auto"/>
              </w:rPr>
            </w:pPr>
            <w:r>
              <w:rPr>
                <w:rFonts w:ascii="Arial" w:cs="Arial" w:eastAsia="Arial" w:hAnsi="Arial"/>
                <w:sz w:val="10"/>
                <w:szCs w:val="10"/>
                <w:color w:val="auto"/>
              </w:rPr>
              <w:t>ARU-1801 Phase 1/2 patients</w:t>
            </w:r>
          </w:p>
        </w:tc>
      </w:tr>
      <w:tr>
        <w:trPr>
          <w:trHeight w:val="121"/>
        </w:trPr>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80"/>
              <w:spacing w:after="0"/>
              <w:rPr>
                <w:sz w:val="20"/>
                <w:szCs w:val="20"/>
                <w:color w:val="auto"/>
              </w:rPr>
            </w:pPr>
            <w:r>
              <w:rPr>
                <w:rFonts w:ascii="Arial" w:cs="Arial" w:eastAsia="Arial" w:hAnsi="Arial"/>
                <w:sz w:val="10"/>
                <w:szCs w:val="10"/>
                <w:color w:val="auto"/>
              </w:rPr>
              <w:t>blood disorders</w:t>
            </w:r>
          </w:p>
        </w:tc>
        <w:tc>
          <w:tcPr>
            <w:tcW w:w="1380" w:type="dxa"/>
            <w:vAlign w:val="bottom"/>
          </w:tcPr>
          <w:p>
            <w:pPr>
              <w:ind w:left="40"/>
              <w:spacing w:after="0"/>
              <w:rPr>
                <w:sz w:val="20"/>
                <w:szCs w:val="20"/>
                <w:color w:val="auto"/>
              </w:rPr>
            </w:pPr>
            <w:r>
              <w:rPr>
                <w:rFonts w:ascii="Arial" w:cs="Arial" w:eastAsia="Arial" w:hAnsi="Arial"/>
                <w:sz w:val="10"/>
                <w:szCs w:val="10"/>
                <w:color w:val="auto"/>
              </w:rPr>
              <w:t>hemoglobin (HbF)</w:t>
            </w: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71"/>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ind w:left="180"/>
              <w:spacing w:after="0"/>
              <w:rPr>
                <w:sz w:val="20"/>
                <w:szCs w:val="20"/>
                <w:color w:val="auto"/>
              </w:rPr>
            </w:pPr>
            <w:r>
              <w:rPr>
                <w:rFonts w:ascii="Arial" w:cs="Arial" w:eastAsia="Arial" w:hAnsi="Arial"/>
                <w:sz w:val="10"/>
                <w:szCs w:val="10"/>
                <w:color w:val="auto"/>
                <w:w w:val="91"/>
              </w:rPr>
              <w:t>•  1H ‘23: ARU-1801 Phase 3 initiation</w:t>
            </w:r>
          </w:p>
        </w:tc>
      </w:tr>
      <w:tr>
        <w:trPr>
          <w:trHeight w:val="149"/>
        </w:trPr>
        <w:tc>
          <w:tcPr>
            <w:tcW w:w="520" w:type="dxa"/>
            <w:vAlign w:val="bottom"/>
          </w:tcPr>
          <w:p>
            <w:pPr>
              <w:spacing w:after="0"/>
              <w:rPr>
                <w:sz w:val="20"/>
                <w:szCs w:val="20"/>
                <w:color w:val="auto"/>
              </w:rPr>
            </w:pPr>
            <w:r>
              <w:rPr>
                <w:rFonts w:ascii="Arial" w:cs="Arial" w:eastAsia="Arial" w:hAnsi="Arial"/>
                <w:sz w:val="10"/>
                <w:szCs w:val="10"/>
                <w:color w:val="auto"/>
              </w:rPr>
              <w:t>Proteovant</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60%</w:t>
            </w:r>
          </w:p>
        </w:tc>
        <w:tc>
          <w:tcPr>
            <w:tcW w:w="340" w:type="dxa"/>
            <w:vAlign w:val="bottom"/>
          </w:tcPr>
          <w:p>
            <w:pPr>
              <w:jc w:val="right"/>
              <w:ind w:right="52"/>
              <w:spacing w:after="0"/>
              <w:rPr>
                <w:sz w:val="20"/>
                <w:szCs w:val="20"/>
                <w:color w:val="auto"/>
              </w:rPr>
            </w:pPr>
            <w:r>
              <w:rPr>
                <w:rFonts w:ascii="Arial" w:cs="Arial" w:eastAsia="Arial" w:hAnsi="Arial"/>
                <w:sz w:val="10"/>
                <w:szCs w:val="10"/>
                <w:color w:val="auto"/>
              </w:rPr>
              <w:t>60%</w:t>
            </w:r>
          </w:p>
        </w:tc>
        <w:tc>
          <w:tcPr>
            <w:tcW w:w="1100" w:type="dxa"/>
            <w:vAlign w:val="bottom"/>
          </w:tcPr>
          <w:p>
            <w:pPr>
              <w:ind w:left="80"/>
              <w:spacing w:after="0"/>
              <w:rPr>
                <w:sz w:val="20"/>
                <w:szCs w:val="20"/>
                <w:color w:val="auto"/>
              </w:rPr>
            </w:pPr>
            <w:r>
              <w:rPr>
                <w:rFonts w:ascii="Arial" w:cs="Arial" w:eastAsia="Arial" w:hAnsi="Arial"/>
                <w:sz w:val="10"/>
                <w:szCs w:val="10"/>
                <w:color w:val="auto"/>
              </w:rPr>
              <w:t>Developing</w:t>
            </w:r>
          </w:p>
        </w:tc>
        <w:tc>
          <w:tcPr>
            <w:tcW w:w="1380" w:type="dxa"/>
            <w:vAlign w:val="bottom"/>
          </w:tcPr>
          <w:p>
            <w:pPr>
              <w:ind w:left="40"/>
              <w:spacing w:after="0"/>
              <w:rPr>
                <w:sz w:val="20"/>
                <w:szCs w:val="20"/>
                <w:color w:val="auto"/>
              </w:rPr>
            </w:pPr>
            <w:r>
              <w:rPr>
                <w:rFonts w:ascii="Arial" w:cs="Arial" w:eastAsia="Arial" w:hAnsi="Arial"/>
                <w:sz w:val="10"/>
                <w:szCs w:val="10"/>
                <w:color w:val="auto"/>
              </w:rPr>
              <w:t>AR Degrader</w:t>
            </w:r>
          </w:p>
        </w:tc>
        <w:tc>
          <w:tcPr>
            <w:tcW w:w="680" w:type="dxa"/>
            <w:vAlign w:val="bottom"/>
          </w:tcPr>
          <w:p>
            <w:pPr>
              <w:ind w:left="100"/>
              <w:spacing w:after="0"/>
              <w:rPr>
                <w:sz w:val="20"/>
                <w:szCs w:val="20"/>
                <w:color w:val="auto"/>
              </w:rPr>
            </w:pPr>
            <w:r>
              <w:rPr>
                <w:rFonts w:ascii="Arial" w:cs="Arial" w:eastAsia="Arial" w:hAnsi="Arial"/>
                <w:sz w:val="10"/>
                <w:szCs w:val="10"/>
                <w:color w:val="auto"/>
              </w:rPr>
              <w:t>Small</w:t>
            </w:r>
          </w:p>
        </w:tc>
        <w:tc>
          <w:tcPr>
            <w:tcW w:w="1120" w:type="dxa"/>
            <w:vAlign w:val="bottom"/>
          </w:tcPr>
          <w:p>
            <w:pPr>
              <w:ind w:left="60"/>
              <w:spacing w:after="0"/>
              <w:rPr>
                <w:sz w:val="20"/>
                <w:szCs w:val="20"/>
                <w:color w:val="auto"/>
              </w:rPr>
            </w:pPr>
            <w:r>
              <w:rPr>
                <w:rFonts w:ascii="Arial" w:cs="Arial" w:eastAsia="Arial" w:hAnsi="Arial"/>
                <w:sz w:val="10"/>
                <w:szCs w:val="10"/>
                <w:color w:val="auto"/>
              </w:rPr>
              <w:t>•  Prostate cancer /</w:t>
            </w:r>
          </w:p>
        </w:tc>
        <w:tc>
          <w:tcPr>
            <w:tcW w:w="1740" w:type="dxa"/>
            <w:vAlign w:val="bottom"/>
          </w:tcPr>
          <w:p>
            <w:pPr>
              <w:ind w:left="180"/>
              <w:spacing w:after="0"/>
              <w:rPr>
                <w:sz w:val="20"/>
                <w:szCs w:val="20"/>
                <w:color w:val="auto"/>
              </w:rPr>
            </w:pPr>
            <w:r>
              <w:rPr>
                <w:rFonts w:ascii="Arial" w:cs="Arial" w:eastAsia="Arial" w:hAnsi="Arial"/>
                <w:sz w:val="10"/>
                <w:szCs w:val="10"/>
                <w:color w:val="auto"/>
                <w:w w:val="89"/>
              </w:rPr>
              <w:t>•  2022: AR degrader Phase 1 initiation</w:t>
            </w: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heterobifunctional</w:t>
            </w:r>
          </w:p>
        </w:tc>
        <w:tc>
          <w:tcPr>
            <w:tcW w:w="1380" w:type="dxa"/>
            <w:vAlign w:val="bottom"/>
          </w:tcPr>
          <w:p>
            <w:pPr>
              <w:spacing w:after="0"/>
              <w:rPr>
                <w:sz w:val="8"/>
                <w:szCs w:val="8"/>
                <w:color w:val="auto"/>
              </w:rPr>
            </w:pPr>
          </w:p>
        </w:tc>
        <w:tc>
          <w:tcPr>
            <w:tcW w:w="680" w:type="dxa"/>
            <w:vAlign w:val="bottom"/>
          </w:tcPr>
          <w:p>
            <w:pPr>
              <w:ind w:left="100"/>
              <w:spacing w:after="0" w:line="99" w:lineRule="exact"/>
              <w:rPr>
                <w:sz w:val="20"/>
                <w:szCs w:val="20"/>
                <w:color w:val="auto"/>
              </w:rPr>
            </w:pPr>
            <w:r>
              <w:rPr>
                <w:rFonts w:ascii="Arial" w:cs="Arial" w:eastAsia="Arial" w:hAnsi="Arial"/>
                <w:sz w:val="10"/>
                <w:szCs w:val="10"/>
                <w:color w:val="auto"/>
              </w:rPr>
              <w:t>Molecule</w:t>
            </w:r>
          </w:p>
        </w:tc>
        <w:tc>
          <w:tcPr>
            <w:tcW w:w="1120" w:type="dxa"/>
            <w:vAlign w:val="bottom"/>
          </w:tcPr>
          <w:p>
            <w:pPr>
              <w:ind w:left="200"/>
              <w:spacing w:after="0" w:line="99" w:lineRule="exact"/>
              <w:rPr>
                <w:sz w:val="20"/>
                <w:szCs w:val="20"/>
                <w:color w:val="auto"/>
              </w:rPr>
            </w:pPr>
            <w:r>
              <w:rPr>
                <w:rFonts w:ascii="Arial" w:cs="Arial" w:eastAsia="Arial" w:hAnsi="Arial"/>
                <w:sz w:val="10"/>
                <w:szCs w:val="10"/>
                <w:color w:val="auto"/>
              </w:rPr>
              <w:t>Preclinical</w:t>
            </w:r>
          </w:p>
        </w:tc>
        <w:tc>
          <w:tcPr>
            <w:tcW w:w="1740" w:type="dxa"/>
            <w:vAlign w:val="bottom"/>
          </w:tcPr>
          <w:p>
            <w:pPr>
              <w:spacing w:after="0"/>
              <w:rPr>
                <w:sz w:val="8"/>
                <w:szCs w:val="8"/>
                <w:color w:val="auto"/>
              </w:rPr>
            </w:pP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protein degraders for</w:t>
            </w: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w w:val="89"/>
              </w:rPr>
              <w:t>oncology, neurology, and</w:t>
            </w: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immunology, with</w:t>
            </w: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99"/>
        </w:trPr>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ind w:left="80"/>
              <w:spacing w:after="0" w:line="99" w:lineRule="exact"/>
              <w:rPr>
                <w:sz w:val="20"/>
                <w:szCs w:val="20"/>
                <w:color w:val="auto"/>
              </w:rPr>
            </w:pPr>
            <w:r>
              <w:rPr>
                <w:rFonts w:ascii="Arial" w:cs="Arial" w:eastAsia="Arial" w:hAnsi="Arial"/>
                <w:sz w:val="10"/>
                <w:szCs w:val="10"/>
                <w:color w:val="auto"/>
              </w:rPr>
              <w:t>exclusive access to</w:t>
            </w: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1"/>
        </w:trPr>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80"/>
              <w:spacing w:after="0"/>
              <w:rPr>
                <w:sz w:val="20"/>
                <w:szCs w:val="20"/>
                <w:color w:val="auto"/>
              </w:rPr>
            </w:pPr>
            <w:r>
              <w:rPr>
                <w:rFonts w:ascii="Arial" w:cs="Arial" w:eastAsia="Arial" w:hAnsi="Arial"/>
                <w:sz w:val="10"/>
                <w:szCs w:val="10"/>
                <w:color w:val="auto"/>
              </w:rPr>
              <w:t>VantAI</w:t>
            </w:r>
          </w:p>
        </w:tc>
        <w:tc>
          <w:tcPr>
            <w:tcW w:w="1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42" w:lineRule="exact"/>
        <w:rPr>
          <w:sz w:val="20"/>
          <w:szCs w:val="20"/>
          <w:color w:val="auto"/>
        </w:rPr>
      </w:pPr>
    </w:p>
    <w:p>
      <w:pPr>
        <w:sectPr>
          <w:pgSz w:w="11900" w:h="16838" w:orient="portrait"/>
          <w:cols w:equalWidth="0" w:num="1">
            <w:col w:w="10159"/>
          </w:cols>
          <w:pgMar w:left="300" w:top="372" w:right="1440" w:bottom="1440" w:gutter="0" w:footer="0" w:header="0"/>
          <w:type w:val="continuous"/>
        </w:sectPr>
      </w:pPr>
    </w:p>
    <w:p>
      <w:pPr>
        <w:spacing w:after="0" w:line="8" w:lineRule="exact"/>
        <w:rPr>
          <w:sz w:val="20"/>
          <w:szCs w:val="20"/>
          <w:color w:val="auto"/>
        </w:rPr>
      </w:pPr>
    </w:p>
    <w:p>
      <w:pPr>
        <w:ind w:left="2600" w:hanging="1295"/>
        <w:spacing w:after="0" w:line="214" w:lineRule="auto"/>
        <w:tabs>
          <w:tab w:leader="none" w:pos="2580" w:val="left"/>
        </w:tabs>
        <w:rPr>
          <w:sz w:val="20"/>
          <w:szCs w:val="20"/>
          <w:color w:val="auto"/>
        </w:rPr>
      </w:pPr>
      <w:r>
        <w:rPr>
          <w:rFonts w:ascii="Arial" w:cs="Arial" w:eastAsia="Arial" w:hAnsi="Arial"/>
          <w:sz w:val="10"/>
          <w:szCs w:val="10"/>
          <w:color w:val="auto"/>
        </w:rPr>
        <w:t>Lysovant</w:t>
      </w:r>
      <w:r>
        <w:rPr>
          <w:sz w:val="20"/>
          <w:szCs w:val="20"/>
          <w:color w:val="auto"/>
        </w:rPr>
        <w:tab/>
      </w:r>
      <w:r>
        <w:rPr>
          <w:rFonts w:ascii="Arial" w:cs="Arial" w:eastAsia="Arial" w:hAnsi="Arial"/>
          <w:sz w:val="10"/>
          <w:szCs w:val="10"/>
          <w:color w:val="auto"/>
        </w:rPr>
        <w:t>100% 99% Developing a novel LSVT-1701 / Endolysin endolysin for</w:t>
      </w:r>
    </w:p>
    <w:p>
      <w:pPr>
        <w:ind w:left="3260"/>
        <w:spacing w:after="0" w:line="208" w:lineRule="auto"/>
        <w:rPr>
          <w:sz w:val="20"/>
          <w:szCs w:val="20"/>
          <w:color w:val="auto"/>
        </w:rPr>
      </w:pPr>
      <w:r>
        <w:rPr>
          <w:rFonts w:ascii="Arial" w:cs="Arial" w:eastAsia="Arial" w:hAnsi="Arial"/>
          <w:sz w:val="10"/>
          <w:szCs w:val="10"/>
          <w:color w:val="auto"/>
        </w:rPr>
        <w:t>hard-to-treat Staph</w:t>
      </w:r>
    </w:p>
    <w:p>
      <w:pPr>
        <w:ind w:left="3260"/>
        <w:spacing w:after="0" w:line="237" w:lineRule="auto"/>
        <w:rPr>
          <w:sz w:val="20"/>
          <w:szCs w:val="20"/>
          <w:color w:val="auto"/>
        </w:rPr>
      </w:pPr>
      <w:r>
        <w:rPr>
          <w:rFonts w:ascii="Arial" w:cs="Arial" w:eastAsia="Arial" w:hAnsi="Arial"/>
          <w:sz w:val="10"/>
          <w:szCs w:val="10"/>
          <w:color w:val="auto"/>
        </w:rPr>
        <w:t>aureus infection</w:t>
      </w:r>
    </w:p>
    <w:p>
      <w:pPr>
        <w:spacing w:after="0" w:line="20" w:lineRule="exact"/>
        <w:rPr>
          <w:sz w:val="20"/>
          <w:szCs w:val="20"/>
          <w:color w:val="auto"/>
        </w:rPr>
      </w:pPr>
      <w:r>
        <w:rPr>
          <w:sz w:val="20"/>
          <w:szCs w:val="20"/>
          <w:color w:val="auto"/>
        </w:rPr>
        <w:br w:type="column"/>
      </w:r>
    </w:p>
    <w:p>
      <w:pPr>
        <w:spacing w:after="0"/>
        <w:tabs>
          <w:tab w:leader="none" w:pos="620" w:val="left"/>
          <w:tab w:leader="none" w:pos="760" w:val="left"/>
          <w:tab w:leader="none" w:pos="1860" w:val="left"/>
          <w:tab w:leader="none" w:pos="2000" w:val="left"/>
        </w:tabs>
        <w:rPr>
          <w:sz w:val="20"/>
          <w:szCs w:val="20"/>
          <w:color w:val="auto"/>
        </w:rPr>
      </w:pPr>
      <w:r>
        <w:rPr>
          <w:rFonts w:ascii="Arial" w:cs="Arial" w:eastAsia="Arial" w:hAnsi="Arial"/>
          <w:sz w:val="10"/>
          <w:szCs w:val="10"/>
          <w:color w:val="auto"/>
        </w:rPr>
        <w:t>Biologic</w:t>
      </w:r>
      <w:r>
        <w:rPr>
          <w:sz w:val="20"/>
          <w:szCs w:val="20"/>
          <w:color w:val="auto"/>
        </w:rPr>
        <w:tab/>
      </w:r>
      <w:r>
        <w:rPr>
          <w:rFonts w:ascii="Arial" w:cs="Arial" w:eastAsia="Arial" w:hAnsi="Arial"/>
          <w:sz w:val="10"/>
          <w:szCs w:val="10"/>
          <w:color w:val="auto"/>
        </w:rPr>
        <w:t>•</w:t>
        <w:tab/>
        <w:t>Staph aureus bacteremia</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8"/>
          <w:szCs w:val="8"/>
          <w:color w:val="auto"/>
        </w:rPr>
        <w:t>1H ‘22: LSVT-1701 MAD initiation</w:t>
      </w:r>
    </w:p>
    <w:p>
      <w:pPr>
        <w:ind w:left="780"/>
        <w:spacing w:after="0" w:line="206" w:lineRule="auto"/>
        <w:rPr>
          <w:sz w:val="20"/>
          <w:szCs w:val="20"/>
          <w:color w:val="auto"/>
        </w:rPr>
      </w:pPr>
      <w:r>
        <w:rPr>
          <w:rFonts w:ascii="Arial" w:cs="Arial" w:eastAsia="Arial" w:hAnsi="Arial"/>
          <w:sz w:val="10"/>
          <w:szCs w:val="10"/>
          <w:color w:val="auto"/>
        </w:rPr>
        <w:t>and infective</w:t>
      </w:r>
    </w:p>
    <w:p>
      <w:pPr>
        <w:ind w:left="780"/>
        <w:spacing w:after="0" w:line="237" w:lineRule="auto"/>
        <w:rPr>
          <w:sz w:val="20"/>
          <w:szCs w:val="20"/>
          <w:color w:val="auto"/>
        </w:rPr>
      </w:pPr>
      <w:r>
        <w:rPr>
          <w:rFonts w:ascii="Arial" w:cs="Arial" w:eastAsia="Arial" w:hAnsi="Arial"/>
          <w:sz w:val="10"/>
          <w:szCs w:val="10"/>
          <w:color w:val="auto"/>
        </w:rPr>
        <w:t>endocarditis / Phase 1</w:t>
      </w:r>
    </w:p>
    <w:p>
      <w:pPr>
        <w:spacing w:after="0" w:line="133" w:lineRule="exact"/>
        <w:rPr>
          <w:sz w:val="20"/>
          <w:szCs w:val="20"/>
          <w:color w:val="auto"/>
        </w:rPr>
      </w:pPr>
    </w:p>
    <w:p>
      <w:pPr>
        <w:sectPr>
          <w:pgSz w:w="11900" w:h="16838" w:orient="portrait"/>
          <w:cols w:equalWidth="0" w:num="2">
            <w:col w:w="5240" w:space="520"/>
            <w:col w:w="4399"/>
          </w:cols>
          <w:pgMar w:left="300" w:top="372" w:right="1440" w:bottom="1440" w:gutter="0" w:footer="0" w:header="0"/>
          <w:type w:val="continuous"/>
        </w:sectPr>
      </w:pPr>
    </w:p>
    <w:tbl>
      <w:tblPr>
        <w:tblLayout w:type="fixed"/>
        <w:tblInd w:w="2600" w:type="dxa"/>
        <w:tblCellMar>
          <w:top w:w="0" w:type="dxa"/>
          <w:left w:w="0" w:type="dxa"/>
          <w:bottom w:w="0" w:type="dxa"/>
          <w:right w:w="0" w:type="dxa"/>
        </w:tblCellMar>
      </w:tblPr>
      <w:tr>
        <w:trPr>
          <w:trHeight w:val="115"/>
        </w:trPr>
        <w:tc>
          <w:tcPr>
            <w:tcW w:w="580" w:type="dxa"/>
            <w:vAlign w:val="bottom"/>
          </w:tcPr>
          <w:p>
            <w:pPr>
              <w:jc w:val="right"/>
              <w:ind w:right="52"/>
              <w:spacing w:after="0"/>
              <w:rPr>
                <w:sz w:val="20"/>
                <w:szCs w:val="20"/>
                <w:color w:val="auto"/>
              </w:rPr>
            </w:pPr>
            <w:r>
              <w:rPr>
                <w:rFonts w:ascii="Arial" w:cs="Arial" w:eastAsia="Arial" w:hAnsi="Arial"/>
                <w:sz w:val="10"/>
                <w:szCs w:val="10"/>
                <w:color w:val="auto"/>
                <w:w w:val="95"/>
              </w:rPr>
              <w:t>88%   88%</w:t>
            </w:r>
          </w:p>
        </w:tc>
        <w:tc>
          <w:tcPr>
            <w:tcW w:w="1080" w:type="dxa"/>
            <w:vAlign w:val="bottom"/>
          </w:tcPr>
          <w:p>
            <w:pPr>
              <w:ind w:left="80"/>
              <w:spacing w:after="0"/>
              <w:rPr>
                <w:sz w:val="20"/>
                <w:szCs w:val="20"/>
                <w:color w:val="auto"/>
              </w:rPr>
            </w:pPr>
            <w:r>
              <w:rPr>
                <w:rFonts w:ascii="Arial" w:cs="Arial" w:eastAsia="Arial" w:hAnsi="Arial"/>
                <w:sz w:val="10"/>
                <w:szCs w:val="10"/>
                <w:color w:val="auto"/>
              </w:rPr>
              <w:t>Developing an</w:t>
            </w:r>
          </w:p>
        </w:tc>
        <w:tc>
          <w:tcPr>
            <w:tcW w:w="1320" w:type="dxa"/>
            <w:vAlign w:val="bottom"/>
          </w:tcPr>
          <w:p>
            <w:pPr>
              <w:ind w:left="60"/>
              <w:spacing w:after="0"/>
              <w:rPr>
                <w:sz w:val="20"/>
                <w:szCs w:val="20"/>
                <w:color w:val="auto"/>
              </w:rPr>
            </w:pPr>
            <w:r>
              <w:rPr>
                <w:rFonts w:ascii="Arial" w:cs="Arial" w:eastAsia="Arial" w:hAnsi="Arial"/>
                <w:sz w:val="10"/>
                <w:szCs w:val="10"/>
                <w:color w:val="auto"/>
              </w:rPr>
              <w:t>Namilumab / Anti-GM-CSF</w:t>
            </w:r>
          </w:p>
        </w:tc>
        <w:tc>
          <w:tcPr>
            <w:tcW w:w="660" w:type="dxa"/>
            <w:vAlign w:val="bottom"/>
          </w:tcPr>
          <w:p>
            <w:pPr>
              <w:ind w:left="180"/>
              <w:spacing w:after="0"/>
              <w:rPr>
                <w:sz w:val="20"/>
                <w:szCs w:val="20"/>
                <w:color w:val="auto"/>
              </w:rPr>
            </w:pPr>
            <w:r>
              <w:rPr>
                <w:rFonts w:ascii="Arial" w:cs="Arial" w:eastAsia="Arial" w:hAnsi="Arial"/>
                <w:sz w:val="10"/>
                <w:szCs w:val="10"/>
                <w:color w:val="auto"/>
              </w:rPr>
              <w:t>Biologic</w:t>
            </w:r>
          </w:p>
        </w:tc>
        <w:tc>
          <w:tcPr>
            <w:tcW w:w="1260" w:type="dxa"/>
            <w:vAlign w:val="bottom"/>
          </w:tcPr>
          <w:p>
            <w:pPr>
              <w:ind w:left="160"/>
              <w:spacing w:after="0"/>
              <w:rPr>
                <w:sz w:val="20"/>
                <w:szCs w:val="20"/>
                <w:color w:val="auto"/>
              </w:rPr>
            </w:pPr>
            <w:r>
              <w:rPr>
                <w:rFonts w:ascii="Arial" w:cs="Arial" w:eastAsia="Arial" w:hAnsi="Arial"/>
                <w:sz w:val="10"/>
                <w:szCs w:val="10"/>
                <w:color w:val="auto"/>
              </w:rPr>
              <w:t>•  Sarcoidosis / Phase 1</w:t>
            </w:r>
          </w:p>
        </w:tc>
        <w:tc>
          <w:tcPr>
            <w:tcW w:w="1740" w:type="dxa"/>
            <w:vAlign w:val="bottom"/>
          </w:tcPr>
          <w:p>
            <w:pPr>
              <w:ind w:left="140"/>
              <w:spacing w:after="0"/>
              <w:rPr>
                <w:sz w:val="20"/>
                <w:szCs w:val="20"/>
                <w:color w:val="auto"/>
              </w:rPr>
            </w:pPr>
            <w:r>
              <w:rPr>
                <w:rFonts w:ascii="Arial" w:cs="Arial" w:eastAsia="Arial" w:hAnsi="Arial"/>
                <w:sz w:val="10"/>
                <w:szCs w:val="10"/>
                <w:color w:val="auto"/>
                <w:w w:val="91"/>
              </w:rPr>
              <w:t>•  1H ‘22: Namilumab Phase 2 initiation</w:t>
            </w:r>
          </w:p>
        </w:tc>
      </w:tr>
      <w:tr>
        <w:trPr>
          <w:trHeight w:val="99"/>
        </w:trPr>
        <w:tc>
          <w:tcPr>
            <w:tcW w:w="580" w:type="dxa"/>
            <w:vAlign w:val="bottom"/>
          </w:tcPr>
          <w:p>
            <w:pPr>
              <w:spacing w:after="0"/>
              <w:rPr>
                <w:sz w:val="8"/>
                <w:szCs w:val="8"/>
                <w:color w:val="auto"/>
              </w:rPr>
            </w:pPr>
          </w:p>
        </w:tc>
        <w:tc>
          <w:tcPr>
            <w:tcW w:w="1080" w:type="dxa"/>
            <w:vAlign w:val="bottom"/>
          </w:tcPr>
          <w:p>
            <w:pPr>
              <w:ind w:left="80"/>
              <w:spacing w:after="0" w:line="99" w:lineRule="exact"/>
              <w:rPr>
                <w:sz w:val="20"/>
                <w:szCs w:val="20"/>
                <w:color w:val="auto"/>
              </w:rPr>
            </w:pPr>
            <w:r>
              <w:rPr>
                <w:rFonts w:ascii="Arial" w:cs="Arial" w:eastAsia="Arial" w:hAnsi="Arial"/>
                <w:sz w:val="10"/>
                <w:szCs w:val="10"/>
                <w:color w:val="auto"/>
              </w:rPr>
              <w:t>anti-GM-CSF</w:t>
            </w:r>
          </w:p>
        </w:tc>
        <w:tc>
          <w:tcPr>
            <w:tcW w:w="1320" w:type="dxa"/>
            <w:vAlign w:val="bottom"/>
          </w:tcPr>
          <w:p>
            <w:pPr>
              <w:ind w:left="60"/>
              <w:spacing w:after="0" w:line="99" w:lineRule="exact"/>
              <w:rPr>
                <w:sz w:val="20"/>
                <w:szCs w:val="20"/>
                <w:color w:val="auto"/>
              </w:rPr>
            </w:pPr>
            <w:r>
              <w:rPr>
                <w:rFonts w:ascii="Arial" w:cs="Arial" w:eastAsia="Arial" w:hAnsi="Arial"/>
                <w:sz w:val="10"/>
                <w:szCs w:val="10"/>
                <w:color w:val="auto"/>
              </w:rPr>
              <w:t>monoclonal antibody</w:t>
            </w: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99"/>
        </w:trPr>
        <w:tc>
          <w:tcPr>
            <w:tcW w:w="580" w:type="dxa"/>
            <w:vAlign w:val="bottom"/>
          </w:tcPr>
          <w:p>
            <w:pPr>
              <w:spacing w:after="0"/>
              <w:rPr>
                <w:sz w:val="8"/>
                <w:szCs w:val="8"/>
                <w:color w:val="auto"/>
              </w:rPr>
            </w:pPr>
          </w:p>
        </w:tc>
        <w:tc>
          <w:tcPr>
            <w:tcW w:w="1080" w:type="dxa"/>
            <w:vAlign w:val="bottom"/>
          </w:tcPr>
          <w:p>
            <w:pPr>
              <w:ind w:left="80"/>
              <w:spacing w:after="0" w:line="99" w:lineRule="exact"/>
              <w:rPr>
                <w:sz w:val="20"/>
                <w:szCs w:val="20"/>
                <w:color w:val="auto"/>
              </w:rPr>
            </w:pPr>
            <w:r>
              <w:rPr>
                <w:rFonts w:ascii="Arial" w:cs="Arial" w:eastAsia="Arial" w:hAnsi="Arial"/>
                <w:sz w:val="10"/>
                <w:szCs w:val="10"/>
                <w:color w:val="auto"/>
                <w:w w:val="92"/>
              </w:rPr>
              <w:t>monoclonal antibody for</w:t>
            </w:r>
          </w:p>
        </w:tc>
        <w:tc>
          <w:tcPr>
            <w:tcW w:w="1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1"/>
        </w:trPr>
        <w:tc>
          <w:tcPr>
            <w:tcW w:w="58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0"/>
                <w:szCs w:val="10"/>
                <w:color w:val="auto"/>
              </w:rPr>
              <w:t>autoimmune diseases</w:t>
            </w:r>
          </w:p>
        </w:tc>
        <w:tc>
          <w:tcPr>
            <w:tcW w:w="1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8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72" w:right="1440" w:bottom="1440" w:gutter="0" w:footer="0" w:header="0"/>
          <w:type w:val="continuous"/>
        </w:sectPr>
      </w:pPr>
    </w:p>
    <w:bookmarkStart w:id="136" w:name="page137"/>
    <w:bookmarkEnd w:id="13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Vant</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8"/>
          <w:szCs w:val="8"/>
          <w:color w:val="auto"/>
        </w:rPr>
        <w:t>Affivant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6959"/>
        <w:spacing w:after="0"/>
        <w:rPr>
          <w:sz w:val="20"/>
          <w:szCs w:val="20"/>
          <w:color w:val="auto"/>
        </w:rPr>
      </w:pPr>
      <w:r>
        <w:rPr>
          <w:rFonts w:ascii="Arial" w:cs="Arial" w:eastAsia="Arial" w:hAnsi="Arial"/>
          <w:sz w:val="10"/>
          <w:szCs w:val="10"/>
          <w:b w:val="1"/>
          <w:bCs w:val="1"/>
          <w:color w:val="auto"/>
        </w:rPr>
        <w:t>Roivant</w:t>
      </w:r>
    </w:p>
    <w:p>
      <w:pPr>
        <w:jc w:val="center"/>
        <w:ind w:right="6959"/>
        <w:spacing w:after="0"/>
        <w:rPr>
          <w:sz w:val="20"/>
          <w:szCs w:val="20"/>
          <w:color w:val="auto"/>
        </w:rPr>
      </w:pPr>
      <w:r>
        <w:rPr>
          <w:rFonts w:ascii="Arial" w:cs="Arial" w:eastAsia="Arial" w:hAnsi="Arial"/>
          <w:sz w:val="8"/>
          <w:szCs w:val="8"/>
          <w:b w:val="1"/>
          <w:bCs w:val="1"/>
          <w:color w:val="auto"/>
        </w:rPr>
        <w:t>Ownership at</w:t>
      </w:r>
    </w:p>
    <w:p>
      <w:pPr>
        <w:spacing w:after="0" w:line="7" w:lineRule="exact"/>
        <w:rPr>
          <w:sz w:val="20"/>
          <w:szCs w:val="20"/>
          <w:color w:val="auto"/>
        </w:rPr>
      </w:pPr>
    </w:p>
    <w:p>
      <w:pPr>
        <w:jc w:val="center"/>
        <w:ind w:right="6959"/>
        <w:spacing w:after="0"/>
        <w:rPr>
          <w:sz w:val="20"/>
          <w:szCs w:val="20"/>
          <w:color w:val="auto"/>
        </w:rPr>
      </w:pPr>
      <w:r>
        <w:rPr>
          <w:rFonts w:ascii="Arial" w:cs="Arial" w:eastAsia="Arial" w:hAnsi="Arial"/>
          <w:sz w:val="8"/>
          <w:szCs w:val="8"/>
          <w:b w:val="1"/>
          <w:bCs w:val="1"/>
          <w:color w:val="auto"/>
        </w:rPr>
        <w:t>June 30,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28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w w:val="97"/>
              </w:rPr>
              <w:t>Basic</w:t>
            </w:r>
          </w:p>
        </w:tc>
        <w:tc>
          <w:tcPr>
            <w:tcW w:w="320" w:type="dxa"/>
            <w:vAlign w:val="bottom"/>
            <w:tcBorders>
              <w:top w:val="single" w:sz="8" w:color="auto"/>
            </w:tcBorders>
          </w:tcPr>
          <w:p>
            <w:pPr>
              <w:spacing w:after="0" w:line="97" w:lineRule="exact"/>
              <w:rPr>
                <w:sz w:val="20"/>
                <w:szCs w:val="20"/>
                <w:color w:val="auto"/>
              </w:rPr>
            </w:pPr>
            <w:r>
              <w:rPr>
                <w:rFonts w:ascii="Arial" w:cs="Arial" w:eastAsia="Arial" w:hAnsi="Arial"/>
                <w:sz w:val="10"/>
                <w:szCs w:val="10"/>
                <w:b w:val="1"/>
                <w:bCs w:val="1"/>
                <w:color w:val="auto"/>
                <w:w w:val="88"/>
              </w:rPr>
              <w:t>Diluted</w:t>
            </w:r>
          </w:p>
        </w:tc>
        <w:tc>
          <w:tcPr>
            <w:tcW w:w="60" w:type="dxa"/>
            <w:vAlign w:val="bottom"/>
          </w:tcPr>
          <w:p>
            <w:pPr>
              <w:spacing w:after="0"/>
              <w:rPr>
                <w:sz w:val="8"/>
                <w:szCs w:val="8"/>
                <w:color w:val="auto"/>
              </w:rPr>
            </w:pPr>
          </w:p>
        </w:tc>
        <w:tc>
          <w:tcPr>
            <w:tcW w:w="1080" w:type="dxa"/>
            <w:vAlign w:val="bottom"/>
            <w:gridSpan w:val="2"/>
          </w:tcPr>
          <w:p>
            <w:pPr>
              <w:ind w:left="280"/>
              <w:spacing w:after="0" w:line="97" w:lineRule="exact"/>
              <w:rPr>
                <w:sz w:val="20"/>
                <w:szCs w:val="20"/>
                <w:color w:val="auto"/>
              </w:rPr>
            </w:pPr>
            <w:r>
              <w:rPr>
                <w:rFonts w:ascii="Arial" w:cs="Arial" w:eastAsia="Arial" w:hAnsi="Arial"/>
                <w:sz w:val="10"/>
                <w:szCs w:val="10"/>
                <w:b w:val="1"/>
                <w:bCs w:val="1"/>
                <w:color w:val="auto"/>
              </w:rPr>
              <w:t>Description</w:t>
            </w:r>
          </w:p>
        </w:tc>
        <w:tc>
          <w:tcPr>
            <w:tcW w:w="146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Lead Program / Mechanism</w:t>
            </w:r>
          </w:p>
        </w:tc>
        <w:tc>
          <w:tcPr>
            <w:tcW w:w="46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Modality</w:t>
            </w:r>
          </w:p>
        </w:tc>
        <w:tc>
          <w:tcPr>
            <w:tcW w:w="1220" w:type="dxa"/>
            <w:vAlign w:val="bottom"/>
            <w:gridSpan w:val="2"/>
          </w:tcPr>
          <w:p>
            <w:pPr>
              <w:ind w:left="160"/>
              <w:spacing w:after="0" w:line="97" w:lineRule="exact"/>
              <w:rPr>
                <w:sz w:val="20"/>
                <w:szCs w:val="20"/>
                <w:color w:val="auto"/>
              </w:rPr>
            </w:pPr>
            <w:r>
              <w:rPr>
                <w:rFonts w:ascii="Arial" w:cs="Arial" w:eastAsia="Arial" w:hAnsi="Arial"/>
                <w:sz w:val="10"/>
                <w:szCs w:val="10"/>
                <w:b w:val="1"/>
                <w:bCs w:val="1"/>
                <w:color w:val="auto"/>
              </w:rPr>
              <w:t>Indication(s) /Phase</w:t>
            </w:r>
          </w:p>
        </w:tc>
        <w:tc>
          <w:tcPr>
            <w:tcW w:w="1820" w:type="dxa"/>
            <w:vAlign w:val="bottom"/>
          </w:tcPr>
          <w:p>
            <w:pPr>
              <w:ind w:left="480"/>
              <w:spacing w:after="0" w:line="97" w:lineRule="exact"/>
              <w:rPr>
                <w:sz w:val="20"/>
                <w:szCs w:val="20"/>
                <w:color w:val="auto"/>
              </w:rPr>
            </w:pPr>
            <w:r>
              <w:rPr>
                <w:rFonts w:ascii="Arial" w:cs="Arial" w:eastAsia="Arial" w:hAnsi="Arial"/>
                <w:sz w:val="10"/>
                <w:szCs w:val="10"/>
                <w:b w:val="1"/>
                <w:bCs w:val="1"/>
                <w:color w:val="auto"/>
              </w:rPr>
              <w:t>Upcoming Milestones</w:t>
            </w:r>
          </w:p>
        </w:tc>
      </w:tr>
      <w:tr>
        <w:trPr>
          <w:trHeight w:val="76"/>
        </w:trPr>
        <w:tc>
          <w:tcPr>
            <w:tcW w:w="220" w:type="dxa"/>
            <w:vAlign w:val="bottom"/>
            <w:tcBorders>
              <w:top w:val="single" w:sz="8" w:color="auto"/>
            </w:tcBorders>
          </w:tcPr>
          <w:p>
            <w:pPr>
              <w:spacing w:after="0" w:line="76" w:lineRule="exact"/>
              <w:rPr>
                <w:sz w:val="20"/>
                <w:szCs w:val="20"/>
                <w:color w:val="auto"/>
              </w:rPr>
            </w:pPr>
            <w:r>
              <w:rPr>
                <w:rFonts w:ascii="Arial" w:cs="Arial" w:eastAsia="Arial" w:hAnsi="Arial"/>
                <w:sz w:val="8"/>
                <w:szCs w:val="8"/>
                <w:color w:val="auto"/>
                <w:w w:val="97"/>
              </w:rPr>
              <w:t>100%</w:t>
            </w:r>
          </w:p>
        </w:tc>
        <w:tc>
          <w:tcPr>
            <w:tcW w:w="60" w:type="dxa"/>
            <w:vAlign w:val="bottom"/>
          </w:tcPr>
          <w:p>
            <w:pPr>
              <w:spacing w:after="0"/>
              <w:rPr>
                <w:sz w:val="6"/>
                <w:szCs w:val="6"/>
                <w:color w:val="auto"/>
              </w:rPr>
            </w:pPr>
          </w:p>
        </w:tc>
        <w:tc>
          <w:tcPr>
            <w:tcW w:w="320" w:type="dxa"/>
            <w:vAlign w:val="bottom"/>
            <w:tcBorders>
              <w:top w:val="single" w:sz="8" w:color="auto"/>
            </w:tcBorders>
          </w:tcPr>
          <w:p>
            <w:pPr>
              <w:spacing w:after="0" w:line="76" w:lineRule="exact"/>
              <w:rPr>
                <w:sz w:val="20"/>
                <w:szCs w:val="20"/>
                <w:color w:val="auto"/>
              </w:rPr>
            </w:pPr>
            <w:r>
              <w:rPr>
                <w:rFonts w:ascii="Arial" w:cs="Arial" w:eastAsia="Arial" w:hAnsi="Arial"/>
                <w:sz w:val="8"/>
                <w:szCs w:val="8"/>
                <w:color w:val="auto"/>
              </w:rPr>
              <w:t>100%</w:t>
            </w:r>
          </w:p>
        </w:tc>
        <w:tc>
          <w:tcPr>
            <w:tcW w:w="60" w:type="dxa"/>
            <w:vAlign w:val="bottom"/>
          </w:tcPr>
          <w:p>
            <w:pPr>
              <w:spacing w:after="0"/>
              <w:rPr>
                <w:sz w:val="6"/>
                <w:szCs w:val="6"/>
                <w:color w:val="auto"/>
              </w:rPr>
            </w:pPr>
          </w:p>
        </w:tc>
        <w:tc>
          <w:tcPr>
            <w:tcW w:w="1020" w:type="dxa"/>
            <w:vAlign w:val="bottom"/>
            <w:tcBorders>
              <w:top w:val="single" w:sz="8" w:color="auto"/>
            </w:tcBorders>
          </w:tcPr>
          <w:p>
            <w:pPr>
              <w:spacing w:after="0" w:line="76" w:lineRule="exact"/>
              <w:rPr>
                <w:sz w:val="20"/>
                <w:szCs w:val="20"/>
                <w:color w:val="auto"/>
              </w:rPr>
            </w:pPr>
            <w:r>
              <w:rPr>
                <w:rFonts w:ascii="Arial" w:cs="Arial" w:eastAsia="Arial" w:hAnsi="Arial"/>
                <w:sz w:val="8"/>
                <w:szCs w:val="8"/>
                <w:color w:val="auto"/>
              </w:rPr>
              <w:t>Developing bispecific</w:t>
            </w:r>
          </w:p>
        </w:tc>
        <w:tc>
          <w:tcPr>
            <w:tcW w:w="60" w:type="dxa"/>
            <w:vAlign w:val="bottom"/>
          </w:tcPr>
          <w:p>
            <w:pPr>
              <w:spacing w:after="0"/>
              <w:rPr>
                <w:sz w:val="6"/>
                <w:szCs w:val="6"/>
                <w:color w:val="auto"/>
              </w:rPr>
            </w:pPr>
          </w:p>
        </w:tc>
        <w:tc>
          <w:tcPr>
            <w:tcW w:w="1400" w:type="dxa"/>
            <w:vAlign w:val="bottom"/>
            <w:tcBorders>
              <w:top w:val="single" w:sz="8" w:color="auto"/>
            </w:tcBorders>
          </w:tcPr>
          <w:p>
            <w:pPr>
              <w:spacing w:after="0" w:line="76" w:lineRule="exact"/>
              <w:rPr>
                <w:sz w:val="20"/>
                <w:szCs w:val="20"/>
                <w:color w:val="auto"/>
              </w:rPr>
            </w:pPr>
            <w:r>
              <w:rPr>
                <w:rFonts w:ascii="Arial" w:cs="Arial" w:eastAsia="Arial" w:hAnsi="Arial"/>
                <w:sz w:val="8"/>
                <w:szCs w:val="8"/>
                <w:color w:val="auto"/>
              </w:rPr>
              <w:t>AFM32 / Bispecific antibody</w:t>
            </w:r>
          </w:p>
        </w:tc>
        <w:tc>
          <w:tcPr>
            <w:tcW w:w="60" w:type="dxa"/>
            <w:vAlign w:val="bottom"/>
          </w:tcPr>
          <w:p>
            <w:pPr>
              <w:spacing w:after="0"/>
              <w:rPr>
                <w:sz w:val="6"/>
                <w:szCs w:val="6"/>
                <w:color w:val="auto"/>
              </w:rPr>
            </w:pPr>
          </w:p>
        </w:tc>
        <w:tc>
          <w:tcPr>
            <w:tcW w:w="380" w:type="dxa"/>
            <w:vAlign w:val="bottom"/>
            <w:tcBorders>
              <w:top w:val="single" w:sz="8" w:color="auto"/>
            </w:tcBorders>
          </w:tcPr>
          <w:p>
            <w:pPr>
              <w:spacing w:after="0" w:line="76" w:lineRule="exact"/>
              <w:rPr>
                <w:sz w:val="20"/>
                <w:szCs w:val="20"/>
                <w:color w:val="auto"/>
              </w:rPr>
            </w:pPr>
            <w:r>
              <w:rPr>
                <w:rFonts w:ascii="Arial" w:cs="Arial" w:eastAsia="Arial" w:hAnsi="Arial"/>
                <w:sz w:val="8"/>
                <w:szCs w:val="8"/>
                <w:color w:val="auto"/>
              </w:rPr>
              <w:t>Biologic</w:t>
            </w:r>
          </w:p>
        </w:tc>
        <w:tc>
          <w:tcPr>
            <w:tcW w:w="80" w:type="dxa"/>
            <w:vAlign w:val="bottom"/>
          </w:tcPr>
          <w:p>
            <w:pPr>
              <w:spacing w:after="0"/>
              <w:rPr>
                <w:sz w:val="6"/>
                <w:szCs w:val="6"/>
                <w:color w:val="auto"/>
              </w:rPr>
            </w:pPr>
          </w:p>
        </w:tc>
        <w:tc>
          <w:tcPr>
            <w:tcW w:w="1160" w:type="dxa"/>
            <w:vAlign w:val="bottom"/>
            <w:tcBorders>
              <w:top w:val="single" w:sz="8" w:color="auto"/>
            </w:tcBorders>
          </w:tcPr>
          <w:p>
            <w:pPr>
              <w:jc w:val="center"/>
              <w:ind w:right="334"/>
              <w:spacing w:after="0" w:line="76" w:lineRule="exact"/>
              <w:rPr>
                <w:sz w:val="20"/>
                <w:szCs w:val="20"/>
                <w:color w:val="auto"/>
              </w:rPr>
            </w:pPr>
            <w:r>
              <w:rPr>
                <w:rFonts w:ascii="Arial" w:cs="Arial" w:eastAsia="Arial" w:hAnsi="Arial"/>
                <w:sz w:val="8"/>
                <w:szCs w:val="8"/>
                <w:color w:val="auto"/>
              </w:rPr>
              <w:t>•  Solid Tumors /</w:t>
            </w:r>
          </w:p>
        </w:tc>
        <w:tc>
          <w:tcPr>
            <w:tcW w:w="60" w:type="dxa"/>
            <w:vAlign w:val="bottom"/>
          </w:tcPr>
          <w:p>
            <w:pPr>
              <w:spacing w:after="0"/>
              <w:rPr>
                <w:sz w:val="6"/>
                <w:szCs w:val="6"/>
                <w:color w:val="auto"/>
              </w:rPr>
            </w:pPr>
          </w:p>
        </w:tc>
        <w:tc>
          <w:tcPr>
            <w:tcW w:w="1820" w:type="dxa"/>
            <w:vAlign w:val="bottom"/>
            <w:tcBorders>
              <w:top w:val="single" w:sz="8" w:color="auto"/>
            </w:tcBorders>
          </w:tcPr>
          <w:p>
            <w:pPr>
              <w:ind w:left="60"/>
              <w:spacing w:after="0" w:line="76" w:lineRule="exact"/>
              <w:rPr>
                <w:sz w:val="20"/>
                <w:szCs w:val="20"/>
                <w:color w:val="auto"/>
              </w:rPr>
            </w:pPr>
            <w:r>
              <w:rPr>
                <w:rFonts w:ascii="Arial" w:cs="Arial" w:eastAsia="Arial" w:hAnsi="Arial"/>
                <w:sz w:val="8"/>
                <w:szCs w:val="8"/>
                <w:color w:val="auto"/>
              </w:rPr>
              <w:t>•  1H ‘23: File IND</w:t>
            </w:r>
          </w:p>
        </w:tc>
      </w:tr>
      <w:tr>
        <w:trPr>
          <w:trHeight w:val="99"/>
        </w:trPr>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spacing w:after="0" w:line="99" w:lineRule="exact"/>
              <w:rPr>
                <w:sz w:val="20"/>
                <w:szCs w:val="20"/>
                <w:color w:val="auto"/>
              </w:rPr>
            </w:pPr>
            <w:r>
              <w:rPr>
                <w:rFonts w:ascii="Arial" w:cs="Arial" w:eastAsia="Arial" w:hAnsi="Arial"/>
                <w:sz w:val="10"/>
                <w:szCs w:val="10"/>
                <w:color w:val="auto"/>
              </w:rPr>
              <w:t>antibodies for oncology</w:t>
            </w: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ind w:right="440"/>
              <w:spacing w:after="0" w:line="99" w:lineRule="exact"/>
              <w:rPr>
                <w:sz w:val="20"/>
                <w:szCs w:val="20"/>
                <w:color w:val="auto"/>
              </w:rPr>
            </w:pPr>
            <w:r>
              <w:rPr>
                <w:rFonts w:ascii="Arial" w:cs="Arial" w:eastAsia="Arial" w:hAnsi="Arial"/>
                <w:sz w:val="10"/>
                <w:szCs w:val="10"/>
                <w:color w:val="auto"/>
                <w:w w:val="92"/>
              </w:rPr>
              <w:t>Preclinical</w:t>
            </w:r>
          </w:p>
        </w:tc>
        <w:tc>
          <w:tcPr>
            <w:tcW w:w="1820" w:type="dxa"/>
            <w:vAlign w:val="bottom"/>
          </w:tcPr>
          <w:p>
            <w:pPr>
              <w:spacing w:after="0"/>
              <w:rPr>
                <w:sz w:val="8"/>
                <w:szCs w:val="8"/>
                <w:color w:val="auto"/>
              </w:rPr>
            </w:pPr>
          </w:p>
        </w:tc>
      </w:tr>
      <w:tr>
        <w:trPr>
          <w:trHeight w:val="99"/>
        </w:trPr>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spacing w:after="0" w:line="99" w:lineRule="exact"/>
              <w:rPr>
                <w:sz w:val="20"/>
                <w:szCs w:val="20"/>
                <w:color w:val="auto"/>
              </w:rPr>
            </w:pPr>
            <w:r>
              <w:rPr>
                <w:rFonts w:ascii="Arial" w:cs="Arial" w:eastAsia="Arial" w:hAnsi="Arial"/>
                <w:sz w:val="10"/>
                <w:szCs w:val="10"/>
                <w:color w:val="auto"/>
              </w:rPr>
              <w:t>indications with unmet</w:t>
            </w: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r>
      <w:tr>
        <w:trPr>
          <w:trHeight w:val="121"/>
        </w:trPr>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spacing w:after="0"/>
              <w:rPr>
                <w:sz w:val="20"/>
                <w:szCs w:val="20"/>
                <w:color w:val="auto"/>
              </w:rPr>
            </w:pPr>
            <w:r>
              <w:rPr>
                <w:rFonts w:ascii="Arial" w:cs="Arial" w:eastAsia="Arial" w:hAnsi="Arial"/>
                <w:sz w:val="10"/>
                <w:szCs w:val="10"/>
                <w:color w:val="auto"/>
              </w:rPr>
              <w:t>medical need</w:t>
            </w: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6" w:lineRule="exact"/>
        <w:rPr>
          <w:sz w:val="20"/>
          <w:szCs w:val="20"/>
          <w:color w:val="auto"/>
        </w:rPr>
      </w:pPr>
    </w:p>
    <w:p>
      <w:pPr>
        <w:sectPr>
          <w:pgSz w:w="11900" w:h="16838" w:orient="portrait"/>
          <w:cols w:equalWidth="0" w:num="2">
            <w:col w:w="2300" w:space="320"/>
            <w:col w:w="7539"/>
          </w:cols>
          <w:pgMar w:left="300" w:top="372"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20"/>
                <w:szCs w:val="20"/>
                <w:color w:val="auto"/>
              </w:rPr>
            </w:pPr>
            <w:r>
              <w:rPr>
                <w:rFonts w:ascii="Arial" w:cs="Arial" w:eastAsia="Arial" w:hAnsi="Arial"/>
                <w:sz w:val="10"/>
                <w:szCs w:val="10"/>
                <w:color w:val="auto"/>
              </w:rPr>
              <w:t>Cytovant</w:t>
            </w:r>
          </w:p>
        </w:tc>
        <w:tc>
          <w:tcPr>
            <w:tcW w:w="360" w:type="dxa"/>
            <w:vAlign w:val="bottom"/>
          </w:tcPr>
          <w:p>
            <w:pPr>
              <w:ind w:left="100"/>
              <w:spacing w:after="0"/>
              <w:rPr>
                <w:sz w:val="20"/>
                <w:szCs w:val="20"/>
                <w:color w:val="auto"/>
              </w:rPr>
            </w:pPr>
            <w:r>
              <w:rPr>
                <w:rFonts w:ascii="Arial" w:cs="Arial" w:eastAsia="Arial" w:hAnsi="Arial"/>
                <w:sz w:val="10"/>
                <w:szCs w:val="10"/>
                <w:color w:val="auto"/>
              </w:rPr>
              <w:t>72%</w:t>
            </w:r>
          </w:p>
        </w:tc>
        <w:tc>
          <w:tcPr>
            <w:tcW w:w="320" w:type="dxa"/>
            <w:vAlign w:val="bottom"/>
          </w:tcPr>
          <w:p>
            <w:pPr>
              <w:ind w:left="20"/>
              <w:spacing w:after="0"/>
              <w:rPr>
                <w:sz w:val="20"/>
                <w:szCs w:val="20"/>
                <w:color w:val="auto"/>
              </w:rPr>
            </w:pPr>
            <w:r>
              <w:rPr>
                <w:rFonts w:ascii="Arial" w:cs="Arial" w:eastAsia="Arial" w:hAnsi="Arial"/>
                <w:sz w:val="10"/>
                <w:szCs w:val="10"/>
                <w:color w:val="auto"/>
              </w:rPr>
              <w:t>68%</w:t>
            </w:r>
          </w:p>
        </w:tc>
        <w:tc>
          <w:tcPr>
            <w:tcW w:w="1120" w:type="dxa"/>
            <w:vAlign w:val="bottom"/>
          </w:tcPr>
          <w:p>
            <w:pPr>
              <w:ind w:left="80"/>
              <w:spacing w:after="0"/>
              <w:rPr>
                <w:sz w:val="20"/>
                <w:szCs w:val="20"/>
                <w:color w:val="auto"/>
              </w:rPr>
            </w:pPr>
            <w:r>
              <w:rPr>
                <w:rFonts w:ascii="Arial" w:cs="Arial" w:eastAsia="Arial" w:hAnsi="Arial"/>
                <w:sz w:val="10"/>
                <w:szCs w:val="10"/>
                <w:color w:val="auto"/>
              </w:rPr>
              <w:t>Developing cellular</w:t>
            </w:r>
          </w:p>
        </w:tc>
        <w:tc>
          <w:tcPr>
            <w:tcW w:w="1420" w:type="dxa"/>
            <w:vAlign w:val="bottom"/>
          </w:tcPr>
          <w:p>
            <w:pPr>
              <w:ind w:left="40"/>
              <w:spacing w:after="0"/>
              <w:rPr>
                <w:sz w:val="20"/>
                <w:szCs w:val="20"/>
                <w:color w:val="auto"/>
              </w:rPr>
            </w:pPr>
            <w:r>
              <w:rPr>
                <w:rFonts w:ascii="Arial" w:cs="Arial" w:eastAsia="Arial" w:hAnsi="Arial"/>
                <w:sz w:val="10"/>
                <w:szCs w:val="10"/>
                <w:color w:val="auto"/>
                <w:w w:val="98"/>
              </w:rPr>
              <w:t>CVT-TCR-01 / TCR-T targeting</w:t>
            </w:r>
          </w:p>
        </w:tc>
        <w:tc>
          <w:tcPr>
            <w:tcW w:w="460" w:type="dxa"/>
            <w:vAlign w:val="bottom"/>
          </w:tcPr>
          <w:p>
            <w:pPr>
              <w:ind w:left="80"/>
              <w:spacing w:after="0"/>
              <w:rPr>
                <w:sz w:val="20"/>
                <w:szCs w:val="20"/>
                <w:color w:val="auto"/>
              </w:rPr>
            </w:pPr>
            <w:r>
              <w:rPr>
                <w:rFonts w:ascii="Arial" w:cs="Arial" w:eastAsia="Arial" w:hAnsi="Arial"/>
                <w:sz w:val="10"/>
                <w:szCs w:val="10"/>
                <w:color w:val="auto"/>
              </w:rPr>
              <w:t>Cell</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020" w:type="dxa"/>
            <w:vAlign w:val="bottom"/>
          </w:tcPr>
          <w:p>
            <w:pPr>
              <w:ind w:left="40"/>
              <w:spacing w:after="0"/>
              <w:rPr>
                <w:sz w:val="20"/>
                <w:szCs w:val="20"/>
                <w:color w:val="auto"/>
              </w:rPr>
            </w:pPr>
            <w:r>
              <w:rPr>
                <w:rFonts w:ascii="Arial" w:cs="Arial" w:eastAsia="Arial" w:hAnsi="Arial"/>
                <w:sz w:val="10"/>
                <w:szCs w:val="10"/>
                <w:color w:val="auto"/>
                <w:w w:val="90"/>
              </w:rPr>
              <w:t>Oncologic malignancies</w:t>
            </w:r>
          </w:p>
        </w:tc>
        <w:tc>
          <w:tcPr>
            <w:tcW w:w="1820" w:type="dxa"/>
            <w:vAlign w:val="bottom"/>
          </w:tcPr>
          <w:p>
            <w:pPr>
              <w:ind w:left="120"/>
              <w:spacing w:after="0"/>
              <w:rPr>
                <w:sz w:val="20"/>
                <w:szCs w:val="20"/>
                <w:color w:val="auto"/>
              </w:rPr>
            </w:pPr>
            <w:r>
              <w:rPr>
                <w:rFonts w:ascii="Arial" w:cs="Arial" w:eastAsia="Arial" w:hAnsi="Arial"/>
                <w:sz w:val="10"/>
                <w:szCs w:val="10"/>
                <w:color w:val="auto"/>
              </w:rPr>
              <w:t>•  2H ‘21: Initiation of CMC activities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w w:val="89"/>
              </w:rPr>
              <w:t>medicines uniquely suited</w:t>
            </w:r>
          </w:p>
        </w:tc>
        <w:tc>
          <w:tcPr>
            <w:tcW w:w="1420" w:type="dxa"/>
            <w:vAlign w:val="bottom"/>
          </w:tcPr>
          <w:p>
            <w:pPr>
              <w:ind w:left="40"/>
              <w:spacing w:after="0" w:line="99" w:lineRule="exact"/>
              <w:rPr>
                <w:sz w:val="20"/>
                <w:szCs w:val="20"/>
                <w:color w:val="auto"/>
              </w:rPr>
            </w:pPr>
            <w:r>
              <w:rPr>
                <w:rFonts w:ascii="Arial" w:cs="Arial" w:eastAsia="Arial" w:hAnsi="Arial"/>
                <w:sz w:val="10"/>
                <w:szCs w:val="10"/>
                <w:color w:val="auto"/>
              </w:rPr>
              <w:t>NY-ESO-1</w:t>
            </w:r>
          </w:p>
        </w:tc>
        <w:tc>
          <w:tcPr>
            <w:tcW w:w="460" w:type="dxa"/>
            <w:vAlign w:val="bottom"/>
          </w:tcPr>
          <w:p>
            <w:pPr>
              <w:ind w:left="80"/>
              <w:spacing w:after="0" w:line="99" w:lineRule="exact"/>
              <w:rPr>
                <w:sz w:val="20"/>
                <w:szCs w:val="20"/>
                <w:color w:val="auto"/>
              </w:rPr>
            </w:pPr>
            <w:r>
              <w:rPr>
                <w:rFonts w:ascii="Arial" w:cs="Arial" w:eastAsia="Arial" w:hAnsi="Arial"/>
                <w:sz w:val="10"/>
                <w:szCs w:val="10"/>
                <w:color w:val="auto"/>
              </w:rPr>
              <w:t>therapy</w:t>
            </w:r>
          </w:p>
        </w:tc>
        <w:tc>
          <w:tcPr>
            <w:tcW w:w="220" w:type="dxa"/>
            <w:vAlign w:val="bottom"/>
          </w:tcPr>
          <w:p>
            <w:pPr>
              <w:spacing w:after="0"/>
              <w:rPr>
                <w:sz w:val="8"/>
                <w:szCs w:val="8"/>
                <w:color w:val="auto"/>
              </w:rPr>
            </w:pPr>
          </w:p>
        </w:tc>
        <w:tc>
          <w:tcPr>
            <w:tcW w:w="1020" w:type="dxa"/>
            <w:vAlign w:val="bottom"/>
          </w:tcPr>
          <w:p>
            <w:pPr>
              <w:ind w:left="40"/>
              <w:spacing w:after="0" w:line="99" w:lineRule="exact"/>
              <w:rPr>
                <w:sz w:val="20"/>
                <w:szCs w:val="20"/>
                <w:color w:val="auto"/>
              </w:rPr>
            </w:pPr>
            <w:r>
              <w:rPr>
                <w:rFonts w:ascii="Arial" w:cs="Arial" w:eastAsia="Arial" w:hAnsi="Arial"/>
                <w:sz w:val="10"/>
                <w:szCs w:val="10"/>
                <w:color w:val="auto"/>
              </w:rPr>
              <w:t>/ Preclinical</w:t>
            </w: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0"/>
                <w:szCs w:val="10"/>
                <w:color w:val="auto"/>
              </w:rPr>
              <w:t>to Asian patients</w:t>
            </w: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20"/>
                <w:szCs w:val="20"/>
                <w:color w:val="auto"/>
              </w:rPr>
            </w:pPr>
            <w:r>
              <w:rPr>
                <w:rFonts w:ascii="Arial" w:cs="Arial" w:eastAsia="Arial" w:hAnsi="Arial"/>
                <w:sz w:val="10"/>
                <w:szCs w:val="10"/>
                <w:color w:val="auto"/>
              </w:rPr>
              <w:t>Arbutus</w:t>
            </w:r>
          </w:p>
        </w:tc>
        <w:tc>
          <w:tcPr>
            <w:tcW w:w="360" w:type="dxa"/>
            <w:vAlign w:val="bottom"/>
          </w:tcPr>
          <w:p>
            <w:pPr>
              <w:ind w:left="100"/>
              <w:spacing w:after="0"/>
              <w:rPr>
                <w:sz w:val="20"/>
                <w:szCs w:val="20"/>
                <w:color w:val="auto"/>
              </w:rPr>
            </w:pPr>
            <w:r>
              <w:rPr>
                <w:rFonts w:ascii="Arial" w:cs="Arial" w:eastAsia="Arial" w:hAnsi="Arial"/>
                <w:sz w:val="10"/>
                <w:szCs w:val="10"/>
                <w:color w:val="auto"/>
              </w:rPr>
              <w:t>32%*</w:t>
            </w:r>
          </w:p>
        </w:tc>
        <w:tc>
          <w:tcPr>
            <w:tcW w:w="320" w:type="dxa"/>
            <w:vAlign w:val="bottom"/>
          </w:tcPr>
          <w:p>
            <w:pPr>
              <w:ind w:left="20"/>
              <w:spacing w:after="0"/>
              <w:rPr>
                <w:sz w:val="20"/>
                <w:szCs w:val="20"/>
                <w:color w:val="auto"/>
              </w:rPr>
            </w:pPr>
            <w:r>
              <w:rPr>
                <w:rFonts w:ascii="Arial" w:cs="Arial" w:eastAsia="Arial" w:hAnsi="Arial"/>
                <w:sz w:val="10"/>
                <w:szCs w:val="10"/>
                <w:color w:val="auto"/>
              </w:rPr>
              <w:t>29%*</w:t>
            </w:r>
          </w:p>
        </w:tc>
        <w:tc>
          <w:tcPr>
            <w:tcW w:w="1120" w:type="dxa"/>
            <w:vAlign w:val="bottom"/>
          </w:tcPr>
          <w:p>
            <w:pPr>
              <w:ind w:left="80"/>
              <w:spacing w:after="0"/>
              <w:rPr>
                <w:sz w:val="20"/>
                <w:szCs w:val="20"/>
                <w:color w:val="auto"/>
              </w:rPr>
            </w:pPr>
            <w:r>
              <w:rPr>
                <w:rFonts w:ascii="Arial" w:cs="Arial" w:eastAsia="Arial" w:hAnsi="Arial"/>
                <w:sz w:val="10"/>
                <w:szCs w:val="10"/>
                <w:color w:val="auto"/>
              </w:rPr>
              <w:t>Developing a potential</w:t>
            </w:r>
          </w:p>
        </w:tc>
        <w:tc>
          <w:tcPr>
            <w:tcW w:w="1420" w:type="dxa"/>
            <w:vAlign w:val="bottom"/>
          </w:tcPr>
          <w:p>
            <w:pPr>
              <w:ind w:left="40"/>
              <w:spacing w:after="0"/>
              <w:rPr>
                <w:sz w:val="20"/>
                <w:szCs w:val="20"/>
                <w:color w:val="auto"/>
              </w:rPr>
            </w:pPr>
            <w:r>
              <w:rPr>
                <w:rFonts w:ascii="Arial" w:cs="Arial" w:eastAsia="Arial" w:hAnsi="Arial"/>
                <w:sz w:val="10"/>
                <w:szCs w:val="10"/>
                <w:color w:val="auto"/>
              </w:rPr>
              <w:t>AB-729 / RNAi inhibiting HBV</w:t>
            </w:r>
          </w:p>
        </w:tc>
        <w:tc>
          <w:tcPr>
            <w:tcW w:w="460" w:type="dxa"/>
            <w:vAlign w:val="bottom"/>
          </w:tcPr>
          <w:p>
            <w:pPr>
              <w:ind w:left="80"/>
              <w:spacing w:after="0"/>
              <w:rPr>
                <w:sz w:val="20"/>
                <w:szCs w:val="20"/>
                <w:color w:val="auto"/>
              </w:rPr>
            </w:pPr>
            <w:r>
              <w:rPr>
                <w:rFonts w:ascii="Arial" w:cs="Arial" w:eastAsia="Arial" w:hAnsi="Arial"/>
                <w:sz w:val="10"/>
                <w:szCs w:val="10"/>
                <w:color w:val="auto"/>
              </w:rPr>
              <w:t>RNA</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020" w:type="dxa"/>
            <w:vAlign w:val="bottom"/>
          </w:tcPr>
          <w:p>
            <w:pPr>
              <w:ind w:left="40"/>
              <w:spacing w:after="0"/>
              <w:rPr>
                <w:sz w:val="20"/>
                <w:szCs w:val="20"/>
                <w:color w:val="auto"/>
              </w:rPr>
            </w:pPr>
            <w:r>
              <w:rPr>
                <w:rFonts w:ascii="Arial" w:cs="Arial" w:eastAsia="Arial" w:hAnsi="Arial"/>
                <w:sz w:val="10"/>
                <w:szCs w:val="10"/>
                <w:color w:val="auto"/>
              </w:rPr>
              <w:t>Hepatitis B / Phase 2</w:t>
            </w:r>
          </w:p>
        </w:tc>
        <w:tc>
          <w:tcPr>
            <w:tcW w:w="1820" w:type="dxa"/>
            <w:vAlign w:val="bottom"/>
          </w:tcPr>
          <w:p>
            <w:pPr>
              <w:ind w:left="120"/>
              <w:spacing w:after="0"/>
              <w:rPr>
                <w:sz w:val="20"/>
                <w:szCs w:val="20"/>
                <w:color w:val="auto"/>
              </w:rPr>
            </w:pPr>
            <w:r>
              <w:rPr>
                <w:rFonts w:ascii="Arial" w:cs="Arial" w:eastAsia="Arial" w:hAnsi="Arial"/>
                <w:sz w:val="10"/>
                <w:szCs w:val="10"/>
                <w:color w:val="auto"/>
                <w:w w:val="99"/>
              </w:rPr>
              <w:t>•  2H ‘21: Additional data from AB-729</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cure for chronic HBV</w:t>
            </w:r>
          </w:p>
        </w:tc>
        <w:tc>
          <w:tcPr>
            <w:tcW w:w="1420" w:type="dxa"/>
            <w:vAlign w:val="bottom"/>
          </w:tcPr>
          <w:p>
            <w:pPr>
              <w:ind w:left="40"/>
              <w:spacing w:after="0" w:line="99" w:lineRule="exact"/>
              <w:rPr>
                <w:sz w:val="20"/>
                <w:szCs w:val="20"/>
                <w:color w:val="auto"/>
              </w:rPr>
            </w:pPr>
            <w:r>
              <w:rPr>
                <w:rFonts w:ascii="Arial" w:cs="Arial" w:eastAsia="Arial" w:hAnsi="Arial"/>
                <w:sz w:val="10"/>
                <w:szCs w:val="10"/>
                <w:color w:val="auto"/>
              </w:rPr>
              <w:t>replication</w:t>
            </w:r>
          </w:p>
        </w:tc>
        <w:tc>
          <w:tcPr>
            <w:tcW w:w="460" w:type="dxa"/>
            <w:vAlign w:val="bottom"/>
          </w:tcPr>
          <w:p>
            <w:pPr>
              <w:ind w:left="80"/>
              <w:spacing w:after="0" w:line="99" w:lineRule="exact"/>
              <w:rPr>
                <w:sz w:val="20"/>
                <w:szCs w:val="20"/>
                <w:color w:val="auto"/>
              </w:rPr>
            </w:pPr>
            <w:r>
              <w:rPr>
                <w:rFonts w:ascii="Arial" w:cs="Arial" w:eastAsia="Arial" w:hAnsi="Arial"/>
                <w:sz w:val="10"/>
                <w:szCs w:val="10"/>
                <w:color w:val="auto"/>
              </w:rPr>
              <w:t>therapy</w:t>
            </w: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ind w:left="260"/>
              <w:spacing w:after="0" w:line="99" w:lineRule="exact"/>
              <w:rPr>
                <w:sz w:val="20"/>
                <w:szCs w:val="20"/>
                <w:color w:val="auto"/>
              </w:rPr>
            </w:pPr>
            <w:r>
              <w:rPr>
                <w:rFonts w:ascii="Arial" w:cs="Arial" w:eastAsia="Arial" w:hAnsi="Arial"/>
                <w:sz w:val="10"/>
                <w:szCs w:val="10"/>
                <w:color w:val="auto"/>
              </w:rPr>
              <w:t>trial</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0"/>
                <w:szCs w:val="10"/>
                <w:color w:val="auto"/>
              </w:rPr>
              <w:t>infection</w:t>
            </w: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vMerge w:val="restart"/>
          </w:tcPr>
          <w:p>
            <w:pPr>
              <w:ind w:left="120"/>
              <w:spacing w:after="0"/>
              <w:rPr>
                <w:sz w:val="20"/>
                <w:szCs w:val="20"/>
                <w:color w:val="auto"/>
              </w:rPr>
            </w:pPr>
            <w:r>
              <w:rPr>
                <w:rFonts w:ascii="Arial" w:cs="Arial" w:eastAsia="Arial" w:hAnsi="Arial"/>
                <w:sz w:val="10"/>
                <w:szCs w:val="10"/>
                <w:color w:val="auto"/>
              </w:rPr>
              <w:t>•  2H ‘21: Initial data from Phase 1a/b</w:t>
            </w:r>
          </w:p>
        </w:tc>
        <w:tc>
          <w:tcPr>
            <w:tcW w:w="0" w:type="dxa"/>
            <w:vAlign w:val="bottom"/>
          </w:tcPr>
          <w:p>
            <w:pPr>
              <w:spacing w:after="0"/>
              <w:rPr>
                <w:sz w:val="1"/>
                <w:szCs w:val="1"/>
                <w:color w:val="auto"/>
              </w:rPr>
            </w:pPr>
          </w:p>
        </w:tc>
      </w:tr>
      <w:tr>
        <w:trPr>
          <w:trHeight w:val="59"/>
        </w:trPr>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ind w:left="260"/>
              <w:spacing w:after="0"/>
              <w:rPr>
                <w:sz w:val="20"/>
                <w:szCs w:val="20"/>
                <w:color w:val="auto"/>
              </w:rPr>
            </w:pPr>
            <w:r>
              <w:rPr>
                <w:rFonts w:ascii="Arial" w:cs="Arial" w:eastAsia="Arial" w:hAnsi="Arial"/>
                <w:sz w:val="10"/>
                <w:szCs w:val="10"/>
                <w:color w:val="auto"/>
              </w:rPr>
              <w:t>AB-836 trial</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0"/>
                <w:szCs w:val="10"/>
                <w:color w:val="auto"/>
                <w:w w:val="93"/>
              </w:rPr>
              <w:t>•  2H ‘21 and 1H ‘22: Initiation of AB-729</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ind w:left="260"/>
              <w:spacing w:after="0"/>
              <w:rPr>
                <w:sz w:val="20"/>
                <w:szCs w:val="20"/>
                <w:color w:val="auto"/>
              </w:rPr>
            </w:pPr>
            <w:r>
              <w:rPr>
                <w:rFonts w:ascii="Arial" w:cs="Arial" w:eastAsia="Arial" w:hAnsi="Arial"/>
                <w:sz w:val="10"/>
                <w:szCs w:val="10"/>
                <w:color w:val="auto"/>
              </w:rPr>
              <w:t>Phase 2 combination trials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0"/>
                <w:szCs w:val="10"/>
                <w:color w:val="auto"/>
              </w:rPr>
              <w:t>Sio Gene</w:t>
            </w:r>
          </w:p>
        </w:tc>
        <w:tc>
          <w:tcPr>
            <w:tcW w:w="360" w:type="dxa"/>
            <w:vAlign w:val="bottom"/>
          </w:tcPr>
          <w:p>
            <w:pPr>
              <w:ind w:left="100"/>
              <w:spacing w:after="0"/>
              <w:rPr>
                <w:sz w:val="20"/>
                <w:szCs w:val="20"/>
                <w:color w:val="auto"/>
              </w:rPr>
            </w:pPr>
            <w:r>
              <w:rPr>
                <w:rFonts w:ascii="Arial" w:cs="Arial" w:eastAsia="Arial" w:hAnsi="Arial"/>
                <w:sz w:val="10"/>
                <w:szCs w:val="10"/>
                <w:color w:val="auto"/>
              </w:rPr>
              <w:t>27%*</w:t>
            </w:r>
          </w:p>
        </w:tc>
        <w:tc>
          <w:tcPr>
            <w:tcW w:w="320" w:type="dxa"/>
            <w:vAlign w:val="bottom"/>
          </w:tcPr>
          <w:p>
            <w:pPr>
              <w:ind w:left="20"/>
              <w:spacing w:after="0"/>
              <w:rPr>
                <w:sz w:val="20"/>
                <w:szCs w:val="20"/>
                <w:color w:val="auto"/>
              </w:rPr>
            </w:pPr>
            <w:r>
              <w:rPr>
                <w:rFonts w:ascii="Arial" w:cs="Arial" w:eastAsia="Arial" w:hAnsi="Arial"/>
                <w:sz w:val="10"/>
                <w:szCs w:val="10"/>
                <w:color w:val="auto"/>
              </w:rPr>
              <w:t>24%*</w:t>
            </w:r>
          </w:p>
        </w:tc>
        <w:tc>
          <w:tcPr>
            <w:tcW w:w="1120" w:type="dxa"/>
            <w:vAlign w:val="bottom"/>
          </w:tcPr>
          <w:p>
            <w:pPr>
              <w:ind w:left="80"/>
              <w:spacing w:after="0"/>
              <w:rPr>
                <w:sz w:val="20"/>
                <w:szCs w:val="20"/>
                <w:color w:val="auto"/>
              </w:rPr>
            </w:pPr>
            <w:r>
              <w:rPr>
                <w:rFonts w:ascii="Arial" w:cs="Arial" w:eastAsia="Arial" w:hAnsi="Arial"/>
                <w:sz w:val="10"/>
                <w:szCs w:val="10"/>
                <w:color w:val="auto"/>
              </w:rPr>
              <w:t>Developing gene</w:t>
            </w:r>
          </w:p>
        </w:tc>
        <w:tc>
          <w:tcPr>
            <w:tcW w:w="1420" w:type="dxa"/>
            <w:vAlign w:val="bottom"/>
          </w:tcPr>
          <w:p>
            <w:pPr>
              <w:ind w:left="40"/>
              <w:spacing w:after="0"/>
              <w:rPr>
                <w:sz w:val="20"/>
                <w:szCs w:val="20"/>
                <w:color w:val="auto"/>
              </w:rPr>
            </w:pPr>
            <w:r>
              <w:rPr>
                <w:rFonts w:ascii="Arial" w:cs="Arial" w:eastAsia="Arial" w:hAnsi="Arial"/>
                <w:sz w:val="10"/>
                <w:szCs w:val="10"/>
                <w:color w:val="auto"/>
              </w:rPr>
              <w:t>AXO-AAV-GM1 / In vivo AAV9</w:t>
            </w:r>
          </w:p>
        </w:tc>
        <w:tc>
          <w:tcPr>
            <w:tcW w:w="460" w:type="dxa"/>
            <w:vAlign w:val="bottom"/>
          </w:tcPr>
          <w:p>
            <w:pPr>
              <w:ind w:left="80"/>
              <w:spacing w:after="0"/>
              <w:rPr>
                <w:sz w:val="20"/>
                <w:szCs w:val="20"/>
                <w:color w:val="auto"/>
              </w:rPr>
            </w:pPr>
            <w:r>
              <w:rPr>
                <w:rFonts w:ascii="Arial" w:cs="Arial" w:eastAsia="Arial" w:hAnsi="Arial"/>
                <w:sz w:val="10"/>
                <w:szCs w:val="10"/>
                <w:color w:val="auto"/>
              </w:rPr>
              <w:t>Gene</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020" w:type="dxa"/>
            <w:vAlign w:val="bottom"/>
          </w:tcPr>
          <w:p>
            <w:pPr>
              <w:ind w:left="40"/>
              <w:spacing w:after="0"/>
              <w:rPr>
                <w:sz w:val="20"/>
                <w:szCs w:val="20"/>
                <w:color w:val="auto"/>
              </w:rPr>
            </w:pPr>
            <w:r>
              <w:rPr>
                <w:rFonts w:ascii="Arial" w:cs="Arial" w:eastAsia="Arial" w:hAnsi="Arial"/>
                <w:sz w:val="10"/>
                <w:szCs w:val="10"/>
                <w:color w:val="auto"/>
              </w:rPr>
              <w:t>GM1 gangliosidosis /</w:t>
            </w:r>
          </w:p>
        </w:tc>
        <w:tc>
          <w:tcPr>
            <w:tcW w:w="1820" w:type="dxa"/>
            <w:vAlign w:val="bottom"/>
          </w:tcPr>
          <w:p>
            <w:pPr>
              <w:ind w:left="120"/>
              <w:spacing w:after="0"/>
              <w:rPr>
                <w:sz w:val="20"/>
                <w:szCs w:val="20"/>
                <w:color w:val="auto"/>
              </w:rPr>
            </w:pPr>
            <w:r>
              <w:rPr>
                <w:rFonts w:ascii="Arial" w:cs="Arial" w:eastAsia="Arial" w:hAnsi="Arial"/>
                <w:sz w:val="10"/>
                <w:szCs w:val="10"/>
                <w:color w:val="auto"/>
                <w:w w:val="88"/>
              </w:rPr>
              <w:t>•  1H ‘22: Data update from ongoing Phase</w:t>
            </w:r>
          </w:p>
        </w:tc>
        <w:tc>
          <w:tcPr>
            <w:tcW w:w="0" w:type="dxa"/>
            <w:vAlign w:val="bottom"/>
          </w:tcPr>
          <w:p>
            <w:pPr>
              <w:spacing w:after="0"/>
              <w:rPr>
                <w:sz w:val="1"/>
                <w:szCs w:val="1"/>
                <w:color w:val="auto"/>
              </w:rPr>
            </w:pPr>
          </w:p>
        </w:tc>
      </w:tr>
      <w:tr>
        <w:trPr>
          <w:trHeight w:val="99"/>
        </w:trPr>
        <w:tc>
          <w:tcPr>
            <w:tcW w:w="540" w:type="dxa"/>
            <w:vAlign w:val="bottom"/>
          </w:tcPr>
          <w:p>
            <w:pPr>
              <w:spacing w:after="0" w:line="99" w:lineRule="exact"/>
              <w:rPr>
                <w:sz w:val="20"/>
                <w:szCs w:val="20"/>
                <w:color w:val="auto"/>
              </w:rPr>
            </w:pPr>
            <w:r>
              <w:rPr>
                <w:rFonts w:ascii="Arial" w:cs="Arial" w:eastAsia="Arial" w:hAnsi="Arial"/>
                <w:sz w:val="10"/>
                <w:szCs w:val="10"/>
                <w:color w:val="auto"/>
              </w:rPr>
              <w:t>Therapies</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therapies for</w:t>
            </w:r>
          </w:p>
        </w:tc>
        <w:tc>
          <w:tcPr>
            <w:tcW w:w="1420" w:type="dxa"/>
            <w:vAlign w:val="bottom"/>
          </w:tcPr>
          <w:p>
            <w:pPr>
              <w:ind w:left="40"/>
              <w:spacing w:after="0" w:line="99" w:lineRule="exact"/>
              <w:rPr>
                <w:sz w:val="20"/>
                <w:szCs w:val="20"/>
                <w:color w:val="auto"/>
              </w:rPr>
            </w:pPr>
            <w:r>
              <w:rPr>
                <w:rFonts w:ascii="Arial" w:cs="Arial" w:eastAsia="Arial" w:hAnsi="Arial"/>
                <w:sz w:val="10"/>
                <w:szCs w:val="10"/>
                <w:color w:val="auto"/>
              </w:rPr>
              <w:t>gene therapy</w:t>
            </w:r>
          </w:p>
        </w:tc>
        <w:tc>
          <w:tcPr>
            <w:tcW w:w="460" w:type="dxa"/>
            <w:vAlign w:val="bottom"/>
          </w:tcPr>
          <w:p>
            <w:pPr>
              <w:ind w:left="80"/>
              <w:spacing w:after="0" w:line="99" w:lineRule="exact"/>
              <w:rPr>
                <w:sz w:val="20"/>
                <w:szCs w:val="20"/>
                <w:color w:val="auto"/>
              </w:rPr>
            </w:pPr>
            <w:r>
              <w:rPr>
                <w:rFonts w:ascii="Arial" w:cs="Arial" w:eastAsia="Arial" w:hAnsi="Arial"/>
                <w:sz w:val="10"/>
                <w:szCs w:val="10"/>
                <w:color w:val="auto"/>
              </w:rPr>
              <w:t>therapy</w:t>
            </w:r>
          </w:p>
        </w:tc>
        <w:tc>
          <w:tcPr>
            <w:tcW w:w="220" w:type="dxa"/>
            <w:vAlign w:val="bottom"/>
          </w:tcPr>
          <w:p>
            <w:pPr>
              <w:spacing w:after="0"/>
              <w:rPr>
                <w:sz w:val="8"/>
                <w:szCs w:val="8"/>
                <w:color w:val="auto"/>
              </w:rPr>
            </w:pPr>
          </w:p>
        </w:tc>
        <w:tc>
          <w:tcPr>
            <w:tcW w:w="1020" w:type="dxa"/>
            <w:vAlign w:val="bottom"/>
          </w:tcPr>
          <w:p>
            <w:pPr>
              <w:ind w:left="40"/>
              <w:spacing w:after="0" w:line="99" w:lineRule="exact"/>
              <w:rPr>
                <w:sz w:val="20"/>
                <w:szCs w:val="20"/>
                <w:color w:val="auto"/>
              </w:rPr>
            </w:pPr>
            <w:r>
              <w:rPr>
                <w:rFonts w:ascii="Arial" w:cs="Arial" w:eastAsia="Arial" w:hAnsi="Arial"/>
                <w:sz w:val="10"/>
                <w:szCs w:val="10"/>
                <w:color w:val="auto"/>
              </w:rPr>
              <w:t>Phase 1/2</w:t>
            </w:r>
          </w:p>
        </w:tc>
        <w:tc>
          <w:tcPr>
            <w:tcW w:w="1820" w:type="dxa"/>
            <w:vAlign w:val="bottom"/>
          </w:tcPr>
          <w:p>
            <w:pPr>
              <w:ind w:left="260"/>
              <w:spacing w:after="0" w:line="99" w:lineRule="exact"/>
              <w:rPr>
                <w:sz w:val="20"/>
                <w:szCs w:val="20"/>
                <w:color w:val="auto"/>
              </w:rPr>
            </w:pPr>
            <w:r>
              <w:rPr>
                <w:rFonts w:ascii="Arial" w:cs="Arial" w:eastAsia="Arial" w:hAnsi="Arial"/>
                <w:sz w:val="10"/>
                <w:szCs w:val="10"/>
                <w:color w:val="auto"/>
              </w:rPr>
              <w:t>1/2 trial</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neurodegenerative</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0"/>
                <w:szCs w:val="10"/>
                <w:color w:val="auto"/>
              </w:rPr>
              <w:t>diseases</w:t>
            </w: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20"/>
                <w:szCs w:val="20"/>
                <w:color w:val="auto"/>
              </w:rPr>
            </w:pPr>
            <w:r>
              <w:rPr>
                <w:rFonts w:ascii="Arial" w:cs="Arial" w:eastAsia="Arial" w:hAnsi="Arial"/>
                <w:sz w:val="10"/>
                <w:szCs w:val="10"/>
                <w:color w:val="auto"/>
              </w:rPr>
              <w:t>Genevant</w:t>
            </w:r>
          </w:p>
        </w:tc>
        <w:tc>
          <w:tcPr>
            <w:tcW w:w="360" w:type="dxa"/>
            <w:vAlign w:val="bottom"/>
          </w:tcPr>
          <w:p>
            <w:pPr>
              <w:ind w:left="100"/>
              <w:spacing w:after="0"/>
              <w:rPr>
                <w:sz w:val="20"/>
                <w:szCs w:val="20"/>
                <w:color w:val="auto"/>
              </w:rPr>
            </w:pPr>
            <w:r>
              <w:rPr>
                <w:rFonts w:ascii="Arial" w:cs="Arial" w:eastAsia="Arial" w:hAnsi="Arial"/>
                <w:sz w:val="10"/>
                <w:szCs w:val="10"/>
                <w:color w:val="auto"/>
              </w:rPr>
              <w:t>83%</w:t>
            </w:r>
          </w:p>
        </w:tc>
        <w:tc>
          <w:tcPr>
            <w:tcW w:w="320" w:type="dxa"/>
            <w:vAlign w:val="bottom"/>
          </w:tcPr>
          <w:p>
            <w:pPr>
              <w:ind w:left="20"/>
              <w:spacing w:after="0"/>
              <w:rPr>
                <w:sz w:val="20"/>
                <w:szCs w:val="20"/>
                <w:color w:val="auto"/>
              </w:rPr>
            </w:pPr>
            <w:r>
              <w:rPr>
                <w:rFonts w:ascii="Arial" w:cs="Arial" w:eastAsia="Arial" w:hAnsi="Arial"/>
                <w:sz w:val="10"/>
                <w:szCs w:val="10"/>
                <w:color w:val="auto"/>
              </w:rPr>
              <w:t>69%</w:t>
            </w:r>
          </w:p>
        </w:tc>
        <w:tc>
          <w:tcPr>
            <w:tcW w:w="1120" w:type="dxa"/>
            <w:vAlign w:val="bottom"/>
          </w:tcPr>
          <w:p>
            <w:pPr>
              <w:ind w:left="80"/>
              <w:spacing w:after="0"/>
              <w:rPr>
                <w:sz w:val="20"/>
                <w:szCs w:val="20"/>
                <w:color w:val="auto"/>
              </w:rPr>
            </w:pPr>
            <w:r>
              <w:rPr>
                <w:rFonts w:ascii="Arial" w:cs="Arial" w:eastAsia="Arial" w:hAnsi="Arial"/>
                <w:sz w:val="10"/>
                <w:szCs w:val="10"/>
                <w:color w:val="auto"/>
              </w:rPr>
              <w:t>Advancing delivery of</w:t>
            </w:r>
          </w:p>
        </w:tc>
        <w:tc>
          <w:tcPr>
            <w:tcW w:w="1420" w:type="dxa"/>
            <w:vAlign w:val="bottom"/>
          </w:tcPr>
          <w:p>
            <w:pPr>
              <w:ind w:left="40"/>
              <w:spacing w:after="0"/>
              <w:rPr>
                <w:sz w:val="20"/>
                <w:szCs w:val="20"/>
                <w:color w:val="auto"/>
              </w:rPr>
            </w:pPr>
            <w:r>
              <w:rPr>
                <w:rFonts w:ascii="Arial" w:cs="Arial" w:eastAsia="Arial" w:hAnsi="Arial"/>
                <w:sz w:val="10"/>
                <w:szCs w:val="10"/>
                <w:color w:val="auto"/>
              </w:rPr>
              <w:t>—</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0"/>
                <w:szCs w:val="10"/>
                <w:color w:val="auto"/>
                <w:w w:val="93"/>
              </w:rPr>
              <w:t>nucleic acid therapeutics</w:t>
            </w: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20"/>
                <w:szCs w:val="20"/>
                <w:color w:val="auto"/>
              </w:rPr>
            </w:pPr>
            <w:r>
              <w:rPr>
                <w:rFonts w:ascii="Arial" w:cs="Arial" w:eastAsia="Arial" w:hAnsi="Arial"/>
                <w:sz w:val="10"/>
                <w:szCs w:val="10"/>
                <w:color w:val="auto"/>
              </w:rPr>
              <w:t>Lokavant</w:t>
            </w:r>
          </w:p>
        </w:tc>
        <w:tc>
          <w:tcPr>
            <w:tcW w:w="360" w:type="dxa"/>
            <w:vAlign w:val="bottom"/>
          </w:tcPr>
          <w:p>
            <w:pPr>
              <w:ind w:left="100"/>
              <w:spacing w:after="0"/>
              <w:rPr>
                <w:sz w:val="20"/>
                <w:szCs w:val="20"/>
                <w:color w:val="auto"/>
              </w:rPr>
            </w:pPr>
            <w:r>
              <w:rPr>
                <w:rFonts w:ascii="Arial" w:cs="Arial" w:eastAsia="Arial" w:hAnsi="Arial"/>
                <w:sz w:val="10"/>
                <w:szCs w:val="10"/>
                <w:color w:val="auto"/>
              </w:rPr>
              <w:t>90%</w:t>
            </w:r>
          </w:p>
        </w:tc>
        <w:tc>
          <w:tcPr>
            <w:tcW w:w="320" w:type="dxa"/>
            <w:vAlign w:val="bottom"/>
          </w:tcPr>
          <w:p>
            <w:pPr>
              <w:ind w:left="20"/>
              <w:spacing w:after="0"/>
              <w:rPr>
                <w:sz w:val="20"/>
                <w:szCs w:val="20"/>
                <w:color w:val="auto"/>
              </w:rPr>
            </w:pPr>
            <w:r>
              <w:rPr>
                <w:rFonts w:ascii="Arial" w:cs="Arial" w:eastAsia="Arial" w:hAnsi="Arial"/>
                <w:sz w:val="10"/>
                <w:szCs w:val="10"/>
                <w:color w:val="auto"/>
              </w:rPr>
              <w:t>85%</w:t>
            </w:r>
          </w:p>
        </w:tc>
        <w:tc>
          <w:tcPr>
            <w:tcW w:w="1120" w:type="dxa"/>
            <w:vAlign w:val="bottom"/>
          </w:tcPr>
          <w:p>
            <w:pPr>
              <w:ind w:left="80"/>
              <w:spacing w:after="0"/>
              <w:rPr>
                <w:sz w:val="20"/>
                <w:szCs w:val="20"/>
                <w:color w:val="auto"/>
              </w:rPr>
            </w:pPr>
            <w:r>
              <w:rPr>
                <w:rFonts w:ascii="Arial" w:cs="Arial" w:eastAsia="Arial" w:hAnsi="Arial"/>
                <w:sz w:val="10"/>
                <w:szCs w:val="10"/>
                <w:color w:val="auto"/>
              </w:rPr>
              <w:t>Optimizing trial</w:t>
            </w:r>
          </w:p>
        </w:tc>
        <w:tc>
          <w:tcPr>
            <w:tcW w:w="1420" w:type="dxa"/>
            <w:vAlign w:val="bottom"/>
          </w:tcPr>
          <w:p>
            <w:pPr>
              <w:ind w:left="40"/>
              <w:spacing w:after="0"/>
              <w:rPr>
                <w:sz w:val="20"/>
                <w:szCs w:val="20"/>
                <w:color w:val="auto"/>
              </w:rPr>
            </w:pPr>
            <w:r>
              <w:rPr>
                <w:rFonts w:ascii="Arial" w:cs="Arial" w:eastAsia="Arial" w:hAnsi="Arial"/>
                <w:sz w:val="10"/>
                <w:szCs w:val="10"/>
                <w:color w:val="auto"/>
              </w:rPr>
              <w:t>—</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operations with an</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end-to-end risk</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0"/>
                <w:szCs w:val="10"/>
                <w:color w:val="auto"/>
              </w:rPr>
              <w:t>monitoring solution</w:t>
            </w: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20"/>
                <w:szCs w:val="20"/>
                <w:color w:val="auto"/>
              </w:rPr>
            </w:pPr>
            <w:r>
              <w:rPr>
                <w:rFonts w:ascii="Arial" w:cs="Arial" w:eastAsia="Arial" w:hAnsi="Arial"/>
                <w:sz w:val="10"/>
                <w:szCs w:val="10"/>
                <w:color w:val="auto"/>
              </w:rPr>
              <w:t>Datavant**</w:t>
            </w:r>
          </w:p>
        </w:tc>
        <w:tc>
          <w:tcPr>
            <w:tcW w:w="360" w:type="dxa"/>
            <w:vAlign w:val="bottom"/>
          </w:tcPr>
          <w:p>
            <w:pPr>
              <w:ind w:left="100"/>
              <w:spacing w:after="0"/>
              <w:rPr>
                <w:sz w:val="20"/>
                <w:szCs w:val="20"/>
                <w:color w:val="auto"/>
              </w:rPr>
            </w:pPr>
            <w:r>
              <w:rPr>
                <w:rFonts w:ascii="Arial" w:cs="Arial" w:eastAsia="Arial" w:hAnsi="Arial"/>
                <w:sz w:val="10"/>
                <w:szCs w:val="10"/>
                <w:color w:val="auto"/>
              </w:rPr>
              <w:t>52%</w:t>
            </w:r>
          </w:p>
        </w:tc>
        <w:tc>
          <w:tcPr>
            <w:tcW w:w="320" w:type="dxa"/>
            <w:vAlign w:val="bottom"/>
          </w:tcPr>
          <w:p>
            <w:pPr>
              <w:ind w:left="20"/>
              <w:spacing w:after="0"/>
              <w:rPr>
                <w:sz w:val="20"/>
                <w:szCs w:val="20"/>
                <w:color w:val="auto"/>
              </w:rPr>
            </w:pPr>
            <w:r>
              <w:rPr>
                <w:rFonts w:ascii="Arial" w:cs="Arial" w:eastAsia="Arial" w:hAnsi="Arial"/>
                <w:sz w:val="10"/>
                <w:szCs w:val="10"/>
                <w:color w:val="auto"/>
              </w:rPr>
              <w:t>48%</w:t>
            </w:r>
          </w:p>
        </w:tc>
        <w:tc>
          <w:tcPr>
            <w:tcW w:w="1120" w:type="dxa"/>
            <w:vAlign w:val="bottom"/>
          </w:tcPr>
          <w:p>
            <w:pPr>
              <w:ind w:left="80"/>
              <w:spacing w:after="0"/>
              <w:rPr>
                <w:sz w:val="20"/>
                <w:szCs w:val="20"/>
                <w:color w:val="auto"/>
              </w:rPr>
            </w:pPr>
            <w:r>
              <w:rPr>
                <w:rFonts w:ascii="Arial" w:cs="Arial" w:eastAsia="Arial" w:hAnsi="Arial"/>
                <w:sz w:val="10"/>
                <w:szCs w:val="10"/>
                <w:color w:val="auto"/>
                <w:w w:val="95"/>
              </w:rPr>
              <w:t>Connecting patient-level</w:t>
            </w:r>
          </w:p>
        </w:tc>
        <w:tc>
          <w:tcPr>
            <w:tcW w:w="1420" w:type="dxa"/>
            <w:vAlign w:val="bottom"/>
          </w:tcPr>
          <w:p>
            <w:pPr>
              <w:ind w:left="40"/>
              <w:spacing w:after="0"/>
              <w:rPr>
                <w:sz w:val="20"/>
                <w:szCs w:val="20"/>
                <w:color w:val="auto"/>
              </w:rPr>
            </w:pPr>
            <w:r>
              <w:rPr>
                <w:rFonts w:ascii="Arial" w:cs="Arial" w:eastAsia="Arial" w:hAnsi="Arial"/>
                <w:sz w:val="10"/>
                <w:szCs w:val="10"/>
                <w:color w:val="auto"/>
              </w:rPr>
              <w:t>—</w:t>
            </w:r>
          </w:p>
        </w:tc>
        <w:tc>
          <w:tcPr>
            <w:tcW w:w="460" w:type="dxa"/>
            <w:vAlign w:val="bottom"/>
          </w:tcPr>
          <w:p>
            <w:pPr>
              <w:ind w:left="80"/>
              <w:spacing w:after="0"/>
              <w:rPr>
                <w:sz w:val="20"/>
                <w:szCs w:val="20"/>
                <w:color w:val="auto"/>
              </w:rPr>
            </w:pPr>
            <w:r>
              <w:rPr>
                <w:rFonts w:ascii="Arial" w:cs="Arial" w:eastAsia="Arial" w:hAnsi="Arial"/>
                <w:sz w:val="10"/>
                <w:szCs w:val="10"/>
                <w:color w:val="auto"/>
              </w:rPr>
              <w:t>—</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health data through</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privacy-first, HIPAA-</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compliant tokens</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line="99" w:lineRule="exact"/>
              <w:rPr>
                <w:sz w:val="20"/>
                <w:szCs w:val="20"/>
                <w:color w:val="auto"/>
              </w:rPr>
            </w:pPr>
            <w:r>
              <w:rPr>
                <w:rFonts w:ascii="Arial" w:cs="Arial" w:eastAsia="Arial" w:hAnsi="Arial"/>
                <w:sz w:val="10"/>
                <w:szCs w:val="10"/>
                <w:color w:val="auto"/>
              </w:rPr>
              <w:t>Alyvant</w:t>
            </w:r>
          </w:p>
        </w:tc>
        <w:tc>
          <w:tcPr>
            <w:tcW w:w="360" w:type="dxa"/>
            <w:vAlign w:val="bottom"/>
          </w:tcPr>
          <w:p>
            <w:pPr>
              <w:ind w:left="100"/>
              <w:spacing w:after="0" w:line="99" w:lineRule="exact"/>
              <w:rPr>
                <w:sz w:val="20"/>
                <w:szCs w:val="20"/>
                <w:color w:val="auto"/>
              </w:rPr>
            </w:pPr>
            <w:r>
              <w:rPr>
                <w:rFonts w:ascii="Arial" w:cs="Arial" w:eastAsia="Arial" w:hAnsi="Arial"/>
                <w:sz w:val="10"/>
                <w:szCs w:val="10"/>
                <w:color w:val="auto"/>
              </w:rPr>
              <w:t>97%</w:t>
            </w:r>
          </w:p>
        </w:tc>
        <w:tc>
          <w:tcPr>
            <w:tcW w:w="320" w:type="dxa"/>
            <w:vAlign w:val="bottom"/>
          </w:tcPr>
          <w:p>
            <w:pPr>
              <w:ind w:left="20"/>
              <w:spacing w:after="0" w:line="99" w:lineRule="exact"/>
              <w:rPr>
                <w:sz w:val="20"/>
                <w:szCs w:val="20"/>
                <w:color w:val="auto"/>
              </w:rPr>
            </w:pPr>
            <w:r>
              <w:rPr>
                <w:rFonts w:ascii="Arial" w:cs="Arial" w:eastAsia="Arial" w:hAnsi="Arial"/>
                <w:sz w:val="10"/>
                <w:szCs w:val="10"/>
                <w:color w:val="auto"/>
              </w:rPr>
              <w:t>95%</w:t>
            </w:r>
          </w:p>
        </w:tc>
        <w:tc>
          <w:tcPr>
            <w:tcW w:w="1120" w:type="dxa"/>
            <w:vAlign w:val="bottom"/>
          </w:tcPr>
          <w:p>
            <w:pPr>
              <w:ind w:left="80"/>
              <w:spacing w:after="0" w:line="99" w:lineRule="exact"/>
              <w:rPr>
                <w:sz w:val="20"/>
                <w:szCs w:val="20"/>
                <w:color w:val="auto"/>
              </w:rPr>
            </w:pPr>
            <w:r>
              <w:rPr>
                <w:rFonts w:ascii="Arial" w:cs="Arial" w:eastAsia="Arial" w:hAnsi="Arial"/>
                <w:sz w:val="10"/>
                <w:szCs w:val="10"/>
                <w:color w:val="auto"/>
              </w:rPr>
              <w:t>Leveraging data and</w:t>
            </w:r>
          </w:p>
        </w:tc>
        <w:tc>
          <w:tcPr>
            <w:tcW w:w="142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460" w:type="dxa"/>
            <w:vAlign w:val="bottom"/>
          </w:tcPr>
          <w:p>
            <w:pPr>
              <w:ind w:left="8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1020" w:type="dxa"/>
            <w:vAlign w:val="bottom"/>
          </w:tcPr>
          <w:p>
            <w:pPr>
              <w:spacing w:after="0"/>
              <w:rPr>
                <w:sz w:val="8"/>
                <w:szCs w:val="8"/>
                <w:color w:val="auto"/>
              </w:rPr>
            </w:pPr>
          </w:p>
        </w:tc>
        <w:tc>
          <w:tcPr>
            <w:tcW w:w="1820" w:type="dxa"/>
            <w:vAlign w:val="bottom"/>
          </w:tcPr>
          <w:p>
            <w:pPr>
              <w:ind w:left="6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ind w:left="80"/>
              <w:spacing w:after="0" w:line="107" w:lineRule="exact"/>
              <w:rPr>
                <w:sz w:val="20"/>
                <w:szCs w:val="20"/>
                <w:color w:val="auto"/>
              </w:rPr>
            </w:pPr>
            <w:r>
              <w:rPr>
                <w:rFonts w:ascii="Arial" w:cs="Arial" w:eastAsia="Arial" w:hAnsi="Arial"/>
                <w:sz w:val="10"/>
                <w:szCs w:val="10"/>
                <w:color w:val="auto"/>
              </w:rPr>
              <w:t>artificial intelligence to</w:t>
            </w:r>
          </w:p>
        </w:tc>
        <w:tc>
          <w:tcPr>
            <w:tcW w:w="1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280"/>
        <w:spacing w:after="0" w:line="206" w:lineRule="auto"/>
        <w:rPr>
          <w:sz w:val="20"/>
          <w:szCs w:val="20"/>
          <w:color w:val="auto"/>
        </w:rPr>
      </w:pPr>
      <w:r>
        <w:rPr>
          <w:rFonts w:ascii="Arial" w:cs="Arial" w:eastAsia="Arial" w:hAnsi="Arial"/>
          <w:sz w:val="10"/>
          <w:szCs w:val="10"/>
          <w:color w:val="auto"/>
        </w:rPr>
        <w:t>connect patients to</w:t>
      </w:r>
    </w:p>
    <w:p>
      <w:pPr>
        <w:ind w:left="3280"/>
        <w:spacing w:after="0" w:line="237" w:lineRule="auto"/>
        <w:rPr>
          <w:sz w:val="20"/>
          <w:szCs w:val="20"/>
          <w:color w:val="auto"/>
        </w:rPr>
      </w:pPr>
      <w:r>
        <w:rPr>
          <w:rFonts w:ascii="Arial" w:cs="Arial" w:eastAsia="Arial" w:hAnsi="Arial"/>
          <w:sz w:val="10"/>
          <w:szCs w:val="10"/>
          <w:color w:val="auto"/>
        </w:rPr>
        <w:t>therapies</w:t>
      </w:r>
    </w:p>
    <w:p>
      <w:pPr>
        <w:spacing w:after="0" w:line="125" w:lineRule="exact"/>
        <w:rPr>
          <w:sz w:val="20"/>
          <w:szCs w:val="20"/>
          <w:color w:val="auto"/>
        </w:rPr>
      </w:pPr>
    </w:p>
    <w:p>
      <w:pPr>
        <w:ind w:left="1980" w:right="979"/>
        <w:spacing w:after="0" w:line="379" w:lineRule="auto"/>
        <w:rPr>
          <w:sz w:val="20"/>
          <w:szCs w:val="20"/>
          <w:color w:val="auto"/>
        </w:rPr>
      </w:pPr>
      <w:r>
        <w:rPr>
          <w:rFonts w:ascii="Arial" w:cs="Arial" w:eastAsia="Arial" w:hAnsi="Arial"/>
          <w:sz w:val="10"/>
          <w:szCs w:val="10"/>
          <w:color w:val="auto"/>
        </w:rPr>
        <w:t>Note: Excludes early-stage pipeline of protein degraders and inhibitors being developed through our small molecule discovery engine. All drugs in current pipeline are investigational and subject to health authority approval. Where applicable, upcoming milestones are contingent on FDA feedback.</w:t>
      </w:r>
    </w:p>
    <w:p>
      <w:pPr>
        <w:spacing w:after="0" w:line="69" w:lineRule="exact"/>
        <w:rPr>
          <w:sz w:val="20"/>
          <w:szCs w:val="20"/>
          <w:color w:val="auto"/>
        </w:rPr>
      </w:pPr>
    </w:p>
    <w:p>
      <w:pPr>
        <w:ind w:left="1980" w:right="1159"/>
        <w:spacing w:after="0" w:line="323" w:lineRule="auto"/>
        <w:rPr>
          <w:sz w:val="20"/>
          <w:szCs w:val="20"/>
          <w:color w:val="auto"/>
        </w:rPr>
      </w:pPr>
      <w:r>
        <w:rPr>
          <w:rFonts w:ascii="Arial" w:cs="Arial" w:eastAsia="Arial" w:hAnsi="Arial"/>
          <w:sz w:val="11"/>
          <w:szCs w:val="11"/>
          <w:color w:val="auto"/>
        </w:rPr>
        <w:t>Ownership figures as of June 30, 2021. Arbutus basic and fully diluted ownership includes the conversion of preferred shares held by Roivant into Common Shares, which was completed on October 18, 2021. Roivant ownership in Cytovant includes both direct and indirect ownership.</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72" w:right="1440" w:bottom="1440" w:gutter="0" w:footer="0" w:header="0"/>
          <w:type w:val="continuous"/>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hanging="288"/>
        <w:spacing w:after="0"/>
        <w:tabs>
          <w:tab w:leader="none" w:pos="2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Denotes entities that are publicly traded.</w:t>
      </w:r>
    </w:p>
    <w:p>
      <w:pPr>
        <w:spacing w:after="0" w:line="15" w:lineRule="exact"/>
        <w:rPr>
          <w:sz w:val="20"/>
          <w:szCs w:val="20"/>
          <w:color w:val="auto"/>
        </w:rPr>
      </w:pPr>
    </w:p>
    <w:p>
      <w:pPr>
        <w:ind w:left="2260" w:right="939" w:hanging="288"/>
        <w:spacing w:after="0" w:line="255" w:lineRule="auto"/>
        <w:tabs>
          <w:tab w:leader="none" w:pos="22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In June 2021, Datavant entered into a definitive merger agreement to combine with Ciox Health. The transaction closed in July 2021. Following the closing of the merger, Roivant has a minority equity ownership in the combined entity. For more information, see “Management’s Discussion and Analysis of Financial Condition and Results of Operations–Recent Developments.”</w:t>
      </w:r>
    </w:p>
    <w:p>
      <w:pPr>
        <w:spacing w:after="0" w:line="127" w:lineRule="exact"/>
        <w:rPr>
          <w:rFonts w:ascii="Arial" w:cs="Arial" w:eastAsia="Arial" w:hAnsi="Arial"/>
          <w:sz w:val="12"/>
          <w:szCs w:val="12"/>
          <w:color w:val="auto"/>
        </w:rPr>
      </w:pPr>
    </w:p>
    <w:p>
      <w:pPr>
        <w:ind w:left="2260"/>
        <w:spacing w:after="0"/>
        <w:rPr>
          <w:rFonts w:ascii="Arial" w:cs="Arial" w:eastAsia="Arial" w:hAnsi="Arial"/>
          <w:sz w:val="12"/>
          <w:szCs w:val="12"/>
          <w:color w:val="auto"/>
        </w:rPr>
      </w:pPr>
      <w:r>
        <w:rPr>
          <w:rFonts w:ascii="Arial" w:cs="Arial" w:eastAsia="Arial" w:hAnsi="Arial"/>
          <w:sz w:val="12"/>
          <w:szCs w:val="12"/>
          <w:color w:val="auto"/>
        </w:rPr>
        <w:t>The following table summarizes our development-stage product candidate pipeline.</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Development Pipeline</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5"/>
              </w:rPr>
              <w:t>Product Candidate</w:t>
            </w:r>
          </w:p>
        </w:tc>
        <w:tc>
          <w:tcPr>
            <w:tcW w:w="760" w:type="dxa"/>
            <w:vAlign w:val="bottom"/>
          </w:tcPr>
          <w:p>
            <w:pPr>
              <w:spacing w:after="0"/>
              <w:rPr>
                <w:sz w:val="11"/>
                <w:szCs w:val="11"/>
                <w:color w:val="auto"/>
              </w:rPr>
            </w:pPr>
          </w:p>
        </w:tc>
        <w:tc>
          <w:tcPr>
            <w:tcW w:w="2960" w:type="dxa"/>
            <w:vAlign w:val="bottom"/>
            <w:gridSpan w:val="2"/>
          </w:tcPr>
          <w:p>
            <w:pPr>
              <w:ind w:left="1240"/>
              <w:spacing w:after="0"/>
              <w:rPr>
                <w:sz w:val="20"/>
                <w:szCs w:val="20"/>
                <w:color w:val="auto"/>
              </w:rPr>
            </w:pPr>
            <w:r>
              <w:rPr>
                <w:rFonts w:ascii="Arial" w:cs="Arial" w:eastAsia="Arial" w:hAnsi="Arial"/>
                <w:sz w:val="10"/>
                <w:szCs w:val="10"/>
                <w:b w:val="1"/>
                <w:bCs w:val="1"/>
                <w:color w:val="auto"/>
              </w:rPr>
              <w:t>Indication</w:t>
            </w:r>
          </w:p>
        </w:tc>
        <w:tc>
          <w:tcPr>
            <w:tcW w:w="940" w:type="dxa"/>
            <w:vAlign w:val="bottom"/>
            <w:gridSpan w:val="2"/>
          </w:tcPr>
          <w:p>
            <w:pPr>
              <w:ind w:left="340"/>
              <w:spacing w:after="0"/>
              <w:rPr>
                <w:sz w:val="20"/>
                <w:szCs w:val="20"/>
                <w:color w:val="auto"/>
              </w:rPr>
            </w:pPr>
            <w:r>
              <w:rPr>
                <w:rFonts w:ascii="Arial" w:cs="Arial" w:eastAsia="Arial" w:hAnsi="Arial"/>
                <w:sz w:val="10"/>
                <w:szCs w:val="10"/>
                <w:b w:val="1"/>
                <w:bCs w:val="1"/>
                <w:color w:val="auto"/>
              </w:rPr>
              <w:t>Vant</w:t>
            </w: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Modality</w:t>
            </w:r>
          </w:p>
        </w:tc>
        <w:tc>
          <w:tcPr>
            <w:tcW w:w="800" w:type="dxa"/>
            <w:vAlign w:val="bottom"/>
          </w:tcPr>
          <w:p>
            <w:pPr>
              <w:ind w:left="280"/>
              <w:spacing w:after="0"/>
              <w:rPr>
                <w:sz w:val="20"/>
                <w:szCs w:val="20"/>
                <w:color w:val="auto"/>
              </w:rPr>
            </w:pPr>
            <w:r>
              <w:rPr>
                <w:rFonts w:ascii="Arial" w:cs="Arial" w:eastAsia="Arial" w:hAnsi="Arial"/>
                <w:sz w:val="10"/>
                <w:szCs w:val="10"/>
                <w:b w:val="1"/>
                <w:bCs w:val="1"/>
                <w:color w:val="auto"/>
              </w:rPr>
              <w:t>Phase</w:t>
            </w:r>
          </w:p>
        </w:tc>
      </w:tr>
      <w:tr>
        <w:trPr>
          <w:trHeight w:val="122"/>
        </w:trPr>
        <w:tc>
          <w:tcPr>
            <w:tcW w:w="780" w:type="dxa"/>
            <w:vAlign w:val="bottom"/>
          </w:tcPr>
          <w:p>
            <w:pPr>
              <w:spacing w:after="0" w:line="122" w:lineRule="exact"/>
              <w:rPr>
                <w:sz w:val="20"/>
                <w:szCs w:val="20"/>
                <w:color w:val="auto"/>
              </w:rPr>
            </w:pPr>
            <w:r>
              <w:rPr>
                <w:rFonts w:ascii="Arial" w:cs="Arial" w:eastAsia="Arial" w:hAnsi="Arial"/>
                <w:sz w:val="12"/>
                <w:szCs w:val="12"/>
                <w:color w:val="auto"/>
              </w:rPr>
              <w:t>Tapinarof</w:t>
            </w:r>
          </w:p>
        </w:tc>
        <w:tc>
          <w:tcPr>
            <w:tcW w:w="760" w:type="dxa"/>
            <w:vAlign w:val="bottom"/>
          </w:tcPr>
          <w:p>
            <w:pPr>
              <w:spacing w:after="0"/>
              <w:rPr>
                <w:sz w:val="10"/>
                <w:szCs w:val="10"/>
                <w:color w:val="auto"/>
              </w:rPr>
            </w:pPr>
          </w:p>
        </w:tc>
        <w:tc>
          <w:tcPr>
            <w:tcW w:w="288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Psoriasis</w:t>
            </w: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Dermavant</w:t>
            </w: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Topical</w:t>
            </w: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Registration</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Tapinarof</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9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00" w:type="dxa"/>
            <w:vAlign w:val="bottom"/>
          </w:tcPr>
          <w:p>
            <w:pPr>
              <w:spacing w:after="0"/>
              <w:rPr>
                <w:sz w:val="20"/>
                <w:szCs w:val="20"/>
                <w:color w:val="auto"/>
              </w:rPr>
            </w:pPr>
            <w:r>
              <w:rPr>
                <w:rFonts w:ascii="Arial" w:cs="Arial" w:eastAsia="Arial" w:hAnsi="Arial"/>
                <w:sz w:val="12"/>
                <w:szCs w:val="12"/>
                <w:color w:val="auto"/>
              </w:rPr>
              <w:t>Phase 3</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Cerdulatinib</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Vitiligo</w:t>
            </w:r>
          </w:p>
        </w:tc>
        <w:tc>
          <w:tcPr>
            <w:tcW w:w="9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00" w:type="dxa"/>
            <w:vAlign w:val="bottom"/>
          </w:tcPr>
          <w:p>
            <w:pPr>
              <w:spacing w:after="0"/>
              <w:rPr>
                <w:sz w:val="20"/>
                <w:szCs w:val="20"/>
                <w:color w:val="auto"/>
              </w:rPr>
            </w:pPr>
            <w:r>
              <w:rPr>
                <w:rFonts w:ascii="Arial" w:cs="Arial" w:eastAsia="Arial" w:hAnsi="Arial"/>
                <w:sz w:val="12"/>
                <w:szCs w:val="12"/>
                <w:color w:val="auto"/>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Myasthenia Gravis</w:t>
            </w:r>
          </w:p>
        </w:tc>
        <w:tc>
          <w:tcPr>
            <w:tcW w:w="9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Warm Autoimmune Hemolytic Anemia</w:t>
            </w:r>
          </w:p>
        </w:tc>
        <w:tc>
          <w:tcPr>
            <w:tcW w:w="9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IMVT-1401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Thyroid Eye Disease</w:t>
            </w:r>
          </w:p>
        </w:tc>
        <w:tc>
          <w:tcPr>
            <w:tcW w:w="9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ARU-1801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Sickle Cell Disease</w:t>
            </w:r>
          </w:p>
        </w:tc>
        <w:tc>
          <w:tcPr>
            <w:tcW w:w="94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800" w:type="dxa"/>
            <w:vAlign w:val="bottom"/>
          </w:tcPr>
          <w:p>
            <w:pPr>
              <w:spacing w:after="0"/>
              <w:rPr>
                <w:sz w:val="20"/>
                <w:szCs w:val="20"/>
                <w:color w:val="auto"/>
              </w:rPr>
            </w:pPr>
            <w:r>
              <w:rPr>
                <w:rFonts w:ascii="Arial" w:cs="Arial" w:eastAsia="Arial" w:hAnsi="Arial"/>
                <w:sz w:val="12"/>
                <w:szCs w:val="12"/>
                <w:color w:val="auto"/>
              </w:rPr>
              <w:t>Phase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Namilumab</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Sarcoidosis</w:t>
            </w:r>
          </w:p>
        </w:tc>
        <w:tc>
          <w:tcPr>
            <w:tcW w:w="94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LSVT-1701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Staph Aureus Bacteremia</w:t>
            </w:r>
          </w:p>
        </w:tc>
        <w:tc>
          <w:tcPr>
            <w:tcW w:w="94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Cerdulatinib</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9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00" w:type="dxa"/>
            <w:vAlign w:val="bottom"/>
          </w:tcPr>
          <w:p>
            <w:pPr>
              <w:spacing w:after="0"/>
              <w:rPr>
                <w:sz w:val="20"/>
                <w:szCs w:val="20"/>
                <w:color w:val="auto"/>
              </w:rPr>
            </w:pPr>
            <w:r>
              <w:rPr>
                <w:rFonts w:ascii="Arial" w:cs="Arial" w:eastAsia="Arial" w:hAnsi="Arial"/>
                <w:sz w:val="12"/>
                <w:szCs w:val="12"/>
                <w:color w:val="auto"/>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DMVT-504</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Hyperhidrosis</w:t>
            </w:r>
          </w:p>
        </w:tc>
        <w:tc>
          <w:tcPr>
            <w:tcW w:w="9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Small Molecule</w:t>
            </w:r>
          </w:p>
        </w:tc>
        <w:tc>
          <w:tcPr>
            <w:tcW w:w="800" w:type="dxa"/>
            <w:vAlign w:val="bottom"/>
          </w:tcPr>
          <w:p>
            <w:pPr>
              <w:spacing w:after="0"/>
              <w:rPr>
                <w:sz w:val="20"/>
                <w:szCs w:val="20"/>
                <w:color w:val="auto"/>
              </w:rPr>
            </w:pPr>
            <w:r>
              <w:rPr>
                <w:rFonts w:ascii="Arial" w:cs="Arial" w:eastAsia="Arial" w:hAnsi="Arial"/>
                <w:sz w:val="12"/>
                <w:szCs w:val="12"/>
                <w:color w:val="auto"/>
              </w:rPr>
              <w:t>Phase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DMVT-503</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Acne</w:t>
            </w:r>
          </w:p>
        </w:tc>
        <w:tc>
          <w:tcPr>
            <w:tcW w:w="9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800" w:type="dxa"/>
            <w:vAlign w:val="bottom"/>
          </w:tcPr>
          <w:p>
            <w:pPr>
              <w:spacing w:after="0"/>
              <w:rPr>
                <w:sz w:val="20"/>
                <w:szCs w:val="20"/>
                <w:color w:val="auto"/>
              </w:rPr>
            </w:pPr>
            <w:r>
              <w:rPr>
                <w:rFonts w:ascii="Arial" w:cs="Arial" w:eastAsia="Arial" w:hAnsi="Arial"/>
                <w:sz w:val="12"/>
                <w:szCs w:val="12"/>
                <w:color w:val="auto"/>
              </w:rPr>
              <w:t>Preclinical</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ARU-2801</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Hypophosphatasia</w:t>
            </w:r>
          </w:p>
        </w:tc>
        <w:tc>
          <w:tcPr>
            <w:tcW w:w="94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800" w:type="dxa"/>
            <w:vAlign w:val="bottom"/>
          </w:tcPr>
          <w:p>
            <w:pPr>
              <w:spacing w:after="0"/>
              <w:rPr>
                <w:sz w:val="20"/>
                <w:szCs w:val="20"/>
                <w:color w:val="auto"/>
              </w:rPr>
            </w:pPr>
            <w:r>
              <w:rPr>
                <w:rFonts w:ascii="Arial" w:cs="Arial" w:eastAsia="Arial" w:hAnsi="Arial"/>
                <w:sz w:val="12"/>
                <w:szCs w:val="12"/>
                <w:color w:val="auto"/>
              </w:rPr>
              <w:t>Preclinical</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AFM32</w:t>
            </w:r>
          </w:p>
        </w:tc>
        <w:tc>
          <w:tcPr>
            <w:tcW w:w="76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Solid Tumors</w:t>
            </w:r>
          </w:p>
        </w:tc>
        <w:tc>
          <w:tcPr>
            <w:tcW w:w="940" w:type="dxa"/>
            <w:vAlign w:val="bottom"/>
            <w:gridSpan w:val="2"/>
          </w:tcPr>
          <w:p>
            <w:pPr>
              <w:spacing w:after="0"/>
              <w:rPr>
                <w:sz w:val="20"/>
                <w:szCs w:val="20"/>
                <w:color w:val="auto"/>
              </w:rPr>
            </w:pPr>
            <w:r>
              <w:rPr>
                <w:rFonts w:ascii="Arial" w:cs="Arial" w:eastAsia="Arial" w:hAnsi="Arial"/>
                <w:sz w:val="12"/>
                <w:szCs w:val="12"/>
                <w:color w:val="auto"/>
              </w:rPr>
              <w:t>Affivant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800" w:type="dxa"/>
            <w:vAlign w:val="bottom"/>
          </w:tcPr>
          <w:p>
            <w:pPr>
              <w:spacing w:after="0"/>
              <w:rPr>
                <w:sz w:val="20"/>
                <w:szCs w:val="20"/>
                <w:color w:val="auto"/>
              </w:rPr>
            </w:pPr>
            <w:r>
              <w:rPr>
                <w:rFonts w:ascii="Arial" w:cs="Arial" w:eastAsia="Arial" w:hAnsi="Arial"/>
                <w:sz w:val="12"/>
                <w:szCs w:val="12"/>
                <w:color w:val="auto"/>
              </w:rPr>
              <w:t>Preclinical</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CVT-TCR-01</w:t>
            </w:r>
          </w:p>
        </w:tc>
        <w:tc>
          <w:tcPr>
            <w:tcW w:w="7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Oncologic Malignancies</w:t>
            </w:r>
          </w:p>
        </w:tc>
        <w:tc>
          <w:tcPr>
            <w:tcW w:w="940" w:type="dxa"/>
            <w:vAlign w:val="bottom"/>
            <w:gridSpan w:val="2"/>
          </w:tcPr>
          <w:p>
            <w:pPr>
              <w:spacing w:after="0"/>
              <w:rPr>
                <w:sz w:val="20"/>
                <w:szCs w:val="20"/>
                <w:color w:val="auto"/>
              </w:rPr>
            </w:pPr>
            <w:r>
              <w:rPr>
                <w:rFonts w:ascii="Arial" w:cs="Arial" w:eastAsia="Arial" w:hAnsi="Arial"/>
                <w:sz w:val="12"/>
                <w:szCs w:val="12"/>
                <w:color w:val="auto"/>
              </w:rPr>
              <w:t>Cytovant</w:t>
            </w:r>
          </w:p>
        </w:tc>
        <w:tc>
          <w:tcPr>
            <w:tcW w:w="1100" w:type="dxa"/>
            <w:vAlign w:val="bottom"/>
            <w:gridSpan w:val="2"/>
          </w:tcPr>
          <w:p>
            <w:pPr>
              <w:spacing w:after="0"/>
              <w:rPr>
                <w:sz w:val="20"/>
                <w:szCs w:val="20"/>
                <w:color w:val="auto"/>
              </w:rPr>
            </w:pPr>
            <w:r>
              <w:rPr>
                <w:rFonts w:ascii="Arial" w:cs="Arial" w:eastAsia="Arial" w:hAnsi="Arial"/>
                <w:sz w:val="12"/>
                <w:szCs w:val="12"/>
                <w:color w:val="auto"/>
              </w:rPr>
              <w:t>Cell Therapy</w:t>
            </w:r>
          </w:p>
        </w:tc>
        <w:tc>
          <w:tcPr>
            <w:tcW w:w="800" w:type="dxa"/>
            <w:vAlign w:val="bottom"/>
          </w:tcPr>
          <w:p>
            <w:pPr>
              <w:spacing w:after="0"/>
              <w:rPr>
                <w:sz w:val="20"/>
                <w:szCs w:val="20"/>
                <w:color w:val="auto"/>
              </w:rPr>
            </w:pPr>
            <w:r>
              <w:rPr>
                <w:rFonts w:ascii="Arial" w:cs="Arial" w:eastAsia="Arial" w:hAnsi="Arial"/>
                <w:sz w:val="12"/>
                <w:szCs w:val="12"/>
                <w:color w:val="auto"/>
              </w:rPr>
              <w:t>Preclinical</w:t>
            </w:r>
          </w:p>
        </w:tc>
      </w:tr>
    </w:tbl>
    <w:p>
      <w:pPr>
        <w:spacing w:after="0" w:line="13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Note: All drugs in current pipeline are investigational and subject to health authority approval.</w:t>
      </w:r>
    </w:p>
    <w:p>
      <w:pPr>
        <w:spacing w:after="0" w:line="132" w:lineRule="exact"/>
        <w:rPr>
          <w:sz w:val="20"/>
          <w:szCs w:val="20"/>
          <w:color w:val="auto"/>
        </w:rPr>
      </w:pPr>
    </w:p>
    <w:p>
      <w:pPr>
        <w:jc w:val="both"/>
        <w:ind w:left="1980" w:right="859" w:firstLine="294"/>
        <w:spacing w:after="0" w:line="379" w:lineRule="auto"/>
        <w:rPr>
          <w:sz w:val="20"/>
          <w:szCs w:val="20"/>
          <w:color w:val="auto"/>
        </w:rPr>
      </w:pPr>
      <w:r>
        <w:rPr>
          <w:rFonts w:ascii="Arial" w:cs="Arial" w:eastAsia="Arial" w:hAnsi="Arial"/>
          <w:sz w:val="10"/>
          <w:szCs w:val="10"/>
          <w:color w:val="auto"/>
        </w:rPr>
        <w:t>As part of our mission to redefine “big pharma,” we aim to develop transformative medicines faster for diseases for which there are no approved therapies or the current standard of care treatment has significant limitations or drawbacks. We believe we are uniquely positioned to accomplish this by:</w:t>
      </w:r>
    </w:p>
    <w:p>
      <w:pPr>
        <w:spacing w:after="0" w:line="6" w:lineRule="exact"/>
        <w:rPr>
          <w:sz w:val="20"/>
          <w:szCs w:val="20"/>
          <w:color w:val="auto"/>
        </w:rPr>
      </w:pPr>
    </w:p>
    <w:p>
      <w:pPr>
        <w:ind w:left="2620" w:hanging="288"/>
        <w:spacing w:after="0"/>
        <w:tabs>
          <w:tab w:leader="none" w:pos="2620" w:val="left"/>
        </w:tabs>
        <w:numPr>
          <w:ilvl w:val="0"/>
          <w:numId w:val="66"/>
        </w:numPr>
        <w:rPr>
          <w:rFonts w:ascii="Arial" w:cs="Arial" w:eastAsia="Arial" w:hAnsi="Arial"/>
          <w:sz w:val="10"/>
          <w:szCs w:val="10"/>
          <w:color w:val="auto"/>
        </w:rPr>
      </w:pPr>
      <w:r>
        <w:rPr>
          <w:rFonts w:ascii="Arial" w:cs="Arial" w:eastAsia="Arial" w:hAnsi="Arial"/>
          <w:sz w:val="10"/>
          <w:szCs w:val="10"/>
          <w:color w:val="auto"/>
        </w:rPr>
        <w:t>Relentlessly pursuing opportunities to in-license or acquire drugs that we believe can deliver successful outcomes on accelerated timelines;</w:t>
      </w:r>
    </w:p>
    <w:p>
      <w:pPr>
        <w:spacing w:after="0" w:line="110" w:lineRule="exact"/>
        <w:rPr>
          <w:rFonts w:ascii="Arial" w:cs="Arial" w:eastAsia="Arial" w:hAnsi="Arial"/>
          <w:sz w:val="10"/>
          <w:szCs w:val="10"/>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Designing creative deal structures to balance risk and the potential for future value creation;</w:t>
      </w:r>
    </w:p>
    <w:p>
      <w:pPr>
        <w:spacing w:after="0" w:line="87"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Using our computational drug discovery technologies to design and identify compounds with the greatest probability of success early in the discovery process;</w:t>
      </w:r>
    </w:p>
    <w:p>
      <w:pPr>
        <w:spacing w:after="0" w:line="51" w:lineRule="exact"/>
        <w:rPr>
          <w:rFonts w:ascii="Arial" w:cs="Arial" w:eastAsia="Arial" w:hAnsi="Arial"/>
          <w:sz w:val="12"/>
          <w:szCs w:val="12"/>
          <w:color w:val="auto"/>
        </w:rPr>
      </w:pPr>
    </w:p>
    <w:p>
      <w:pPr>
        <w:ind w:left="2620" w:right="1219" w:hanging="288"/>
        <w:spacing w:after="0" w:line="323" w:lineRule="auto"/>
        <w:tabs>
          <w:tab w:leader="none" w:pos="2620" w:val="left"/>
        </w:tabs>
        <w:numPr>
          <w:ilvl w:val="0"/>
          <w:numId w:val="66"/>
        </w:numPr>
        <w:rPr>
          <w:rFonts w:ascii="Arial" w:cs="Arial" w:eastAsia="Arial" w:hAnsi="Arial"/>
          <w:sz w:val="11"/>
          <w:szCs w:val="11"/>
          <w:color w:val="auto"/>
        </w:rPr>
      </w:pPr>
      <w:r>
        <w:rPr>
          <w:rFonts w:ascii="Arial" w:cs="Arial" w:eastAsia="Arial" w:hAnsi="Arial"/>
          <w:sz w:val="11"/>
          <w:szCs w:val="11"/>
          <w:color w:val="auto"/>
        </w:rPr>
        <w:t>Creating nimble, entrepreneurial Vants that operate similar to independent biotechnology companies where each management team, comprised of world-class drug developers and clinical operators, is solely focused on their respective Vant’s mission;</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Incentivizing employees with equity in their Vants, which encourages focus and calculated risk-taking;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Providing operational support from our centralized functions to accelerate Vant formation and operational maturation;</w:t>
      </w:r>
    </w:p>
    <w:p>
      <w:pPr>
        <w:spacing w:after="0" w:line="87" w:lineRule="exact"/>
        <w:rPr>
          <w:rFonts w:ascii="Arial" w:cs="Arial" w:eastAsia="Arial" w:hAnsi="Arial"/>
          <w:sz w:val="12"/>
          <w:szCs w:val="12"/>
          <w:color w:val="auto"/>
        </w:rPr>
      </w:pPr>
    </w:p>
    <w:p>
      <w:pPr>
        <w:ind w:left="5560" w:right="1099" w:hanging="3228"/>
        <w:spacing w:after="0" w:line="448" w:lineRule="auto"/>
        <w:tabs>
          <w:tab w:leader="none" w:pos="2626" w:val="left"/>
        </w:tabs>
        <w:numPr>
          <w:ilvl w:val="0"/>
          <w:numId w:val="66"/>
        </w:numPr>
        <w:rPr>
          <w:rFonts w:ascii="Arial" w:cs="Arial" w:eastAsia="Arial" w:hAnsi="Arial"/>
          <w:sz w:val="12"/>
          <w:szCs w:val="12"/>
          <w:color w:val="auto"/>
        </w:rPr>
      </w:pPr>
      <w:r>
        <w:rPr>
          <w:rFonts w:ascii="Arial" w:cs="Arial" w:eastAsia="Arial" w:hAnsi="Arial"/>
          <w:sz w:val="12"/>
          <w:szCs w:val="12"/>
          <w:color w:val="auto"/>
        </w:rPr>
        <w:t>Developing proprietary computational technologies that leverage our unique position at the intersection of biopharma and technology; 130</w:t>
      </w:r>
    </w:p>
    <w:p>
      <w:pPr>
        <w:sectPr>
          <w:pgSz w:w="11900" w:h="16838" w:orient="portrait"/>
          <w:cols w:equalWidth="0" w:num="1">
            <w:col w:w="10159"/>
          </w:cols>
          <w:pgMar w:left="300" w:top="372"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1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Providing Vants with access to our team of scientific experts, physicians and technologists to help optimize their clinical development and commercial strategies; and</w:t>
      </w:r>
    </w:p>
    <w:p>
      <w:pPr>
        <w:spacing w:after="0" w:line="51" w:lineRule="exact"/>
        <w:rPr>
          <w:rFonts w:ascii="Arial" w:cs="Arial" w:eastAsia="Arial" w:hAnsi="Arial"/>
          <w:sz w:val="12"/>
          <w:szCs w:val="12"/>
          <w:color w:val="auto"/>
        </w:rPr>
      </w:pPr>
    </w:p>
    <w:p>
      <w:pPr>
        <w:ind w:left="2620" w:right="145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Leveraging our business development engine and vast network of industry relationships for the identification of value-creating collaborations and synergistic partnerships.</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Through continued investment in our model, we believe we are well-positioned to advance our current pipeline through regulatory approval and commercialization, expand our pipeline through novel drug discovery and in-licensing and acquisition transactions, and execute on our vision of transforming the delivery of healthcare to patients.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15144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57575" cy="151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Discover</w:t>
      </w:r>
    </w:p>
    <w:p>
      <w:pPr>
        <w:spacing w:after="0" w:line="78" w:lineRule="exact"/>
        <w:rPr>
          <w:sz w:val="20"/>
          <w:szCs w:val="20"/>
          <w:color w:val="auto"/>
        </w:rPr>
      </w:pPr>
    </w:p>
    <w:p>
      <w:pPr>
        <w:ind w:left="1980" w:right="919" w:firstLine="294"/>
        <w:spacing w:after="0" w:line="316" w:lineRule="auto"/>
        <w:rPr>
          <w:sz w:val="20"/>
          <w:szCs w:val="20"/>
          <w:color w:val="auto"/>
        </w:rPr>
      </w:pPr>
      <w:r>
        <w:rPr>
          <w:rFonts w:ascii="Arial" w:cs="Arial" w:eastAsia="Arial" w:hAnsi="Arial"/>
          <w:sz w:val="10"/>
          <w:szCs w:val="10"/>
          <w:color w:val="auto"/>
        </w:rPr>
        <w:t>We focus on developing potentially transformative medicines that address areas of significant unmet medical need. We take a hypothesis-driven approach, focusing on compelling pathways, targets and drug classes that we believe lack established leaders, and we proactively pursue or discover drugs that align with our hypotheses. We focus on building diversification and varied risk profiles into our pipeline and are agnostic to therapeutic area, stage of development and drug modality. We leverage internally developed technologies as well as a multi-disciplinary team with diverse backgrounds to evaluate the universe of targets and biological pathways that we deem compelling. Once we have built conviction around a specific target or biological pathway, we look for assets to in-license or acquire, and/or design novel drugs through our small molecule discovery engine.</w:t>
      </w:r>
    </w:p>
    <w:p>
      <w:pPr>
        <w:spacing w:after="0" w:line="10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Our ability to rapidly identify and execute in-licensing opportunities is underpinned by our diverse business development team, which consists of former investment professionals and experienced R&amp;D and data scientists. A suite of tools that we built in-house supports our business development team by bringing a computationally driven approach to the identification of in-licensing opportunities as well as supporting our R&amp;D decision-making across all stages of the drug discovery and development process. Our track record in R&amp;D and our ability to implement creative deal structures ensures that we are a favored development partner and are able to acquire assets on attractive terms with shared risk and aligned incentives. We have been successful in-licensing drugs from global pharmaceutical companies, small biotech startups and academic centers around the world, and we are proud of our deep network of academic and industry partners. Our goal is to add multiple potentially category-creating or category-leading drugs to our pipeline each year through this in-licensing strategy, a pace which is consistent with our track record over the past several years.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72"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313" w:lineRule="auto"/>
        <w:rPr>
          <w:sz w:val="20"/>
          <w:szCs w:val="20"/>
          <w:color w:val="auto"/>
        </w:rPr>
      </w:pPr>
      <w:r>
        <w:rPr>
          <w:rFonts w:ascii="Arial" w:cs="Arial" w:eastAsia="Arial" w:hAnsi="Arial"/>
          <w:sz w:val="10"/>
          <w:szCs w:val="10"/>
          <w:color w:val="auto"/>
        </w:rPr>
        <w:t xml:space="preserve">As a complement to our in-licensing strategy, we also apply our hypothesis-driven approach to our small molecule discovery engine, ensuring we direct our efforts toward high value pathways, targets and drug classes. Our discovery engine is defined by the distinctive combination of capabilities in computational physics and ML. Through the acquisition of Silicon Therapeutics, we have world-leading capabilities in computational physics for drug design. Silicon Therapeutics has built an advanced computational physics platform integrated with a proprietary supercomputing cluster and a wet-lab facility equipped for generating a broad range of experimental data. We have also built a ML platform, VantAI, tailored to the </w:t>
      </w:r>
      <w:r>
        <w:rPr>
          <w:rFonts w:ascii="Arial" w:cs="Arial" w:eastAsia="Arial" w:hAnsi="Arial"/>
          <w:sz w:val="10"/>
          <w:szCs w:val="10"/>
          <w:i w:val="1"/>
          <w:iCs w:val="1"/>
          <w:color w:val="auto"/>
        </w:rPr>
        <w:t>in silico</w:t>
      </w:r>
      <w:r>
        <w:rPr>
          <w:rFonts w:ascii="Arial" w:cs="Arial" w:eastAsia="Arial" w:hAnsi="Arial"/>
          <w:sz w:val="10"/>
          <w:szCs w:val="10"/>
          <w:color w:val="auto"/>
        </w:rPr>
        <w:t xml:space="preserve"> design and optimization of novel protein degraders in development at Proteovant. We believe the unique combination of both computational physics and ML capabilities will position us as the leader in computational drug discovery and establish a sustainable source of future small molecule drug candidates.</w:t>
      </w:r>
    </w:p>
    <w:p>
      <w:pPr>
        <w:spacing w:after="0" w:line="10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Our discovery engine has broad capabilities across multiple categories of small molecules and an initial special focus on targeted protein degradation, a therapeutic approach with broad potential applicability to diseases associated with protein overactivity and with no incumbent leader. Our capabilities in targeted protein degradation include a long-term partnership with a leading academic lab, the ability to optimize our degraders using both computational physics and ML and our well-established clinical development capabilities. Based on promising early-stage preclinical data for our first computationally-designed degrader candidates, we believe that our computational approach can generate candidates that achieve real-world degradation against relevant targets.</w:t>
      </w:r>
    </w:p>
    <w:p>
      <w:pPr>
        <w:spacing w:after="0" w:line="128"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We anticipate that our discovery engine will expand our clinical-stage pipeline by generating candidates to advance through the launch of potential new Vants, or to integrate with existing Vants if there is appropriate therapeutic area overlap, in either case taking advantage of Roivant’s established clinical development capabilities.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believe the Vant model accelerates successful execution due to three key factors: nimble teams, incentive alignment and robust governance. We build Vant teams with deep, relevant expertise to promote successful execution of development strategy. By keeping Vant teams focused and generally small, we strive to eliminate excessive bureaucracy, thereby facilitating rapid decision-making and ultimately accelerating outcomes. Vants are built as entrepreneurial biotech companies, where each Vant leader is compensated with significant upside potential in the form of Vant equity. By aligning employee incentives with successful Vant outcomes, we encourage Vant leaders to take calculated risks and implement strategies that we believe differentiate the speed and creativity of development capabilities from legacy large pharmaceutical companies, where drug developers may face asymmetric downside in the event of failure and where upside equity, if granted, is diluted by many diverse projects. Vants are also supported through a robust governance structure that is centralized at Roivant. Our governance team ensures accountability for execution at Vants and allows us to capture synergies through shared technology and certain future shared commercial functions, while at the same time providing access to a broad range of Roivant resources when Vants face critical strategic questions.</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Commercialize or monetize</w:t>
      </w:r>
    </w:p>
    <w:p>
      <w:pPr>
        <w:spacing w:after="0" w:line="7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Vant model is designed to maximize the value of each drug that we successfully develop and generate returns for shareholders through the independent commercialization of products, partnerships with pharmaceutical and biotechnology companies or the selective sale of Vants. Our primary objective is to launch commercial products ourselves, but we may sell or partner Vants or specific drugs based on the facts and circumstances, including, without limitation, the strategic rationale and financial return potential.</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Technologies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platform leverages technologies that are designed to optimize each stage of the drug discovery, development and commercialization process.</w:t>
      </w:r>
    </w:p>
    <w:p>
      <w:pPr>
        <w:spacing w:after="0" w:line="12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72"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 xml:space="preserve">Our small molecule discovery engine at Roivant Discovery powers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drug discovery through the combination of two distinct approaches to computational drug design: the physics approach and the ML approach. The physics approach applies quantum mechanics and statistical thermodynamics to model the behavior of and interactions between molecules in a biological system. This includes molecular dynamics simulations, which predict how potential drug molecules bind to and modulate therapeutic protein targets. ML approaches for drug design, meanwhile, use pattern-recognition algorithms to discern mathematical relationships from empirical observations of small molecules and extrapolate to predict chemical, biological and physical properties of novel compounds. ML techniques are very efficient in terms of computing power consumed compared to physics-based approaches and can be scaled to large datasets without the need for extensive computational resources. To effectively build a leadership position in computational drug discovery, we deliberately built and assembled capabilities in both computational physics and ML, creating a combined platform that we believe to be significantly differentiated from others.</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key components of our small molecule discovery engine include:</w:t>
      </w:r>
    </w:p>
    <w:p>
      <w:pPr>
        <w:spacing w:after="0" w:line="87" w:lineRule="exact"/>
        <w:rPr>
          <w:sz w:val="20"/>
          <w:szCs w:val="20"/>
          <w:color w:val="auto"/>
        </w:rPr>
      </w:pPr>
    </w:p>
    <w:p>
      <w:pPr>
        <w:ind w:left="2620" w:right="939" w:hanging="288"/>
        <w:spacing w:after="0" w:line="25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 quantum mechanics-based molecular dynamics software platform to predict the interactions, energies and conformational behavior of targets and generate novel drug candidates. </w:t>
      </w:r>
      <w:r>
        <w:rPr>
          <w:rFonts w:ascii="Arial" w:cs="Arial" w:eastAsia="Arial" w:hAnsi="Arial"/>
          <w:sz w:val="12"/>
          <w:szCs w:val="12"/>
          <w:color w:val="auto"/>
        </w:rPr>
        <w:t>We can simulate hundreds of molecules per day and make predictions for drug design,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enabling the optimization of properties such as binding affinity, selectivity, membrane permeability and solubility. We also have a suite of molecular dynamics and simulation tools to generate additional insights regarding individual atomic contributions to binding properties and conformational dynamics.</w:t>
      </w:r>
    </w:p>
    <w:p>
      <w:pPr>
        <w:spacing w:after="0" w:line="65"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b w:val="1"/>
          <w:bCs w:val="1"/>
          <w:i w:val="1"/>
          <w:iCs w:val="1"/>
          <w:color w:val="auto"/>
        </w:rPr>
        <w:t>A supercomputing cluster composed of over 600 graphics processing units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supercomputing cluster allows us to run molecular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simulations at biologically meaningful timescales predicting not only affinity but also how biomolecules will respond at an atomic level to perturbations such as mutation, phosphorylation, protonation, or the addition or removal of a ligand and functionally important structural changes in proteins.</w:t>
      </w:r>
    </w:p>
    <w:p>
      <w:pPr>
        <w:spacing w:after="0" w:line="61" w:lineRule="exact"/>
        <w:rPr>
          <w:rFonts w:ascii="Arial" w:cs="Arial" w:eastAsia="Arial" w:hAnsi="Arial"/>
          <w:sz w:val="12"/>
          <w:szCs w:val="12"/>
          <w:color w:val="auto"/>
        </w:rPr>
      </w:pPr>
    </w:p>
    <w:p>
      <w:pPr>
        <w:ind w:left="2620" w:right="879" w:hanging="288"/>
        <w:spacing w:after="0" w:line="259"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 suite of degrader-specific ML tools. </w:t>
      </w:r>
      <w:r>
        <w:rPr>
          <w:rFonts w:ascii="Arial" w:cs="Arial" w:eastAsia="Arial" w:hAnsi="Arial"/>
          <w:sz w:val="12"/>
          <w:szCs w:val="12"/>
          <w:color w:val="auto"/>
        </w:rPr>
        <w:t>We have developed a novel protein contact-first workflow that utilizes information about known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protein-protein interactions to build new degraders that can effectively stabilize target-E3 interfaces; a degron knowledge graph, which we believe to be industry-leading, to map the ubiquitin proteasome system; and a unique model, based on millions of carefully curated protein stability datapoints, to predict degradation.</w:t>
      </w:r>
    </w:p>
    <w:p>
      <w:pPr>
        <w:spacing w:after="0" w:line="57" w:lineRule="exact"/>
        <w:rPr>
          <w:rFonts w:ascii="Arial" w:cs="Arial" w:eastAsia="Arial" w:hAnsi="Arial"/>
          <w:sz w:val="12"/>
          <w:szCs w:val="12"/>
          <w:color w:val="auto"/>
        </w:rPr>
      </w:pPr>
    </w:p>
    <w:p>
      <w:pPr>
        <w:ind w:left="2620" w:right="1019" w:hanging="288"/>
        <w:spacing w:after="0" w:line="287" w:lineRule="auto"/>
        <w:tabs>
          <w:tab w:leader="none" w:pos="2620" w:val="left"/>
        </w:tabs>
        <w:numPr>
          <w:ilvl w:val="0"/>
          <w:numId w:val="68"/>
        </w:numPr>
        <w:rPr>
          <w:rFonts w:ascii="Arial" w:cs="Arial" w:eastAsia="Arial" w:hAnsi="Arial"/>
          <w:sz w:val="11"/>
          <w:szCs w:val="11"/>
          <w:color w:val="auto"/>
        </w:rPr>
      </w:pPr>
      <w:r>
        <w:rPr>
          <w:rFonts w:ascii="Arial" w:cs="Arial" w:eastAsia="Arial" w:hAnsi="Arial"/>
          <w:sz w:val="11"/>
          <w:szCs w:val="11"/>
          <w:b w:val="1"/>
          <w:bCs w:val="1"/>
          <w:i w:val="1"/>
          <w:iCs w:val="1"/>
          <w:color w:val="auto"/>
        </w:rPr>
        <w:t>A wet lab fully equipped for synthetic chemistry, crystallography, biophysics, biochemistry and biology</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Our in-house laboratories are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tightly integrated with our computational physics platform to directly augment simulations with biophysical data as well as validate simulation predictions. Certain experimental techniques enable more accurate and efficient simulations on targets where we lack crystal structures. Combined with homology modeling and X-ray crystallography, this allows for the simultaneous design of chemical matter against a target while refining atomistic structural models and solving high-resolution crystal structures.</w:t>
      </w:r>
    </w:p>
    <w:p>
      <w:pPr>
        <w:spacing w:after="0" w:line="11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 xml:space="preserve">Our computational physics capabilities, which we obtained through the acquisition of Silicon Therapeutics, allow us to predict how molecules will interact by using principles of quantum physics to computationally model the forces and energies of the atomic and sub-atomic particles that comprise the molecule system. Based on internal and published benchmarks, we believe that the speed and accuracy of binding free energy calculations made by our programs are on par with the best commercially available tool, Schrödinger’s FEP+, and superior to open-source methods. Further, we believe our ability to rapidly validate and constrain simulations with experimental data generated in-house creates a sustainable advantage compared to competitors. These capabilities power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assays that allow us to potentially predict binding affinity of a ligand and protein, predict conformational dynamics of a protein as it shifts from active to inactive state, and identify binding sites on a protein.</w:t>
      </w:r>
    </w:p>
    <w:p>
      <w:pPr>
        <w:spacing w:after="0" w:line="115"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VantAI combines cutting-edge ML techniques with deep systems biology expertise to power the discovery of novel protein degraders. VantAI’s distinctive degrader platform includes a novel “protein contact-first”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72"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workflow that uses graph representations of known protein-protein interactions to design new degraders that can effectively stabilize target-E3 interfaces; an industry-leading ubiquitin proteasome system map allowing for the identification of degron motifs; and complex models for protein degradation and prediction of key chemical properties, trained on over five years of proprietary degrader-specific experimental data and millions of carefully curated protein stability datapoints. Our VantAI-designed degrader candidates have produced promising early-stage preclinical data that suggests our computational approach can generate candidates that achieve real-world degradation against multiple relevant targets. The use of VantAI’s computational technology on compounds for the inducement of protein degradation will be dedicated exclusively to Proteovant until at least early 2026, other than certain pre-specified work on designated targets being conducted for third parties.</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 xml:space="preserve">We believe that our small molecule discovery engine may allow us to replace experimental assays with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assays, resulting in decreased time and costs, ultimately accelerating the hit-to-lead and lead optimization stages of the drug discovery process. Further, we expect to increase our likelihood of identifying novel binding pockets on previously “undruggable” targets. We plan to direct our expanding capabilities in computational drug discovery towards targets selected with the same “investment lens” we use for our in-licensing strategy, and we expect it to produce candidates for continued clinical development within our existing clinical trial infrastructure.</w:t>
      </w:r>
    </w:p>
    <w:p>
      <w:pPr>
        <w:spacing w:after="0" w:line="128"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The hypothesis generation for both our internal discovery engine and in-licensing strategies is supported by a tool we developed in-house called DrugOme, which we sold as part of the Sumitomo Transaction but retain a perpetual license to. DrugOme is a comprehensive map of targets and drug candidates in development that enables differentiated analysis of development strategies and potential business development opportunities. DrugOme employs natural language processing to extract, ingest and harmonize data across diverse structured and unstructured sources to construct a centralized database that captures available data regarding clinical trials, company financials, prescriptions and intellectual property. This database informs R&amp;D decision-making across all stages of the drug discovery and development process. DrugOme supports our business development by rapidly defining the competitive and therapeutic landscape for a specific asset, predicting clinical trial costs, identifying trends in treatment patterns, optimizing clinical trial site and investigator selection and providing other customized analyses. We believe our computational approach to identifying assets for in-licensing and the creative drug development strategies that accompany those assets are key advantages unique to the Roivant platform.</w:t>
      </w:r>
    </w:p>
    <w:p>
      <w:pPr>
        <w:spacing w:after="0" w:line="117"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As we have developed drugs in clinical trials, we have built technologies to improve the process of running such trials. We have aggregated many of these at our subsidiary Lokavant. Lokavant’s software integrates real-time data from ongoing clinical trials and monitors risks related to time, cost and quality. Its proprietary data model serves as a “common language” for trial operational data and ensures that all trial data sources are ingested, harmonized and aggregated into a central database, allowing the trial sponsor to access operational trial data in near-real time. This approach is a substantial departure from traditional operations which typically share different types of trial data asynchronously and on multi-week delays. Algorithms trained on a proprietary dataset of operational metadata from over 1,300 trials are designed to identify the most important risks with sufficient time to empower researchers to implement interventions to mitigate those risks and deliver trial results on budget and on time. In addition to being deployed in Roivant trials, Parexel, a leading global contract research organization (“CRO”), is using Lokavant’s software as its remote monitoring platform, and we intend to grow Lokavant’s customer base with other CROs and trial sponsors.</w:t>
      </w:r>
    </w:p>
    <w:p>
      <w:pPr>
        <w:spacing w:after="0" w:line="117"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designing development and commercialization strategies for our pipeline of drugs, we also identified significant shortcomings with commercially available patient data. Today, healthcare data is siloed across multiple fragmented data sources, limiting the ability to generate a comprehensive understanding of patient health. Datavant, a company which we founded and in which we maintain a non-controlling interest, is working to address this problem. Datavant recently merged with Ciox Health, LLC (as described below). The combined company seeks to power every exchange of health data, unlocking a massive ecosystem of companies using linked, longitudinal data to improve patient outcomes. Datavant linking technology enables the advanced use of real-world evidence, patient finding, outcomes research, and commercial analytics. Datavant’s customers and partners include Janssen/J&amp;J and other top 20 pharmaceutical companies, ZS, Medidata, Cigna, Parexel, Symphony Health, Komodo Health and the NIH. We can also use Datavant’s technology to better understand the real-world health outcomes of subjects who participate in our trials beyond the duration of the trials themselves.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72"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In June 2021, Datavant entered into a definitive merger agreement with CIOX Health, LLC. (“Ciox Health”), a leader in clinical data exchange. The combined entity, named Datavant, is the nation’s largest health data ecosystem, enabling patients, providers, payers, health data analytics companies, patient-facing applications, government agencies, and life science companies to securely exchange their patient-level data. The merger closed in July 2021. At closing, Roivant received approximately $320 million in cash and a minority equity ownership interest in the combined entity.</w:t>
      </w:r>
    </w:p>
    <w:p>
      <w:pPr>
        <w:spacing w:after="0" w:line="111"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We have begun to build technology to support our transition from a development-stage biopharmaceutical company into a commercial one. Alyvant is an early-stage technology product for physician and patient segmentation, targeting and engagement. Alyvant generates dynamic call plans uniquely prioritized on likelihood to prescribe by integrating patient and payor data with physician behavioral characteristics and presents those call plans through a salesforce app that drives adherence to call plans and reprioritizes physician outreach based on feedback from the field. In a 2019 pilot co-promotion of three products, Alyvant increased total prescriptions by 223% compared to the same period in the prior year and generated a &gt;2x increase in the number of activated prescribers. As we deliver products to market, we expect to expand the suite of technology tools available to accelerate and optimize commercialization.</w:t>
      </w:r>
    </w:p>
    <w:p>
      <w:pPr>
        <w:spacing w:after="0" w:line="115" w:lineRule="exact"/>
        <w:rPr>
          <w:sz w:val="20"/>
          <w:szCs w:val="20"/>
          <w:color w:val="auto"/>
        </w:rPr>
      </w:pPr>
    </w:p>
    <w:p>
      <w:pPr>
        <w:jc w:val="both"/>
        <w:ind w:left="1980" w:right="899" w:firstLine="294"/>
        <w:spacing w:after="0" w:line="340" w:lineRule="auto"/>
        <w:rPr>
          <w:sz w:val="20"/>
          <w:szCs w:val="20"/>
          <w:color w:val="auto"/>
        </w:rPr>
      </w:pPr>
      <w:r>
        <w:rPr>
          <w:rFonts w:ascii="Arial" w:cs="Arial" w:eastAsia="Arial" w:hAnsi="Arial"/>
          <w:sz w:val="10"/>
          <w:szCs w:val="10"/>
          <w:color w:val="auto"/>
        </w:rPr>
        <w:t>We will continue to execute against our goal of building the next-generation pharmaceutical company by fully integrating modern technologies at each stage of the drug discovery, development and commercialization process. We believe that there is significant opportunity to address inefficiencies within these processes, and we expect to build technologies where we find commercially available tools nonexistent or insufficient for our needs.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Unique Features of the Roivant Platform</w:t>
      </w:r>
    </w:p>
    <w:p>
      <w:pPr>
        <w:spacing w:after="0" w:line="8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Our model allows each Vant to rapidly scale given full access to shared technologies that address inefficiencies in the drug discovery, development and commercialization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-12700</wp:posOffset>
            </wp:positionV>
            <wp:extent cx="3171825" cy="2228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718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Note: All trademarks are property of their respective owners.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72"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aim to redefine “big pharma” by rapidly developing and commercializing transformative medicines in areas of high unmet medical need where there are no approved therapies or there are significant limitations associated with current standards of care. We believe our platform is uniquely positioned to accomplish this by:</w:t>
      </w:r>
    </w:p>
    <w:p>
      <w:pPr>
        <w:spacing w:after="0" w:line="59" w:lineRule="exact"/>
        <w:rPr>
          <w:sz w:val="20"/>
          <w:szCs w:val="20"/>
          <w:color w:val="auto"/>
        </w:rPr>
      </w:pPr>
    </w:p>
    <w:p>
      <w:pPr>
        <w:ind w:left="2620" w:right="859" w:hanging="288"/>
        <w:spacing w:after="0" w:line="326" w:lineRule="auto"/>
        <w:tabs>
          <w:tab w:leader="none" w:pos="2620" w:val="left"/>
        </w:tabs>
        <w:numPr>
          <w:ilvl w:val="0"/>
          <w:numId w:val="69"/>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Leveraging complementary approaches to identify or discover promising drug candidates: </w:t>
      </w:r>
      <w:r>
        <w:rPr>
          <w:rFonts w:ascii="Arial" w:cs="Arial" w:eastAsia="Arial" w:hAnsi="Arial"/>
          <w:sz w:val="10"/>
          <w:szCs w:val="10"/>
          <w:color w:val="auto"/>
        </w:rPr>
        <w:t>We assembled our current late-stage product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candidate pipeline by relentlessly pursuing opportunities to in-license or acquire programs where we believe we can deliver successful outcomes on accelerated timelines. In addition, our computational drug discovery engine allows us to design, optimize and validate our own novel product candidates, providing us with another avenue to pursue compelling targets or pathways and further expand our pipeline.</w:t>
      </w:r>
    </w:p>
    <w:p>
      <w:pPr>
        <w:spacing w:after="0" w:line="32" w:lineRule="exact"/>
        <w:rPr>
          <w:rFonts w:ascii="Arial" w:cs="Arial" w:eastAsia="Arial" w:hAnsi="Arial"/>
          <w:sz w:val="10"/>
          <w:szCs w:val="10"/>
          <w:color w:val="auto"/>
        </w:rPr>
      </w:pPr>
    </w:p>
    <w:p>
      <w:pPr>
        <w:ind w:left="2620" w:right="839" w:hanging="288"/>
        <w:spacing w:after="0" w:line="25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b w:val="1"/>
          <w:bCs w:val="1"/>
          <w:i w:val="1"/>
          <w:iCs w:val="1"/>
          <w:color w:val="auto"/>
        </w:rPr>
        <w:t>Creating nimble, entrepreneurial Vants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Vants generally operate similar to independent biotechnology companies where each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management team is focused on their respective mission and are economically incentivized to maximize value through Vant-specific equity grants. Each of our Vant teams is built with deep relevant expertise to ensure successful execution of their specific development strategy. The Vant model is designed to facilitate rapid decision making and calculated risk taking, by empowering, aligning and incentivizing Vant teams around the specific outcomes of their product candidates.</w:t>
      </w:r>
    </w:p>
    <w:p>
      <w:pPr>
        <w:spacing w:after="0" w:line="65" w:lineRule="exact"/>
        <w:rPr>
          <w:rFonts w:ascii="Arial" w:cs="Arial" w:eastAsia="Arial" w:hAnsi="Arial"/>
          <w:sz w:val="12"/>
          <w:szCs w:val="12"/>
          <w:color w:val="auto"/>
        </w:rPr>
      </w:pPr>
    </w:p>
    <w:p>
      <w:pPr>
        <w:jc w:val="both"/>
        <w:ind w:left="2620" w:right="979" w:hanging="288"/>
        <w:spacing w:after="0" w:line="25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Developing and deploying proprietary technologies: </w:t>
      </w:r>
      <w:r>
        <w:rPr>
          <w:rFonts w:ascii="Arial" w:cs="Arial" w:eastAsia="Arial" w:hAnsi="Arial"/>
          <w:sz w:val="12"/>
          <w:szCs w:val="12"/>
          <w:color w:val="auto"/>
        </w:rPr>
        <w:t>We believe we are able to develop transformative medicines faster by building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p>
      <w:pPr>
        <w:spacing w:after="0" w:line="65" w:lineRule="exact"/>
        <w:rPr>
          <w:rFonts w:ascii="Arial" w:cs="Arial" w:eastAsia="Arial" w:hAnsi="Arial"/>
          <w:sz w:val="12"/>
          <w:szCs w:val="12"/>
          <w:color w:val="auto"/>
        </w:rPr>
      </w:pPr>
    </w:p>
    <w:p>
      <w:pPr>
        <w:ind w:left="2620" w:right="859" w:hanging="288"/>
        <w:spacing w:after="0" w:line="25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Allocating capital to maximize R&amp;D efficiency: </w:t>
      </w:r>
      <w:r>
        <w:rPr>
          <w:rFonts w:ascii="Arial" w:cs="Arial" w:eastAsia="Arial" w:hAnsi="Arial"/>
          <w:sz w:val="12"/>
          <w:szCs w:val="12"/>
          <w:color w:val="auto"/>
        </w:rPr>
        <w:t>We apply an objective, rigorous decision framework across the drug development process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w:t>
      </w:r>
    </w:p>
    <w:p>
      <w:pPr>
        <w:spacing w:after="0" w:line="65" w:lineRule="exact"/>
        <w:rPr>
          <w:rFonts w:ascii="Arial" w:cs="Arial" w:eastAsia="Arial" w:hAnsi="Arial"/>
          <w:sz w:val="12"/>
          <w:szCs w:val="12"/>
          <w:color w:val="auto"/>
        </w:rPr>
      </w:pPr>
    </w:p>
    <w:p>
      <w:pPr>
        <w:ind w:left="2620" w:right="919" w:hanging="288"/>
        <w:spacing w:after="0" w:line="259"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Maintaining a diversified pipeline with various risk profiles: </w:t>
      </w:r>
      <w:r>
        <w:rPr>
          <w:rFonts w:ascii="Arial" w:cs="Arial" w:eastAsia="Arial" w:hAnsi="Arial"/>
          <w:sz w:val="12"/>
          <w:szCs w:val="12"/>
          <w:color w:val="auto"/>
        </w:rPr>
        <w:t>We have built a pipeline of over 30 drugs across different therapeutic areas,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phases of development, modalities and geographies. This approach limits our exposure to several concentrated scientific and biological risks and allows us to pursue multiple innovative hypotheses across our portfolio as we seek to develop therapies for patient populations with high unmet need.</w:t>
      </w:r>
    </w:p>
    <w:p>
      <w:pPr>
        <w:spacing w:after="0" w:line="61" w:lineRule="exact"/>
        <w:rPr>
          <w:rFonts w:ascii="Arial" w:cs="Arial" w:eastAsia="Arial" w:hAnsi="Arial"/>
          <w:sz w:val="12"/>
          <w:szCs w:val="12"/>
          <w:color w:val="auto"/>
        </w:rPr>
      </w:pPr>
    </w:p>
    <w:p>
      <w:pPr>
        <w:ind w:left="2620" w:right="859" w:hanging="288"/>
        <w:spacing w:after="0" w:line="259"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Designing creative “win-win” deal structures: </w:t>
      </w:r>
      <w:r>
        <w:rPr>
          <w:rFonts w:ascii="Arial" w:cs="Arial" w:eastAsia="Arial" w:hAnsi="Arial"/>
          <w:sz w:val="12"/>
          <w:szCs w:val="12"/>
          <w:color w:val="auto"/>
        </w:rPr>
        <w:t>We structure our partnerships to balance risk and the potential for future value creation.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ensure that a significant proportion of near-term expenses go toward development, allowing us to stage our investment and align incentives as well as limit losses in the event of a setback. Our scale and track record of developing product candidates assures partners that we are uniquely capable of maximizing value for patients and investors.</w:t>
      </w:r>
    </w:p>
    <w:p>
      <w:pPr>
        <w:spacing w:after="0" w:line="61" w:lineRule="exact"/>
        <w:rPr>
          <w:rFonts w:ascii="Arial" w:cs="Arial" w:eastAsia="Arial" w:hAnsi="Arial"/>
          <w:sz w:val="12"/>
          <w:szCs w:val="12"/>
          <w:color w:val="auto"/>
        </w:rPr>
      </w:pPr>
    </w:p>
    <w:p>
      <w:pPr>
        <w:ind w:left="2620" w:right="859" w:hanging="288"/>
        <w:spacing w:after="0" w:line="298" w:lineRule="auto"/>
        <w:tabs>
          <w:tab w:leader="none" w:pos="2620" w:val="left"/>
        </w:tabs>
        <w:numPr>
          <w:ilvl w:val="0"/>
          <w:numId w:val="6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Providing operating leverage through centralized support functions: </w:t>
      </w:r>
      <w:r>
        <w:rPr>
          <w:rFonts w:ascii="Arial" w:cs="Arial" w:eastAsia="Arial" w:hAnsi="Arial"/>
          <w:sz w:val="11"/>
          <w:szCs w:val="11"/>
          <w:color w:val="auto"/>
        </w:rPr>
        <w:t>Our model allows us to accelerate Vant formation and maturation by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centralizing and sharing certain support functions across various Vants. Vants also benefit from access to our vast network of scientific experts, physicians and technologists to help optimize their clinical development and plans for commercialization.</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Platform Recognition</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December 2019, we entered into a $3 billion upfront partnership with Sumitomo. There were four key components of this transaction:</w:t>
      </w:r>
    </w:p>
    <w:p>
      <w:pPr>
        <w:spacing w:after="0" w:line="99" w:lineRule="exact"/>
        <w:rPr>
          <w:sz w:val="20"/>
          <w:szCs w:val="20"/>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Sumitomo acquired 100% of Roivant’s ownership interest in five Vants: Urovant, Myovant, Enzyvant, Altavant and Spirovant.</w:t>
      </w:r>
    </w:p>
    <w:p>
      <w:pPr>
        <w:spacing w:after="0" w:line="105"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2"/>
          <w:szCs w:val="12"/>
          <w:color w:val="auto"/>
        </w:rPr>
        <w:t>136</w:t>
      </w:r>
    </w:p>
    <w:p>
      <w:pPr>
        <w:sectPr>
          <w:pgSz w:w="11900" w:h="16838" w:orient="portrait"/>
          <w:cols w:equalWidth="0" w:num="1">
            <w:col w:w="10159"/>
          </w:cols>
          <w:pgMar w:left="300" w:top="372"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99" w:hanging="288"/>
        <w:spacing w:after="0" w:line="259"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Sumitomo acquired options to purchase Roivant’s ownership interest in six additional Vants (the “Option Vants”), in each case at a purchase price calculated by reference to a specified multiple. In June 2021, Sumitomo and Roivant completed a transaction which included the termination of Sumitomo’s outstanding options to acquire Roivant’s ownership interest in the Option Vants. See the section titled “Recent Events—Option Vants Transaction” for additional information.</w:t>
      </w:r>
    </w:p>
    <w:p>
      <w:pPr>
        <w:spacing w:after="0" w:line="6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Roivant and Sumitomo agreed to share access to two technology platforms: DrugOme and Digital Innovation, an approach to integrating technologists into business operations.</w:t>
      </w:r>
    </w:p>
    <w:p>
      <w:pPr>
        <w:spacing w:after="0" w:line="51" w:lineRule="exact"/>
        <w:rPr>
          <w:rFonts w:ascii="Arial" w:cs="Arial" w:eastAsia="Arial" w:hAnsi="Arial"/>
          <w:sz w:val="12"/>
          <w:szCs w:val="12"/>
          <w:color w:val="auto"/>
        </w:rPr>
      </w:pPr>
    </w:p>
    <w:p>
      <w:pPr>
        <w:ind w:left="2620" w:right="939" w:hanging="288"/>
        <w:spacing w:after="0" w:line="323" w:lineRule="auto"/>
        <w:tabs>
          <w:tab w:leader="none" w:pos="26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Sumitomo acquired 26,952,143 Roivant Common Shares at a per share price of $37.10 (or 78,867,360 shares of Roivant acquired at a per share price of $12.68 after giving effect to the share subdivision completed in connection with the Business Combination).</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Growth Strategies</w:t>
      </w:r>
    </w:p>
    <w:p>
      <w:pPr>
        <w:spacing w:after="0" w:line="82"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believe we are on our way to building the next generation “big pharma” company by leveraging our unique platform to transform the delivery of healthcare to patients. To support this goal and mission, we are executing on 5 key pillars of growth:</w:t>
      </w:r>
    </w:p>
    <w:p>
      <w:pPr>
        <w:spacing w:after="0" w:line="52" w:lineRule="exact"/>
        <w:rPr>
          <w:sz w:val="20"/>
          <w:szCs w:val="20"/>
          <w:color w:val="auto"/>
        </w:rPr>
      </w:pPr>
    </w:p>
    <w:p>
      <w:pPr>
        <w:ind w:left="2620" w:right="899" w:hanging="288"/>
        <w:spacing w:after="0" w:line="326" w:lineRule="auto"/>
        <w:tabs>
          <w:tab w:leader="none" w:pos="2620" w:val="left"/>
        </w:tabs>
        <w:numPr>
          <w:ilvl w:val="0"/>
          <w:numId w:val="72"/>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Deliver successes across our current pipeline: </w:t>
      </w:r>
      <w:r>
        <w:rPr>
          <w:rFonts w:ascii="Arial" w:cs="Arial" w:eastAsia="Arial" w:hAnsi="Arial"/>
          <w:sz w:val="10"/>
          <w:szCs w:val="10"/>
          <w:color w:val="auto"/>
        </w:rPr>
        <w:t>Our current pipeline is comprised of multiple potentially transformative drug candidates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across all stages of development, modalities and therapeutic areas. Our ability to successfully develop promising drug candidates has been evidenced through four FDA approvals from Vants sold to Sumitomo. We will continue to advance our diverse pipeline through to late-stage development and ultimately, if successful, regulatory approval, expanding our track record of pipeline successes to date.</w:t>
      </w:r>
    </w:p>
    <w:p>
      <w:pPr>
        <w:spacing w:after="0" w:line="95"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We have a robust calendar of potential near-term catalysts, including the items set forth below. In addition, we plan to in-license multiple potentially category-leading drugs per year.</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00" w:type="dxa"/>
            <w:vAlign w:val="bottom"/>
            <w:gridSpan w:val="2"/>
          </w:tcPr>
          <w:p>
            <w:pPr>
              <w:spacing w:after="0"/>
              <w:rPr>
                <w:sz w:val="20"/>
                <w:szCs w:val="20"/>
                <w:color w:val="auto"/>
              </w:rPr>
            </w:pPr>
            <w:r>
              <w:rPr>
                <w:rFonts w:ascii="Arial" w:cs="Arial" w:eastAsia="Arial" w:hAnsi="Arial"/>
                <w:sz w:val="10"/>
                <w:szCs w:val="10"/>
                <w:b w:val="1"/>
                <w:bCs w:val="1"/>
                <w:color w:val="auto"/>
              </w:rPr>
              <w:t>Vant</w:t>
            </w:r>
          </w:p>
        </w:tc>
        <w:tc>
          <w:tcPr>
            <w:tcW w:w="4320" w:type="dxa"/>
            <w:vAlign w:val="bottom"/>
            <w:gridSpan w:val="2"/>
          </w:tcPr>
          <w:p>
            <w:pPr>
              <w:ind w:left="1920"/>
              <w:spacing w:after="0"/>
              <w:rPr>
                <w:sz w:val="20"/>
                <w:szCs w:val="20"/>
                <w:color w:val="auto"/>
              </w:rPr>
            </w:pPr>
            <w:r>
              <w:rPr>
                <w:rFonts w:ascii="Arial" w:cs="Arial" w:eastAsia="Arial" w:hAnsi="Arial"/>
                <w:sz w:val="10"/>
                <w:szCs w:val="10"/>
                <w:b w:val="1"/>
                <w:bCs w:val="1"/>
                <w:color w:val="auto"/>
              </w:rPr>
              <w:t>Catalyst</w:t>
            </w:r>
          </w:p>
        </w:tc>
        <w:tc>
          <w:tcPr>
            <w:tcW w:w="160" w:type="dxa"/>
            <w:vAlign w:val="bottom"/>
          </w:tcPr>
          <w:p>
            <w:pPr>
              <w:spacing w:after="0"/>
              <w:rPr>
                <w:sz w:val="10"/>
                <w:szCs w:val="10"/>
                <w:color w:val="auto"/>
              </w:rPr>
            </w:pPr>
          </w:p>
        </w:tc>
        <w:tc>
          <w:tcPr>
            <w:tcW w:w="1760" w:type="dxa"/>
            <w:vAlign w:val="bottom"/>
          </w:tcPr>
          <w:p>
            <w:pPr>
              <w:ind w:left="460"/>
              <w:spacing w:after="0"/>
              <w:rPr>
                <w:sz w:val="20"/>
                <w:szCs w:val="20"/>
                <w:color w:val="auto"/>
              </w:rPr>
            </w:pPr>
            <w:r>
              <w:rPr>
                <w:rFonts w:ascii="Arial" w:cs="Arial" w:eastAsia="Arial" w:hAnsi="Arial"/>
                <w:sz w:val="10"/>
                <w:szCs w:val="10"/>
                <w:b w:val="1"/>
                <w:bCs w:val="1"/>
                <w:color w:val="auto"/>
              </w:rPr>
              <w:t>Expected Timing</w:t>
            </w:r>
          </w:p>
        </w:tc>
      </w:tr>
      <w:tr>
        <w:trPr>
          <w:trHeight w:val="20"/>
        </w:trPr>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r>
      <w:tr>
        <w:trPr>
          <w:trHeight w:val="100"/>
        </w:trPr>
        <w:tc>
          <w:tcPr>
            <w:tcW w:w="1100" w:type="dxa"/>
            <w:vAlign w:val="bottom"/>
            <w:gridSpan w:val="2"/>
          </w:tcPr>
          <w:p>
            <w:pPr>
              <w:spacing w:after="0" w:line="100" w:lineRule="exact"/>
              <w:rPr>
                <w:sz w:val="20"/>
                <w:szCs w:val="20"/>
                <w:color w:val="auto"/>
              </w:rPr>
            </w:pPr>
            <w:r>
              <w:rPr>
                <w:rFonts w:ascii="Arial" w:cs="Arial" w:eastAsia="Arial" w:hAnsi="Arial"/>
                <w:sz w:val="11"/>
                <w:szCs w:val="11"/>
                <w:color w:val="auto"/>
              </w:rPr>
              <w:t>Dermavant</w:t>
            </w:r>
          </w:p>
        </w:tc>
        <w:tc>
          <w:tcPr>
            <w:tcW w:w="4180" w:type="dxa"/>
            <w:vAlign w:val="bottom"/>
          </w:tcPr>
          <w:p>
            <w:pPr>
              <w:spacing w:after="0" w:line="100" w:lineRule="exact"/>
              <w:rPr>
                <w:sz w:val="20"/>
                <w:szCs w:val="20"/>
                <w:color w:val="auto"/>
              </w:rPr>
            </w:pPr>
            <w:r>
              <w:rPr>
                <w:rFonts w:ascii="Arial" w:cs="Arial" w:eastAsia="Arial" w:hAnsi="Arial"/>
                <w:sz w:val="11"/>
                <w:szCs w:val="11"/>
                <w:color w:val="auto"/>
              </w:rPr>
              <w:t>Tapinarof NDA filing in psoriasis</w:t>
            </w:r>
          </w:p>
        </w:tc>
        <w:tc>
          <w:tcPr>
            <w:tcW w:w="140" w:type="dxa"/>
            <w:vAlign w:val="bottom"/>
          </w:tcPr>
          <w:p>
            <w:pPr>
              <w:spacing w:after="0"/>
              <w:rPr>
                <w:sz w:val="8"/>
                <w:szCs w:val="8"/>
                <w:color w:val="auto"/>
              </w:rPr>
            </w:pPr>
          </w:p>
        </w:tc>
        <w:tc>
          <w:tcPr>
            <w:tcW w:w="1920" w:type="dxa"/>
            <w:vAlign w:val="bottom"/>
            <w:gridSpan w:val="2"/>
          </w:tcPr>
          <w:p>
            <w:pPr>
              <w:spacing w:after="0" w:line="100" w:lineRule="exact"/>
              <w:rPr>
                <w:sz w:val="20"/>
                <w:szCs w:val="20"/>
                <w:color w:val="auto"/>
              </w:rPr>
            </w:pPr>
            <w:r>
              <w:rPr>
                <w:rFonts w:ascii="Arial" w:cs="Arial" w:eastAsia="Arial" w:hAnsi="Arial"/>
                <w:sz w:val="11"/>
                <w:szCs w:val="11"/>
                <w:color w:val="auto"/>
              </w:rPr>
              <w:t xml:space="preserve">Mid-2021 </w:t>
            </w:r>
            <w:r>
              <w:rPr>
                <w:rFonts w:ascii="MS PGothic" w:cs="MS PGothic" w:eastAsia="MS PGothic" w:hAnsi="MS PGothic"/>
                <w:sz w:val="11"/>
                <w:szCs w:val="11"/>
                <w:color w:val="auto"/>
              </w:rPr>
              <w:t>✓</w:t>
            </w:r>
          </w:p>
        </w:tc>
      </w:tr>
      <w:tr>
        <w:trPr>
          <w:trHeight w:val="166"/>
        </w:trPr>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Tapinarof Phase 3 initiation in atopic dermatitis</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176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44"/>
        </w:trPr>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FDA approval decision on tapinarof for psoriasis</w:t>
            </w:r>
          </w:p>
        </w:tc>
        <w:tc>
          <w:tcPr>
            <w:tcW w:w="160" w:type="dxa"/>
            <w:vAlign w:val="bottom"/>
          </w:tcPr>
          <w:p>
            <w:pPr>
              <w:spacing w:after="0"/>
              <w:rPr>
                <w:sz w:val="20"/>
                <w:szCs w:val="20"/>
                <w:color w:val="auto"/>
              </w:rPr>
            </w:pPr>
            <w:r>
              <w:rPr>
                <w:rFonts w:ascii="Arial" w:cs="Arial" w:eastAsia="Arial" w:hAnsi="Arial"/>
                <w:sz w:val="12"/>
                <w:szCs w:val="12"/>
                <w:color w:val="auto"/>
                <w:w w:val="87"/>
              </w:rPr>
              <w:t>2Q</w:t>
            </w:r>
          </w:p>
        </w:tc>
        <w:tc>
          <w:tcPr>
            <w:tcW w:w="176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153"/>
        </w:trPr>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Topline data from tapinarof Phase 3 trials in atopic dermatitis</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1760" w:type="dxa"/>
            <w:vAlign w:val="bottom"/>
          </w:tcPr>
          <w:p>
            <w:pPr>
              <w:ind w:left="20"/>
              <w:spacing w:after="0"/>
              <w:rPr>
                <w:sz w:val="20"/>
                <w:szCs w:val="20"/>
                <w:color w:val="auto"/>
              </w:rPr>
            </w:pPr>
            <w:r>
              <w:rPr>
                <w:rFonts w:ascii="Arial" w:cs="Arial" w:eastAsia="Arial" w:hAnsi="Arial"/>
                <w:sz w:val="12"/>
                <w:szCs w:val="12"/>
                <w:color w:val="auto"/>
              </w:rPr>
              <w:t>2023</w:t>
            </w:r>
          </w:p>
        </w:tc>
      </w:tr>
      <w:tr>
        <w:trPr>
          <w:trHeight w:val="207"/>
        </w:trPr>
        <w:tc>
          <w:tcPr>
            <w:tcW w:w="110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4320" w:type="dxa"/>
            <w:vAlign w:val="bottom"/>
            <w:gridSpan w:val="2"/>
          </w:tcPr>
          <w:p>
            <w:pPr>
              <w:spacing w:after="0"/>
              <w:rPr>
                <w:sz w:val="20"/>
                <w:szCs w:val="20"/>
                <w:color w:val="auto"/>
              </w:rPr>
            </w:pPr>
            <w:r>
              <w:rPr>
                <w:rFonts w:ascii="Arial" w:cs="Arial" w:eastAsia="Arial" w:hAnsi="Arial"/>
                <w:sz w:val="12"/>
                <w:szCs w:val="12"/>
                <w:color w:val="auto"/>
              </w:rPr>
              <w:t>Initiate pivotal trial in MG</w:t>
            </w:r>
          </w:p>
        </w:tc>
        <w:tc>
          <w:tcPr>
            <w:tcW w:w="1920" w:type="dxa"/>
            <w:vAlign w:val="bottom"/>
            <w:gridSpan w:val="2"/>
          </w:tcPr>
          <w:p>
            <w:pPr>
              <w:spacing w:after="0"/>
              <w:rPr>
                <w:sz w:val="20"/>
                <w:szCs w:val="20"/>
                <w:color w:val="auto"/>
              </w:rPr>
            </w:pPr>
            <w:r>
              <w:rPr>
                <w:rFonts w:ascii="Arial" w:cs="Arial" w:eastAsia="Arial" w:hAnsi="Arial"/>
                <w:sz w:val="12"/>
                <w:szCs w:val="12"/>
                <w:color w:val="auto"/>
              </w:rPr>
              <w:t>Early 2022</w:t>
            </w:r>
          </w:p>
        </w:tc>
      </w:tr>
      <w:tr>
        <w:trPr>
          <w:trHeight w:val="153"/>
        </w:trPr>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Reinitiate program program in TED</w:t>
            </w:r>
          </w:p>
        </w:tc>
        <w:tc>
          <w:tcPr>
            <w:tcW w:w="1920" w:type="dxa"/>
            <w:vAlign w:val="bottom"/>
            <w:gridSpan w:val="2"/>
          </w:tcPr>
          <w:p>
            <w:pPr>
              <w:spacing w:after="0"/>
              <w:rPr>
                <w:sz w:val="20"/>
                <w:szCs w:val="20"/>
                <w:color w:val="auto"/>
              </w:rPr>
            </w:pPr>
            <w:r>
              <w:rPr>
                <w:rFonts w:ascii="Arial" w:cs="Arial" w:eastAsia="Arial" w:hAnsi="Arial"/>
                <w:sz w:val="12"/>
                <w:szCs w:val="12"/>
                <w:color w:val="auto"/>
              </w:rPr>
              <w:t>TBA</w:t>
            </w:r>
          </w:p>
        </w:tc>
      </w:tr>
      <w:tr>
        <w:trPr>
          <w:trHeight w:val="153"/>
        </w:trPr>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Reinitiate program program in WAIHA</w:t>
            </w:r>
          </w:p>
        </w:tc>
        <w:tc>
          <w:tcPr>
            <w:tcW w:w="1920" w:type="dxa"/>
            <w:vAlign w:val="bottom"/>
            <w:gridSpan w:val="2"/>
          </w:tcPr>
          <w:p>
            <w:pPr>
              <w:spacing w:after="0"/>
              <w:rPr>
                <w:sz w:val="20"/>
                <w:szCs w:val="20"/>
                <w:color w:val="auto"/>
              </w:rPr>
            </w:pPr>
            <w:r>
              <w:rPr>
                <w:rFonts w:ascii="Arial" w:cs="Arial" w:eastAsia="Arial" w:hAnsi="Arial"/>
                <w:sz w:val="12"/>
                <w:szCs w:val="12"/>
                <w:color w:val="auto"/>
              </w:rPr>
              <w:t>TBA</w:t>
            </w:r>
          </w:p>
        </w:tc>
      </w:tr>
      <w:tr>
        <w:trPr>
          <w:trHeight w:val="153"/>
        </w:trPr>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Announce at least two new indications for IMVT-1401</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176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185"/>
        </w:trPr>
        <w:tc>
          <w:tcPr>
            <w:tcW w:w="110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4320" w:type="dxa"/>
            <w:vAlign w:val="bottom"/>
            <w:gridSpan w:val="2"/>
          </w:tcPr>
          <w:p>
            <w:pPr>
              <w:spacing w:after="0"/>
              <w:rPr>
                <w:sz w:val="20"/>
                <w:szCs w:val="20"/>
                <w:color w:val="auto"/>
              </w:rPr>
            </w:pPr>
            <w:r>
              <w:rPr>
                <w:rFonts w:ascii="Arial" w:cs="Arial" w:eastAsia="Arial" w:hAnsi="Arial"/>
                <w:sz w:val="12"/>
                <w:szCs w:val="12"/>
                <w:color w:val="auto"/>
              </w:rPr>
              <w:t>First patient dosed with updated ARU-1801 manufacturing process</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176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66"/>
        </w:trPr>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Additional clinical data from ARU-1801 Phase 1/2</w:t>
            </w:r>
          </w:p>
        </w:tc>
        <w:tc>
          <w:tcPr>
            <w:tcW w:w="160" w:type="dxa"/>
            <w:vAlign w:val="bottom"/>
          </w:tcPr>
          <w:p>
            <w:pPr>
              <w:spacing w:after="0"/>
              <w:rPr>
                <w:sz w:val="20"/>
                <w:szCs w:val="20"/>
                <w:color w:val="auto"/>
              </w:rPr>
            </w:pPr>
            <w:r>
              <w:rPr>
                <w:rFonts w:ascii="Arial" w:cs="Arial" w:eastAsia="Arial" w:hAnsi="Arial"/>
                <w:sz w:val="12"/>
                <w:szCs w:val="12"/>
                <w:color w:val="auto"/>
                <w:w w:val="90"/>
              </w:rPr>
              <w:t>2H</w:t>
            </w:r>
          </w:p>
        </w:tc>
        <w:tc>
          <w:tcPr>
            <w:tcW w:w="176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2021 </w:t>
            </w:r>
            <w:r>
              <w:rPr>
                <w:rFonts w:ascii="MS PGothic" w:cs="MS PGothic" w:eastAsia="MS PGothic" w:hAnsi="MS PGothic"/>
                <w:sz w:val="12"/>
                <w:szCs w:val="12"/>
                <w:color w:val="auto"/>
              </w:rPr>
              <w:t>✓</w:t>
            </w:r>
          </w:p>
        </w:tc>
      </w:tr>
      <w:tr>
        <w:trPr>
          <w:trHeight w:val="153"/>
        </w:trPr>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ARU-1801 Phase 3 initiation</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1760" w:type="dxa"/>
            <w:vAlign w:val="bottom"/>
          </w:tcPr>
          <w:p>
            <w:pPr>
              <w:ind w:left="20"/>
              <w:spacing w:after="0"/>
              <w:rPr>
                <w:sz w:val="20"/>
                <w:szCs w:val="20"/>
                <w:color w:val="auto"/>
              </w:rPr>
            </w:pPr>
            <w:r>
              <w:rPr>
                <w:rFonts w:ascii="Arial" w:cs="Arial" w:eastAsia="Arial" w:hAnsi="Arial"/>
                <w:sz w:val="12"/>
                <w:szCs w:val="12"/>
                <w:color w:val="auto"/>
              </w:rPr>
              <w:t>2023</w:t>
            </w:r>
          </w:p>
        </w:tc>
      </w:tr>
      <w:tr>
        <w:trPr>
          <w:trHeight w:val="216"/>
        </w:trPr>
        <w:tc>
          <w:tcPr>
            <w:tcW w:w="110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4320" w:type="dxa"/>
            <w:vAlign w:val="bottom"/>
            <w:gridSpan w:val="2"/>
          </w:tcPr>
          <w:p>
            <w:pPr>
              <w:spacing w:after="0"/>
              <w:rPr>
                <w:sz w:val="20"/>
                <w:szCs w:val="20"/>
                <w:color w:val="auto"/>
              </w:rPr>
            </w:pPr>
            <w:r>
              <w:rPr>
                <w:rFonts w:ascii="Arial" w:cs="Arial" w:eastAsia="Arial" w:hAnsi="Arial"/>
                <w:sz w:val="12"/>
                <w:szCs w:val="12"/>
                <w:color w:val="auto"/>
              </w:rPr>
              <w:t>Namilumab Phase 2 initiation in sarcoidosis</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176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216"/>
        </w:trPr>
        <w:tc>
          <w:tcPr>
            <w:tcW w:w="110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4320" w:type="dxa"/>
            <w:vAlign w:val="bottom"/>
            <w:gridSpan w:val="2"/>
          </w:tcPr>
          <w:p>
            <w:pPr>
              <w:spacing w:after="0"/>
              <w:rPr>
                <w:sz w:val="20"/>
                <w:szCs w:val="20"/>
                <w:color w:val="auto"/>
              </w:rPr>
            </w:pPr>
            <w:r>
              <w:rPr>
                <w:rFonts w:ascii="Arial" w:cs="Arial" w:eastAsia="Arial" w:hAnsi="Arial"/>
                <w:sz w:val="12"/>
                <w:szCs w:val="12"/>
                <w:color w:val="auto"/>
              </w:rPr>
              <w:t>LSVT-1701 MAD initiation</w:t>
            </w:r>
          </w:p>
        </w:tc>
        <w:tc>
          <w:tcPr>
            <w:tcW w:w="160" w:type="dxa"/>
            <w:vAlign w:val="bottom"/>
          </w:tcPr>
          <w:p>
            <w:pPr>
              <w:spacing w:after="0"/>
              <w:rPr>
                <w:sz w:val="20"/>
                <w:szCs w:val="20"/>
                <w:color w:val="auto"/>
              </w:rPr>
            </w:pPr>
            <w:r>
              <w:rPr>
                <w:rFonts w:ascii="Arial" w:cs="Arial" w:eastAsia="Arial" w:hAnsi="Arial"/>
                <w:sz w:val="12"/>
                <w:szCs w:val="12"/>
                <w:color w:val="auto"/>
                <w:w w:val="90"/>
              </w:rPr>
              <w:t>1H</w:t>
            </w:r>
          </w:p>
        </w:tc>
        <w:tc>
          <w:tcPr>
            <w:tcW w:w="1760" w:type="dxa"/>
            <w:vAlign w:val="bottom"/>
          </w:tcPr>
          <w:p>
            <w:pPr>
              <w:ind w:left="20"/>
              <w:spacing w:after="0"/>
              <w:rPr>
                <w:sz w:val="20"/>
                <w:szCs w:val="20"/>
                <w:color w:val="auto"/>
              </w:rPr>
            </w:pPr>
            <w:r>
              <w:rPr>
                <w:rFonts w:ascii="Arial" w:cs="Arial" w:eastAsia="Arial" w:hAnsi="Arial"/>
                <w:sz w:val="12"/>
                <w:szCs w:val="12"/>
                <w:color w:val="auto"/>
              </w:rPr>
              <w:t>2022</w:t>
            </w:r>
          </w:p>
        </w:tc>
      </w:tr>
      <w:tr>
        <w:trPr>
          <w:trHeight w:val="216"/>
        </w:trPr>
        <w:tc>
          <w:tcPr>
            <w:tcW w:w="110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4320" w:type="dxa"/>
            <w:vAlign w:val="bottom"/>
            <w:gridSpan w:val="2"/>
          </w:tcPr>
          <w:p>
            <w:pPr>
              <w:spacing w:after="0"/>
              <w:rPr>
                <w:sz w:val="20"/>
                <w:szCs w:val="20"/>
                <w:color w:val="auto"/>
              </w:rPr>
            </w:pPr>
            <w:r>
              <w:rPr>
                <w:rFonts w:ascii="Arial" w:cs="Arial" w:eastAsia="Arial" w:hAnsi="Arial"/>
                <w:sz w:val="12"/>
                <w:szCs w:val="12"/>
                <w:color w:val="auto"/>
              </w:rPr>
              <w:t>Phase 1 initiation for first degrader candidate</w:t>
            </w:r>
          </w:p>
        </w:tc>
        <w:tc>
          <w:tcPr>
            <w:tcW w:w="1920" w:type="dxa"/>
            <w:vAlign w:val="bottom"/>
            <w:gridSpan w:val="2"/>
          </w:tcPr>
          <w:p>
            <w:pPr>
              <w:spacing w:after="0"/>
              <w:rPr>
                <w:sz w:val="20"/>
                <w:szCs w:val="20"/>
                <w:color w:val="auto"/>
              </w:rPr>
            </w:pPr>
            <w:r>
              <w:rPr>
                <w:rFonts w:ascii="Arial" w:cs="Arial" w:eastAsia="Arial" w:hAnsi="Arial"/>
                <w:sz w:val="12"/>
                <w:szCs w:val="12"/>
                <w:color w:val="auto"/>
              </w:rPr>
              <w:t>2022</w:t>
            </w:r>
          </w:p>
        </w:tc>
      </w:tr>
      <w:tr>
        <w:trPr>
          <w:trHeight w:val="207"/>
        </w:trPr>
        <w:tc>
          <w:tcPr>
            <w:tcW w:w="1100" w:type="dxa"/>
            <w:vAlign w:val="bottom"/>
            <w:gridSpan w:val="2"/>
          </w:tcPr>
          <w:p>
            <w:pPr>
              <w:spacing w:after="0"/>
              <w:rPr>
                <w:sz w:val="20"/>
                <w:szCs w:val="20"/>
                <w:color w:val="auto"/>
              </w:rPr>
            </w:pPr>
            <w:r>
              <w:rPr>
                <w:rFonts w:ascii="Arial" w:cs="Arial" w:eastAsia="Arial" w:hAnsi="Arial"/>
                <w:sz w:val="12"/>
                <w:szCs w:val="12"/>
                <w:color w:val="auto"/>
              </w:rPr>
              <w:t>Roivant /</w:t>
            </w:r>
          </w:p>
        </w:tc>
        <w:tc>
          <w:tcPr>
            <w:tcW w:w="4320" w:type="dxa"/>
            <w:vAlign w:val="bottom"/>
            <w:gridSpan w:val="2"/>
          </w:tcPr>
          <w:p>
            <w:pPr>
              <w:spacing w:after="0"/>
              <w:rPr>
                <w:sz w:val="20"/>
                <w:szCs w:val="20"/>
                <w:color w:val="auto"/>
              </w:rPr>
            </w:pPr>
            <w:r>
              <w:rPr>
                <w:rFonts w:ascii="Arial" w:cs="Arial" w:eastAsia="Arial" w:hAnsi="Arial"/>
                <w:sz w:val="12"/>
                <w:szCs w:val="12"/>
                <w:color w:val="auto"/>
              </w:rPr>
              <w:t>Multiple additional degrader candidates entering IND-enabling studies each year</w:t>
            </w:r>
          </w:p>
        </w:tc>
        <w:tc>
          <w:tcPr>
            <w:tcW w:w="1920" w:type="dxa"/>
            <w:vAlign w:val="bottom"/>
            <w:gridSpan w:val="2"/>
          </w:tcPr>
          <w:p>
            <w:pPr>
              <w:spacing w:after="0"/>
              <w:rPr>
                <w:sz w:val="20"/>
                <w:szCs w:val="20"/>
                <w:color w:val="auto"/>
              </w:rPr>
            </w:pPr>
            <w:r>
              <w:rPr>
                <w:rFonts w:ascii="Arial" w:cs="Arial" w:eastAsia="Arial" w:hAnsi="Arial"/>
                <w:sz w:val="12"/>
                <w:szCs w:val="12"/>
                <w:color w:val="auto"/>
              </w:rPr>
              <w:t>Starting 2022</w:t>
            </w:r>
          </w:p>
        </w:tc>
      </w:tr>
      <w:tr>
        <w:trPr>
          <w:trHeight w:val="153"/>
        </w:trPr>
        <w:tc>
          <w:tcPr>
            <w:tcW w:w="110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13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i w:val="1"/>
          <w:iCs w:val="1"/>
          <w:color w:val="auto"/>
        </w:rPr>
        <w:t>Note: References are to calendar years. All catalyst timings are based on current expectations and, where applicable, contingent on FDA feedback, and may be subject to change.</w:t>
      </w:r>
    </w:p>
    <w:p>
      <w:pPr>
        <w:spacing w:after="0" w:line="52" w:lineRule="exact"/>
        <w:rPr>
          <w:sz w:val="20"/>
          <w:szCs w:val="20"/>
          <w:color w:val="auto"/>
        </w:rPr>
      </w:pPr>
    </w:p>
    <w:p>
      <w:pPr>
        <w:ind w:left="2620" w:right="959" w:hanging="288"/>
        <w:spacing w:after="0" w:line="298" w:lineRule="auto"/>
        <w:tabs>
          <w:tab w:leader="none" w:pos="2620" w:val="left"/>
        </w:tabs>
        <w:numPr>
          <w:ilvl w:val="0"/>
          <w:numId w:val="73"/>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Expand our pipeline through acquisitions or in-licensing transactions: </w:t>
      </w:r>
      <w:r>
        <w:rPr>
          <w:rFonts w:ascii="Arial" w:cs="Arial" w:eastAsia="Arial" w:hAnsi="Arial"/>
          <w:sz w:val="11"/>
          <w:szCs w:val="11"/>
          <w:color w:val="auto"/>
        </w:rPr>
        <w:t>We intend to continue to expand our existing pipeline through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acquiring or in-licensing additional transformative drug candidates. Our goal is to add multiple potentially category-creating or category-leading drugs to our pipeline each year on average via this in-licensing strategy, a pace which is consistent with our track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72"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19"/>
        <w:spacing w:after="0" w:line="276" w:lineRule="auto"/>
        <w:rPr>
          <w:sz w:val="20"/>
          <w:szCs w:val="20"/>
          <w:color w:val="auto"/>
        </w:rPr>
      </w:pPr>
      <w:r>
        <w:rPr>
          <w:rFonts w:ascii="Arial" w:cs="Arial" w:eastAsia="Arial" w:hAnsi="Arial"/>
          <w:sz w:val="12"/>
          <w:szCs w:val="12"/>
          <w:color w:val="auto"/>
        </w:rPr>
        <w:t>record over the past several years. We will continue to manage our pipeline like a portfolio and build diversified risk profiles across therapeutic area, target, modality and stage of development.</w:t>
      </w:r>
    </w:p>
    <w:p>
      <w:pPr>
        <w:spacing w:after="0" w:line="52" w:lineRule="exact"/>
        <w:rPr>
          <w:sz w:val="20"/>
          <w:szCs w:val="20"/>
          <w:color w:val="auto"/>
        </w:rPr>
      </w:pPr>
    </w:p>
    <w:p>
      <w:pPr>
        <w:ind w:left="2620" w:right="1019" w:hanging="288"/>
        <w:spacing w:after="0" w:line="285" w:lineRule="auto"/>
        <w:tabs>
          <w:tab w:leader="none" w:pos="2620" w:val="left"/>
        </w:tabs>
        <w:numPr>
          <w:ilvl w:val="0"/>
          <w:numId w:val="7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Expand our pipeline through drug discovery: </w:t>
      </w:r>
      <w:r>
        <w:rPr>
          <w:rFonts w:ascii="Arial" w:cs="Arial" w:eastAsia="Arial" w:hAnsi="Arial"/>
          <w:sz w:val="11"/>
          <w:szCs w:val="11"/>
          <w:color w:val="auto"/>
        </w:rPr>
        <w:t>In parallel with our in-licensing strategy, we intend to expand our pipeline through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computational discovery of novel drug candidates. Thus far, we have focused our discovery efforts towards novel protein degraders. We plan to initiate a Phase 1 trial for our first degrader candidate in 2022 and rapidly build upon our early pipeline of degraders. We expect that the significant investments we have made in our small molecule discovery engine will allow us to generate novel drug candidates internally and initiate multiple IND-enabling studies each year starting in 2022.</w:t>
      </w:r>
    </w:p>
    <w:p>
      <w:pPr>
        <w:spacing w:after="0" w:line="50" w:lineRule="exact"/>
        <w:rPr>
          <w:rFonts w:ascii="Arial" w:cs="Arial" w:eastAsia="Arial" w:hAnsi="Arial"/>
          <w:sz w:val="11"/>
          <w:szCs w:val="11"/>
          <w:color w:val="auto"/>
        </w:rPr>
      </w:pPr>
    </w:p>
    <w:p>
      <w:pPr>
        <w:ind w:left="2620" w:right="859" w:hanging="288"/>
        <w:spacing w:after="0" w:line="256" w:lineRule="auto"/>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Power our entire platform by technology: </w:t>
      </w:r>
      <w:r>
        <w:rPr>
          <w:rFonts w:ascii="Arial" w:cs="Arial" w:eastAsia="Arial" w:hAnsi="Arial"/>
          <w:sz w:val="12"/>
          <w:szCs w:val="12"/>
          <w:color w:val="auto"/>
        </w:rPr>
        <w:t>We have built leading capabilities in computational drug discovery with our distinctive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combination of ML and computational physics platforms. Our investment in computational discovery bolsters our existing technology platform that seeks to address inefficiencies across each stage of the drug discovery, development and commercialization process. We expect to continue to make strategic investments in technology to power the entire Roivant platform, ultimately accelerating the delivery of transformative medicines to patients.</w:t>
      </w:r>
    </w:p>
    <w:p>
      <w:pPr>
        <w:spacing w:after="0" w:line="65" w:lineRule="exact"/>
        <w:rPr>
          <w:rFonts w:ascii="Arial" w:cs="Arial" w:eastAsia="Arial" w:hAnsi="Arial"/>
          <w:sz w:val="12"/>
          <w:szCs w:val="12"/>
          <w:color w:val="auto"/>
        </w:rPr>
      </w:pPr>
    </w:p>
    <w:p>
      <w:pPr>
        <w:ind w:left="2620" w:right="859" w:hanging="288"/>
        <w:spacing w:after="0" w:line="256" w:lineRule="auto"/>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Commercialize medicines independently where optimal: </w:t>
      </w:r>
      <w:r>
        <w:rPr>
          <w:rFonts w:ascii="Arial" w:cs="Arial" w:eastAsia="Arial" w:hAnsi="Arial"/>
          <w:sz w:val="12"/>
          <w:szCs w:val="12"/>
          <w:color w:val="auto"/>
        </w:rPr>
        <w:t>While the Roivant platform ensures flexibility on our path to value creation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asset, we believe independently commercializing our drug candidates will unlock maximal value over the long run. Our plan for building commercial capabilities will be informed by the identification of specific, targeted opportunities to create additional value across Vants. We are presently evaluating which commercial functions to potentially build in-house and centralize across the Vants. Based on our current pipeline, we expect to market our first drug, tapinarof, in 2022.</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Management Team</w:t>
      </w:r>
    </w:p>
    <w:p>
      <w:pPr>
        <w:spacing w:after="0" w:line="82" w:lineRule="exact"/>
        <w:rPr>
          <w:sz w:val="20"/>
          <w:szCs w:val="20"/>
          <w:color w:val="auto"/>
        </w:rPr>
      </w:pPr>
    </w:p>
    <w:p>
      <w:pPr>
        <w:ind w:left="1980" w:right="1059" w:firstLine="294"/>
        <w:spacing w:after="0" w:line="259" w:lineRule="auto"/>
        <w:rPr>
          <w:sz w:val="20"/>
          <w:szCs w:val="20"/>
          <w:color w:val="auto"/>
        </w:rPr>
      </w:pPr>
      <w:r>
        <w:rPr>
          <w:rFonts w:ascii="Arial" w:cs="Arial" w:eastAsia="Arial" w:hAnsi="Arial"/>
          <w:sz w:val="12"/>
          <w:szCs w:val="12"/>
          <w:color w:val="auto"/>
        </w:rPr>
        <w:t>We are led by a management team of leaders with diverse backgrounds, bringing together an expansive set of capabilities across healthcare investing, clinical development, technology, medicine, venture capital, operations, finance and data science. We believe we are well-positioned to redefine what it means to be a large pharmaceutical company today based on our ability to leverage experience from within and beyond the world of pharmaceuticals.</w:t>
      </w:r>
    </w:p>
    <w:p>
      <w:pPr>
        <w:spacing w:after="0" w:line="124"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Our management team is led by our Chief Executive Officer, Matthew Gline, with strategic guidance from our Founder and Executive Chairman, Vivek Ramaswamy. Our Chief Operating Officer, Eric Venker, M.D., Pharm.D., oversees the operations of the Roivant platform and provides oversight to our Vants as a board member. Our Chief Investment Officer, Mayukh Sukhatme, M.D., is responsible for generating hypotheses for potential new drugs, ultimately guiding target selection for our small molecule discovery engine and overseeing the evaluation of new assets to bring into our pipeline through our in-licensing strategy. Our Chief Financial Officer, Richard Pulik, manages our financial strategy and operations. Our Chief Computational Scientist, Woody Sherman, Ph.D., manages our computational physics platform. Our Vant Chair, Frank Torti, M.D., serves as chair of the board for certain of our Vants and, in that capacity, is responsible for ensuring successful execution of Vant strategy. We created the role of Vant Chair to establish clear accountability for our Vant CEOs, ensuring each Vant maintains the freedom to deploy their relevant expertise while maintaining connectivity to the Roivant platform.</w:t>
      </w:r>
    </w:p>
    <w:p>
      <w:pPr>
        <w:spacing w:after="0" w:line="117"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We build impressive teams across all levels of the organization. We hire and develop world-class talent from diverse backgrounds in biopharma, academia, technology and finance to ensure we have all of the capabilities to design and deliver creative solutions.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team is united by our core values:</w:t>
      </w:r>
    </w:p>
    <w:p>
      <w:pPr>
        <w:spacing w:after="0" w:line="87" w:lineRule="exact"/>
        <w:rPr>
          <w:sz w:val="20"/>
          <w:szCs w:val="20"/>
          <w:color w:val="auto"/>
        </w:rPr>
      </w:pPr>
    </w:p>
    <w:p>
      <w:pPr>
        <w:ind w:left="5560" w:right="4279" w:hanging="3228"/>
        <w:spacing w:after="0" w:line="413" w:lineRule="auto"/>
        <w:tabs>
          <w:tab w:leader="none" w:pos="2626" w:val="left"/>
        </w:tabs>
        <w:numPr>
          <w:ilvl w:val="0"/>
          <w:numId w:val="75"/>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Create value: </w:t>
      </w:r>
      <w:r>
        <w:rPr>
          <w:rFonts w:ascii="Arial" w:cs="Arial" w:eastAsia="Arial" w:hAnsi="Arial"/>
          <w:sz w:val="10"/>
          <w:szCs w:val="10"/>
          <w:color w:val="auto"/>
        </w:rPr>
        <w:t>We maximize value for patients and for shareholders.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138</w:t>
      </w:r>
    </w:p>
    <w:p>
      <w:pPr>
        <w:sectPr>
          <w:pgSz w:w="11900" w:h="16838" w:orient="portrait"/>
          <w:cols w:equalWidth="0" w:num="1">
            <w:col w:w="10159"/>
          </w:cols>
          <w:pgMar w:left="300" w:top="372"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Be contrarian: </w:t>
      </w:r>
      <w:r>
        <w:rPr>
          <w:rFonts w:ascii="Arial" w:cs="Arial" w:eastAsia="Arial" w:hAnsi="Arial"/>
          <w:sz w:val="12"/>
          <w:szCs w:val="12"/>
          <w:color w:val="auto"/>
        </w:rPr>
        <w:t>We question convention, others, and ourselves.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Climb the wall: </w:t>
      </w:r>
      <w:r>
        <w:rPr>
          <w:rFonts w:ascii="Arial" w:cs="Arial" w:eastAsia="Arial" w:hAnsi="Arial"/>
          <w:sz w:val="12"/>
          <w:szCs w:val="12"/>
          <w:color w:val="auto"/>
        </w:rPr>
        <w:t>If an obstacle arises, we focus on finding the best solution to overcome that obstacle.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Sweat the details: </w:t>
      </w:r>
      <w:r>
        <w:rPr>
          <w:rFonts w:ascii="Arial" w:cs="Arial" w:eastAsia="Arial" w:hAnsi="Arial"/>
          <w:sz w:val="12"/>
          <w:szCs w:val="12"/>
          <w:color w:val="auto"/>
        </w:rPr>
        <w:t>We are thorough, we follow facts not stories, and we accept and learn from mistakes.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Evolve or die: </w:t>
      </w:r>
      <w:r>
        <w:rPr>
          <w:rFonts w:ascii="Arial" w:cs="Arial" w:eastAsia="Arial" w:hAnsi="Arial"/>
          <w:sz w:val="12"/>
          <w:szCs w:val="12"/>
          <w:color w:val="auto"/>
        </w:rPr>
        <w:t>“It’s working now” is never satisfactory.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Vants and Pipeline</w:t>
      </w:r>
    </w:p>
    <w:p>
      <w:pPr>
        <w:spacing w:after="0" w:line="8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Today, we have 14 Vants. We plan to create additional Vants based on the outputs of the Roivant platform, including our in-licensing efforts and our small molecule discovery engine, Roivant Discovery. The following table summarizes our Vants.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72"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2"/>
              </w:rPr>
              <w:t>Roivant</w:t>
            </w: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gridSpan w:val="4"/>
          </w:tcPr>
          <w:p>
            <w:pPr>
              <w:jc w:val="center"/>
              <w:ind w:right="80"/>
              <w:spacing w:after="0" w:line="99" w:lineRule="exact"/>
              <w:rPr>
                <w:sz w:val="20"/>
                <w:szCs w:val="20"/>
                <w:color w:val="auto"/>
              </w:rPr>
            </w:pPr>
            <w:r>
              <w:rPr>
                <w:rFonts w:ascii="Arial" w:cs="Arial" w:eastAsia="Arial" w:hAnsi="Arial"/>
                <w:sz w:val="10"/>
                <w:szCs w:val="10"/>
                <w:b w:val="1"/>
                <w:bCs w:val="1"/>
                <w:color w:val="auto"/>
                <w:w w:val="85"/>
              </w:rPr>
              <w:t>Ownership at</w:t>
            </w: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Vant</w:t>
            </w:r>
          </w:p>
        </w:tc>
        <w:tc>
          <w:tcPr>
            <w:tcW w:w="7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2"/>
              </w:rPr>
              <w:t>June 30, 2021</w:t>
            </w:r>
          </w:p>
        </w:tc>
        <w:tc>
          <w:tcPr>
            <w:tcW w:w="11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Description</w:t>
            </w:r>
          </w:p>
        </w:tc>
        <w:tc>
          <w:tcPr>
            <w:tcW w:w="13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98"/>
              </w:rPr>
              <w:t>Lead Program / Mechanism</w:t>
            </w:r>
          </w:p>
        </w:tc>
        <w:tc>
          <w:tcPr>
            <w:tcW w:w="74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Modality</w:t>
            </w:r>
          </w:p>
        </w:tc>
        <w:tc>
          <w:tcPr>
            <w:tcW w:w="160" w:type="dxa"/>
            <w:vAlign w:val="bottom"/>
          </w:tcPr>
          <w:p>
            <w:pPr>
              <w:spacing w:after="0"/>
              <w:rPr>
                <w:sz w:val="9"/>
                <w:szCs w:val="9"/>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Indication(s) / Phase</w:t>
            </w:r>
          </w:p>
        </w:tc>
        <w:tc>
          <w:tcPr>
            <w:tcW w:w="140" w:type="dxa"/>
            <w:vAlign w:val="bottom"/>
          </w:tcPr>
          <w:p>
            <w:pPr>
              <w:spacing w:after="0"/>
              <w:rPr>
                <w:sz w:val="9"/>
                <w:szCs w:val="9"/>
                <w:color w:val="auto"/>
              </w:rPr>
            </w:pPr>
          </w:p>
        </w:tc>
        <w:tc>
          <w:tcPr>
            <w:tcW w:w="110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Upcoming Milestones</w:t>
            </w:r>
          </w:p>
        </w:tc>
        <w:tc>
          <w:tcPr>
            <w:tcW w:w="0" w:type="dxa"/>
            <w:vAlign w:val="bottom"/>
          </w:tcPr>
          <w:p>
            <w:pPr>
              <w:spacing w:after="0"/>
              <w:rPr>
                <w:sz w:val="1"/>
                <w:szCs w:val="1"/>
                <w:color w:val="auto"/>
              </w:rPr>
            </w:pPr>
          </w:p>
        </w:tc>
      </w:tr>
      <w:tr>
        <w:trPr>
          <w:trHeight w:val="79"/>
        </w:trPr>
        <w:tc>
          <w:tcPr>
            <w:tcW w:w="680" w:type="dxa"/>
            <w:vAlign w:val="bottom"/>
            <w:gridSpan w:val="2"/>
            <w:vMerge w:val="continue"/>
          </w:tcPr>
          <w:p>
            <w:pPr>
              <w:spacing w:after="0"/>
              <w:rPr>
                <w:sz w:val="6"/>
                <w:szCs w:val="6"/>
                <w:color w:val="auto"/>
              </w:rPr>
            </w:pPr>
          </w:p>
        </w:tc>
        <w:tc>
          <w:tcPr>
            <w:tcW w:w="360" w:type="dxa"/>
            <w:vAlign w:val="bottom"/>
            <w:tcBorders>
              <w:top w:val="single" w:sz="8" w:color="auto"/>
            </w:tcBorders>
            <w:gridSpan w:val="2"/>
          </w:tcPr>
          <w:p>
            <w:pPr>
              <w:ind w:left="40"/>
              <w:spacing w:after="0" w:line="70" w:lineRule="exact"/>
              <w:rPr>
                <w:sz w:val="20"/>
                <w:szCs w:val="20"/>
                <w:color w:val="auto"/>
              </w:rPr>
            </w:pPr>
            <w:r>
              <w:rPr>
                <w:rFonts w:ascii="Arial" w:cs="Arial" w:eastAsia="Arial" w:hAnsi="Arial"/>
                <w:sz w:val="8"/>
                <w:szCs w:val="8"/>
                <w:b w:val="1"/>
                <w:bCs w:val="1"/>
                <w:color w:val="auto"/>
              </w:rPr>
              <w:t>Basic</w:t>
            </w:r>
          </w:p>
        </w:tc>
        <w:tc>
          <w:tcPr>
            <w:tcW w:w="300" w:type="dxa"/>
            <w:vAlign w:val="bottom"/>
            <w:tcBorders>
              <w:top w:val="single" w:sz="8" w:color="auto"/>
            </w:tcBorders>
          </w:tcPr>
          <w:p>
            <w:pPr>
              <w:spacing w:after="0" w:line="70" w:lineRule="exact"/>
              <w:rPr>
                <w:sz w:val="20"/>
                <w:szCs w:val="20"/>
                <w:color w:val="auto"/>
              </w:rPr>
            </w:pPr>
            <w:r>
              <w:rPr>
                <w:rFonts w:ascii="Arial" w:cs="Arial" w:eastAsia="Arial" w:hAnsi="Arial"/>
                <w:sz w:val="8"/>
                <w:szCs w:val="8"/>
                <w:b w:val="1"/>
                <w:bCs w:val="1"/>
                <w:color w:val="auto"/>
              </w:rPr>
              <w:t>Diluted</w:t>
            </w: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80" w:type="dxa"/>
            <w:vAlign w:val="bottom"/>
            <w:gridSpan w:val="2"/>
          </w:tcPr>
          <w:p>
            <w:pPr>
              <w:spacing w:after="0" w:line="122" w:lineRule="exact"/>
              <w:rPr>
                <w:sz w:val="20"/>
                <w:szCs w:val="20"/>
                <w:color w:val="auto"/>
              </w:rPr>
            </w:pPr>
            <w:r>
              <w:rPr>
                <w:rFonts w:ascii="Arial" w:cs="Arial" w:eastAsia="Arial" w:hAnsi="Arial"/>
                <w:sz w:val="12"/>
                <w:szCs w:val="12"/>
                <w:color w:val="auto"/>
              </w:rPr>
              <w:t>Dermavant</w:t>
            </w:r>
          </w:p>
        </w:tc>
        <w:tc>
          <w:tcPr>
            <w:tcW w:w="280" w:type="dxa"/>
            <w:vAlign w:val="bottom"/>
          </w:tcPr>
          <w:p>
            <w:pPr>
              <w:spacing w:after="0" w:line="122" w:lineRule="exact"/>
              <w:rPr>
                <w:sz w:val="20"/>
                <w:szCs w:val="20"/>
                <w:color w:val="auto"/>
              </w:rPr>
            </w:pPr>
            <w:r>
              <w:rPr>
                <w:rFonts w:ascii="Arial" w:cs="Arial" w:eastAsia="Arial" w:hAnsi="Arial"/>
                <w:sz w:val="12"/>
                <w:szCs w:val="12"/>
                <w:color w:val="auto"/>
                <w:w w:val="84"/>
              </w:rPr>
              <w:t>100%</w:t>
            </w:r>
          </w:p>
        </w:tc>
        <w:tc>
          <w:tcPr>
            <w:tcW w:w="80" w:type="dxa"/>
            <w:vAlign w:val="bottom"/>
          </w:tcPr>
          <w:p>
            <w:pPr>
              <w:spacing w:after="0"/>
              <w:rPr>
                <w:sz w:val="10"/>
                <w:szCs w:val="10"/>
                <w:color w:val="auto"/>
              </w:rPr>
            </w:pPr>
          </w:p>
        </w:tc>
        <w:tc>
          <w:tcPr>
            <w:tcW w:w="300" w:type="dxa"/>
            <w:vAlign w:val="bottom"/>
          </w:tcPr>
          <w:p>
            <w:pPr>
              <w:spacing w:after="0" w:line="122" w:lineRule="exact"/>
              <w:rPr>
                <w:sz w:val="20"/>
                <w:szCs w:val="20"/>
                <w:color w:val="auto"/>
              </w:rPr>
            </w:pPr>
            <w:r>
              <w:rPr>
                <w:rFonts w:ascii="Arial" w:cs="Arial" w:eastAsia="Arial" w:hAnsi="Arial"/>
                <w:sz w:val="12"/>
                <w:szCs w:val="12"/>
                <w:color w:val="auto"/>
              </w:rPr>
              <w:t>84%</w:t>
            </w:r>
          </w:p>
        </w:tc>
        <w:tc>
          <w:tcPr>
            <w:tcW w:w="80" w:type="dxa"/>
            <w:vAlign w:val="bottom"/>
          </w:tcPr>
          <w:p>
            <w:pPr>
              <w:spacing w:after="0"/>
              <w:rPr>
                <w:sz w:val="10"/>
                <w:szCs w:val="10"/>
                <w:color w:val="auto"/>
              </w:rPr>
            </w:pPr>
          </w:p>
        </w:tc>
        <w:tc>
          <w:tcPr>
            <w:tcW w:w="1100" w:type="dxa"/>
            <w:vAlign w:val="bottom"/>
          </w:tcPr>
          <w:p>
            <w:pPr>
              <w:spacing w:after="0" w:line="122" w:lineRule="exact"/>
              <w:rPr>
                <w:sz w:val="20"/>
                <w:szCs w:val="20"/>
                <w:color w:val="auto"/>
              </w:rPr>
            </w:pPr>
            <w:r>
              <w:rPr>
                <w:rFonts w:ascii="Arial" w:cs="Arial" w:eastAsia="Arial" w:hAnsi="Arial"/>
                <w:sz w:val="12"/>
                <w:szCs w:val="12"/>
                <w:color w:val="auto"/>
                <w:w w:val="89"/>
              </w:rPr>
              <w:t>Developing treatments</w:t>
            </w:r>
          </w:p>
        </w:tc>
        <w:tc>
          <w:tcPr>
            <w:tcW w:w="60" w:type="dxa"/>
            <w:vAlign w:val="bottom"/>
          </w:tcPr>
          <w:p>
            <w:pPr>
              <w:spacing w:after="0"/>
              <w:rPr>
                <w:sz w:val="10"/>
                <w:szCs w:val="10"/>
                <w:color w:val="auto"/>
              </w:rPr>
            </w:pPr>
          </w:p>
        </w:tc>
        <w:tc>
          <w:tcPr>
            <w:tcW w:w="1320" w:type="dxa"/>
            <w:vAlign w:val="bottom"/>
          </w:tcPr>
          <w:p>
            <w:pPr>
              <w:spacing w:after="0" w:line="122" w:lineRule="exact"/>
              <w:rPr>
                <w:sz w:val="20"/>
                <w:szCs w:val="20"/>
                <w:color w:val="auto"/>
              </w:rPr>
            </w:pPr>
            <w:r>
              <w:rPr>
                <w:rFonts w:ascii="Arial" w:cs="Arial" w:eastAsia="Arial" w:hAnsi="Arial"/>
                <w:sz w:val="12"/>
                <w:szCs w:val="12"/>
                <w:color w:val="auto"/>
              </w:rPr>
              <w:t>Tapinarof / Therapeutic</w:t>
            </w:r>
          </w:p>
        </w:tc>
        <w:tc>
          <w:tcPr>
            <w:tcW w:w="60" w:type="dxa"/>
            <w:vAlign w:val="bottom"/>
          </w:tcPr>
          <w:p>
            <w:pPr>
              <w:spacing w:after="0"/>
              <w:rPr>
                <w:sz w:val="10"/>
                <w:szCs w:val="10"/>
                <w:color w:val="auto"/>
              </w:rPr>
            </w:pPr>
          </w:p>
        </w:tc>
        <w:tc>
          <w:tcPr>
            <w:tcW w:w="660" w:type="dxa"/>
            <w:vAlign w:val="bottom"/>
          </w:tcPr>
          <w:p>
            <w:pPr>
              <w:ind w:left="20"/>
              <w:spacing w:after="0" w:line="122" w:lineRule="exact"/>
              <w:rPr>
                <w:sz w:val="20"/>
                <w:szCs w:val="20"/>
                <w:color w:val="auto"/>
              </w:rPr>
            </w:pPr>
            <w:r>
              <w:rPr>
                <w:rFonts w:ascii="Arial" w:cs="Arial" w:eastAsia="Arial" w:hAnsi="Arial"/>
                <w:sz w:val="12"/>
                <w:szCs w:val="12"/>
                <w:color w:val="auto"/>
              </w:rPr>
              <w:t>Topical</w:t>
            </w:r>
          </w:p>
        </w:tc>
        <w:tc>
          <w:tcPr>
            <w:tcW w:w="80" w:type="dxa"/>
            <w:vAlign w:val="bottom"/>
          </w:tcPr>
          <w:p>
            <w:pPr>
              <w:spacing w:after="0"/>
              <w:rPr>
                <w:sz w:val="10"/>
                <w:szCs w:val="10"/>
                <w:color w:val="auto"/>
              </w:rPr>
            </w:pPr>
          </w:p>
        </w:tc>
        <w:tc>
          <w:tcPr>
            <w:tcW w:w="160" w:type="dxa"/>
            <w:vAlign w:val="bottom"/>
          </w:tcPr>
          <w:p>
            <w:pPr>
              <w:ind w:left="60"/>
              <w:spacing w:after="0" w:line="122" w:lineRule="exact"/>
              <w:rPr>
                <w:sz w:val="20"/>
                <w:szCs w:val="20"/>
                <w:color w:val="auto"/>
              </w:rPr>
            </w:pPr>
            <w:r>
              <w:rPr>
                <w:rFonts w:ascii="Arial" w:cs="Arial" w:eastAsia="Arial" w:hAnsi="Arial"/>
                <w:sz w:val="12"/>
                <w:szCs w:val="12"/>
                <w:color w:val="auto"/>
              </w:rPr>
              <w:t>•</w:t>
            </w:r>
          </w:p>
        </w:tc>
        <w:tc>
          <w:tcPr>
            <w:tcW w:w="1160" w:type="dxa"/>
            <w:vAlign w:val="bottom"/>
          </w:tcPr>
          <w:p>
            <w:pPr>
              <w:ind w:left="60"/>
              <w:spacing w:after="0" w:line="122" w:lineRule="exact"/>
              <w:rPr>
                <w:sz w:val="20"/>
                <w:szCs w:val="20"/>
                <w:color w:val="auto"/>
              </w:rPr>
            </w:pPr>
            <w:r>
              <w:rPr>
                <w:rFonts w:ascii="Arial" w:cs="Arial" w:eastAsia="Arial" w:hAnsi="Arial"/>
                <w:sz w:val="12"/>
                <w:szCs w:val="12"/>
                <w:color w:val="auto"/>
                <w:w w:val="90"/>
              </w:rPr>
              <w:t>Psoriasis /Registration</w:t>
            </w:r>
          </w:p>
        </w:tc>
        <w:tc>
          <w:tcPr>
            <w:tcW w:w="80" w:type="dxa"/>
            <w:vAlign w:val="bottom"/>
          </w:tcPr>
          <w:p>
            <w:pPr>
              <w:spacing w:after="0"/>
              <w:rPr>
                <w:sz w:val="10"/>
                <w:szCs w:val="10"/>
                <w:color w:val="auto"/>
              </w:rPr>
            </w:pPr>
          </w:p>
        </w:tc>
        <w:tc>
          <w:tcPr>
            <w:tcW w:w="140" w:type="dxa"/>
            <w:vAlign w:val="bottom"/>
          </w:tcPr>
          <w:p>
            <w:pPr>
              <w:ind w:left="60"/>
              <w:spacing w:after="0" w:line="122" w:lineRule="exact"/>
              <w:rPr>
                <w:sz w:val="20"/>
                <w:szCs w:val="20"/>
                <w:color w:val="auto"/>
              </w:rPr>
            </w:pPr>
            <w:r>
              <w:rPr>
                <w:rFonts w:ascii="Arial" w:cs="Arial" w:eastAsia="Arial" w:hAnsi="Arial"/>
                <w:sz w:val="12"/>
                <w:szCs w:val="12"/>
                <w:color w:val="auto"/>
              </w:rPr>
              <w:t>•</w:t>
            </w:r>
          </w:p>
        </w:tc>
        <w:tc>
          <w:tcPr>
            <w:tcW w:w="1100" w:type="dxa"/>
            <w:vAlign w:val="bottom"/>
          </w:tcPr>
          <w:p>
            <w:pPr>
              <w:ind w:left="80"/>
              <w:spacing w:after="0" w:line="122" w:lineRule="exact"/>
              <w:rPr>
                <w:sz w:val="20"/>
                <w:szCs w:val="20"/>
                <w:color w:val="auto"/>
              </w:rPr>
            </w:pPr>
            <w:r>
              <w:rPr>
                <w:rFonts w:ascii="Arial" w:cs="Arial" w:eastAsia="Arial" w:hAnsi="Arial"/>
                <w:sz w:val="12"/>
                <w:szCs w:val="12"/>
                <w:color w:val="auto"/>
              </w:rPr>
              <w:t>Q2 ‘22: FDA</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for unmet needs in</w:t>
            </w:r>
          </w:p>
        </w:tc>
        <w:tc>
          <w:tcPr>
            <w:tcW w:w="1380" w:type="dxa"/>
            <w:vAlign w:val="bottom"/>
            <w:gridSpan w:val="2"/>
          </w:tcPr>
          <w:p>
            <w:pPr>
              <w:spacing w:after="0"/>
              <w:rPr>
                <w:sz w:val="20"/>
                <w:szCs w:val="20"/>
                <w:color w:val="auto"/>
              </w:rPr>
            </w:pPr>
            <w:r>
              <w:rPr>
                <w:rFonts w:ascii="Arial" w:cs="Arial" w:eastAsia="Arial" w:hAnsi="Arial"/>
                <w:sz w:val="12"/>
                <w:szCs w:val="12"/>
                <w:color w:val="auto"/>
                <w:w w:val="99"/>
              </w:rPr>
              <w:t>aryl hydrocarbon receptor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color w:val="auto"/>
              </w:rPr>
              <w:t>Atopic dermatitis /</w:t>
            </w: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w w:val="89"/>
              </w:rPr>
              <w:t>approval decision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2"/>
                <w:szCs w:val="12"/>
                <w:color w:val="auto"/>
              </w:rPr>
              <w:t>immuno-dermatology</w:t>
            </w:r>
          </w:p>
        </w:tc>
        <w:tc>
          <w:tcPr>
            <w:tcW w:w="1380" w:type="dxa"/>
            <w:vAlign w:val="bottom"/>
            <w:gridSpan w:val="2"/>
            <w:vMerge w:val="restart"/>
          </w:tcPr>
          <w:p>
            <w:pPr>
              <w:spacing w:after="0"/>
              <w:rPr>
                <w:sz w:val="20"/>
                <w:szCs w:val="20"/>
                <w:color w:val="auto"/>
              </w:rPr>
            </w:pPr>
            <w:r>
              <w:rPr>
                <w:rFonts w:ascii="Arial" w:cs="Arial" w:eastAsia="Arial" w:hAnsi="Arial"/>
                <w:sz w:val="12"/>
                <w:szCs w:val="12"/>
                <w:color w:val="auto"/>
              </w:rPr>
              <w:t>modulating agent</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restart"/>
          </w:tcPr>
          <w:p>
            <w:pPr>
              <w:ind w:left="100"/>
              <w:spacing w:after="0"/>
              <w:rPr>
                <w:sz w:val="20"/>
                <w:szCs w:val="20"/>
                <w:color w:val="auto"/>
              </w:rPr>
            </w:pPr>
            <w:r>
              <w:rPr>
                <w:rFonts w:ascii="Arial" w:cs="Arial" w:eastAsia="Arial" w:hAnsi="Arial"/>
                <w:sz w:val="12"/>
                <w:szCs w:val="12"/>
                <w:color w:val="auto"/>
              </w:rPr>
              <w:t>Tapinarof for</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color w:val="auto"/>
              </w:rPr>
              <w:t>Phase 3</w:t>
            </w: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restart"/>
          </w:tcPr>
          <w:p>
            <w:pPr>
              <w:ind w:left="100"/>
              <w:spacing w:after="0"/>
              <w:rPr>
                <w:sz w:val="20"/>
                <w:szCs w:val="20"/>
                <w:color w:val="auto"/>
              </w:rPr>
            </w:pPr>
            <w:r>
              <w:rPr>
                <w:rFonts w:ascii="Arial" w:cs="Arial" w:eastAsia="Arial" w:hAnsi="Arial"/>
                <w:sz w:val="12"/>
                <w:szCs w:val="12"/>
                <w:color w:val="auto"/>
              </w:rPr>
              <w:t>psoriasis</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ind w:left="80"/>
              <w:spacing w:after="0"/>
              <w:rPr>
                <w:sz w:val="20"/>
                <w:szCs w:val="20"/>
                <w:color w:val="auto"/>
              </w:rPr>
            </w:pPr>
            <w:r>
              <w:rPr>
                <w:rFonts w:ascii="Arial" w:cs="Arial" w:eastAsia="Arial" w:hAnsi="Arial"/>
                <w:sz w:val="12"/>
                <w:szCs w:val="12"/>
                <w:color w:val="auto"/>
              </w:rPr>
              <w:t>1H ‘23: Topline</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Phase 3 data in</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atopic dermatitis</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Arial" w:cs="Arial" w:eastAsia="Arial" w:hAnsi="Arial"/>
                <w:sz w:val="12"/>
                <w:szCs w:val="12"/>
                <w:color w:val="auto"/>
                <w:w w:val="99"/>
              </w:rPr>
              <w:t>Immunovant</w:t>
            </w:r>
          </w:p>
        </w:tc>
        <w:tc>
          <w:tcPr>
            <w:tcW w:w="280" w:type="dxa"/>
            <w:vAlign w:val="bottom"/>
          </w:tcPr>
          <w:p>
            <w:pPr>
              <w:spacing w:after="0"/>
              <w:rPr>
                <w:sz w:val="20"/>
                <w:szCs w:val="20"/>
                <w:color w:val="auto"/>
              </w:rPr>
            </w:pPr>
            <w:r>
              <w:rPr>
                <w:rFonts w:ascii="Arial" w:cs="Arial" w:eastAsia="Arial" w:hAnsi="Arial"/>
                <w:sz w:val="12"/>
                <w:szCs w:val="12"/>
                <w:color w:val="auto"/>
                <w:w w:val="90"/>
              </w:rPr>
              <w:t>58%*</w:t>
            </w:r>
          </w:p>
        </w:tc>
        <w:tc>
          <w:tcPr>
            <w:tcW w:w="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2"/>
                <w:szCs w:val="12"/>
                <w:color w:val="auto"/>
                <w:w w:val="97"/>
              </w:rPr>
              <w:t>53%*</w:t>
            </w: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Developing an anti-</w:t>
            </w:r>
          </w:p>
        </w:tc>
        <w:tc>
          <w:tcPr>
            <w:tcW w:w="1380" w:type="dxa"/>
            <w:vAlign w:val="bottom"/>
            <w:gridSpan w:val="2"/>
          </w:tcPr>
          <w:p>
            <w:pPr>
              <w:spacing w:after="0"/>
              <w:rPr>
                <w:sz w:val="20"/>
                <w:szCs w:val="20"/>
                <w:color w:val="auto"/>
              </w:rPr>
            </w:pPr>
            <w:r>
              <w:rPr>
                <w:rFonts w:ascii="Arial" w:cs="Arial" w:eastAsia="Arial" w:hAnsi="Arial"/>
                <w:sz w:val="12"/>
                <w:szCs w:val="12"/>
                <w:color w:val="auto"/>
              </w:rPr>
              <w:t>IMVT-1401 / Anti-FcRn</w:t>
            </w: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Biologic</w:t>
            </w: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ind w:left="60"/>
              <w:spacing w:after="0"/>
              <w:rPr>
                <w:sz w:val="20"/>
                <w:szCs w:val="20"/>
                <w:color w:val="auto"/>
              </w:rPr>
            </w:pPr>
            <w:r>
              <w:rPr>
                <w:rFonts w:ascii="Arial" w:cs="Arial" w:eastAsia="Arial" w:hAnsi="Arial"/>
                <w:sz w:val="12"/>
                <w:szCs w:val="12"/>
                <w:color w:val="auto"/>
              </w:rPr>
              <w:t>Myasthenia gravis,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ind w:left="80"/>
              <w:spacing w:after="0"/>
              <w:rPr>
                <w:sz w:val="20"/>
                <w:szCs w:val="20"/>
                <w:color w:val="auto"/>
              </w:rPr>
            </w:pPr>
            <w:r>
              <w:rPr>
                <w:rFonts w:ascii="Arial" w:cs="Arial" w:eastAsia="Arial" w:hAnsi="Arial"/>
                <w:sz w:val="12"/>
                <w:szCs w:val="12"/>
                <w:color w:val="auto"/>
              </w:rPr>
              <w:t>Early 2022: Initiate</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FcRn monoclonal</w:t>
            </w:r>
          </w:p>
        </w:tc>
        <w:tc>
          <w:tcPr>
            <w:tcW w:w="1380" w:type="dxa"/>
            <w:vAlign w:val="bottom"/>
            <w:gridSpan w:val="2"/>
          </w:tcPr>
          <w:p>
            <w:pPr>
              <w:spacing w:after="0"/>
              <w:rPr>
                <w:sz w:val="20"/>
                <w:szCs w:val="20"/>
                <w:color w:val="auto"/>
              </w:rPr>
            </w:pPr>
            <w:r>
              <w:rPr>
                <w:rFonts w:ascii="Arial" w:cs="Arial" w:eastAsia="Arial" w:hAnsi="Arial"/>
                <w:sz w:val="12"/>
                <w:szCs w:val="12"/>
                <w:color w:val="auto"/>
              </w:rPr>
              <w:t>monoclonal antibody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thyroid eye disease,</w:t>
            </w: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pivotal trial in MG</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antibody for</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and warm</w:t>
            </w: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ind w:left="80"/>
              <w:spacing w:after="0"/>
              <w:rPr>
                <w:sz w:val="20"/>
                <w:szCs w:val="20"/>
                <w:color w:val="auto"/>
              </w:rPr>
            </w:pPr>
            <w:r>
              <w:rPr>
                <w:rFonts w:ascii="Arial" w:cs="Arial" w:eastAsia="Arial" w:hAnsi="Arial"/>
                <w:sz w:val="12"/>
                <w:szCs w:val="12"/>
                <w:color w:val="auto"/>
              </w:rPr>
              <w:t>TBA: Reinitiate</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2"/>
                <w:szCs w:val="12"/>
                <w:color w:val="auto"/>
              </w:rPr>
              <w:t>IgG-mediated</w:t>
            </w: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color w:val="auto"/>
              </w:rPr>
              <w:t>autoimmune</w:t>
            </w:r>
          </w:p>
        </w:tc>
        <w:tc>
          <w:tcPr>
            <w:tcW w:w="1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ind w:left="100"/>
              <w:spacing w:after="0"/>
              <w:rPr>
                <w:sz w:val="20"/>
                <w:szCs w:val="20"/>
                <w:color w:val="auto"/>
              </w:rPr>
            </w:pPr>
            <w:r>
              <w:rPr>
                <w:rFonts w:ascii="Arial" w:cs="Arial" w:eastAsia="Arial" w:hAnsi="Arial"/>
                <w:sz w:val="12"/>
                <w:szCs w:val="12"/>
                <w:color w:val="auto"/>
              </w:rPr>
              <w:t>program in TED</w:t>
            </w: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2"/>
                <w:szCs w:val="12"/>
                <w:color w:val="auto"/>
                <w:w w:val="97"/>
              </w:rPr>
              <w:t>autoimmune diseases</w:t>
            </w: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color w:val="auto"/>
              </w:rPr>
              <w:t>hemolytic anemia /</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Phase 2</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ind w:left="80"/>
              <w:spacing w:after="0"/>
              <w:rPr>
                <w:sz w:val="20"/>
                <w:szCs w:val="20"/>
                <w:color w:val="auto"/>
              </w:rPr>
            </w:pPr>
            <w:r>
              <w:rPr>
                <w:rFonts w:ascii="Arial" w:cs="Arial" w:eastAsia="Arial" w:hAnsi="Arial"/>
                <w:sz w:val="12"/>
                <w:szCs w:val="12"/>
                <w:color w:val="auto"/>
              </w:rPr>
              <w:t>TBA: Reinitiate</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w w:val="97"/>
              </w:rPr>
              <w:t>program in WAIHA</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color w:val="auto"/>
                <w:w w:val="96"/>
              </w:rPr>
              <w:t>•  2H ‘22: Announce at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least two new</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indications for</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IMVT-1401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280" w:type="dxa"/>
            <w:vAlign w:val="bottom"/>
          </w:tcPr>
          <w:p>
            <w:pPr>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Developing</w:t>
            </w:r>
          </w:p>
        </w:tc>
        <w:tc>
          <w:tcPr>
            <w:tcW w:w="1380" w:type="dxa"/>
            <w:vAlign w:val="bottom"/>
            <w:gridSpan w:val="2"/>
          </w:tcPr>
          <w:p>
            <w:pPr>
              <w:spacing w:after="0"/>
              <w:rPr>
                <w:sz w:val="20"/>
                <w:szCs w:val="20"/>
                <w:color w:val="auto"/>
              </w:rPr>
            </w:pPr>
            <w:r>
              <w:rPr>
                <w:rFonts w:ascii="Arial" w:cs="Arial" w:eastAsia="Arial" w:hAnsi="Arial"/>
                <w:sz w:val="12"/>
                <w:szCs w:val="12"/>
                <w:color w:val="auto"/>
              </w:rPr>
              <w:t>ARU-1801 / Ex vivo</w:t>
            </w:r>
          </w:p>
        </w:tc>
        <w:tc>
          <w:tcPr>
            <w:tcW w:w="740" w:type="dxa"/>
            <w:vAlign w:val="bottom"/>
            <w:gridSpan w:val="2"/>
          </w:tcPr>
          <w:p>
            <w:pPr>
              <w:ind w:left="20"/>
              <w:spacing w:after="0"/>
              <w:rPr>
                <w:sz w:val="20"/>
                <w:szCs w:val="20"/>
                <w:color w:val="auto"/>
              </w:rPr>
            </w:pPr>
            <w:r>
              <w:rPr>
                <w:rFonts w:ascii="Arial" w:cs="Arial" w:eastAsia="Arial" w:hAnsi="Arial"/>
                <w:sz w:val="12"/>
                <w:szCs w:val="12"/>
                <w:color w:val="auto"/>
                <w:w w:val="96"/>
              </w:rPr>
              <w:t>Gene therapy</w:t>
            </w: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ind w:left="60"/>
              <w:spacing w:after="0"/>
              <w:rPr>
                <w:sz w:val="20"/>
                <w:szCs w:val="20"/>
                <w:color w:val="auto"/>
              </w:rPr>
            </w:pPr>
            <w:r>
              <w:rPr>
                <w:rFonts w:ascii="Arial" w:cs="Arial" w:eastAsia="Arial" w:hAnsi="Arial"/>
                <w:sz w:val="12"/>
                <w:szCs w:val="12"/>
                <w:color w:val="auto"/>
              </w:rPr>
              <w:t>Sickle cell disease /</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ind w:left="80"/>
              <w:spacing w:after="0"/>
              <w:rPr>
                <w:sz w:val="20"/>
                <w:szCs w:val="20"/>
                <w:color w:val="auto"/>
              </w:rPr>
            </w:pPr>
            <w:r>
              <w:rPr>
                <w:rFonts w:ascii="Arial" w:cs="Arial" w:eastAsia="Arial" w:hAnsi="Arial"/>
                <w:sz w:val="12"/>
                <w:szCs w:val="12"/>
                <w:color w:val="auto"/>
              </w:rPr>
              <w:t>2H ‘21: Ongoing</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transformative gene</w:t>
            </w:r>
          </w:p>
        </w:tc>
        <w:tc>
          <w:tcPr>
            <w:tcW w:w="1380" w:type="dxa"/>
            <w:vAlign w:val="bottom"/>
            <w:gridSpan w:val="2"/>
          </w:tcPr>
          <w:p>
            <w:pPr>
              <w:spacing w:after="0"/>
              <w:rPr>
                <w:sz w:val="20"/>
                <w:szCs w:val="20"/>
                <w:color w:val="auto"/>
              </w:rPr>
            </w:pPr>
            <w:r>
              <w:rPr>
                <w:rFonts w:ascii="Arial" w:cs="Arial" w:eastAsia="Arial" w:hAnsi="Arial"/>
                <w:sz w:val="12"/>
                <w:szCs w:val="12"/>
                <w:color w:val="auto"/>
              </w:rPr>
              <w:t>lentiviral gene therapy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Phase 1/2</w:t>
            </w: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new patient and</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therapies for severe</w:t>
            </w:r>
          </w:p>
        </w:tc>
        <w:tc>
          <w:tcPr>
            <w:tcW w:w="1380" w:type="dxa"/>
            <w:vAlign w:val="bottom"/>
            <w:gridSpan w:val="2"/>
          </w:tcPr>
          <w:p>
            <w:pPr>
              <w:spacing w:after="0"/>
              <w:rPr>
                <w:sz w:val="20"/>
                <w:szCs w:val="20"/>
                <w:color w:val="auto"/>
              </w:rPr>
            </w:pPr>
            <w:r>
              <w:rPr>
                <w:rFonts w:ascii="Arial" w:cs="Arial" w:eastAsia="Arial" w:hAnsi="Arial"/>
                <w:sz w:val="12"/>
                <w:szCs w:val="12"/>
                <w:color w:val="auto"/>
              </w:rPr>
              <w:t>delivering a novel, highly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w w:val="96"/>
              </w:rPr>
              <w:t>follow up data from</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blood disorders</w:t>
            </w:r>
          </w:p>
        </w:tc>
        <w:tc>
          <w:tcPr>
            <w:tcW w:w="1380" w:type="dxa"/>
            <w:vAlign w:val="bottom"/>
            <w:gridSpan w:val="2"/>
          </w:tcPr>
          <w:p>
            <w:pPr>
              <w:spacing w:after="0"/>
              <w:rPr>
                <w:sz w:val="20"/>
                <w:szCs w:val="20"/>
                <w:color w:val="auto"/>
              </w:rPr>
            </w:pPr>
            <w:r>
              <w:rPr>
                <w:rFonts w:ascii="Arial" w:cs="Arial" w:eastAsia="Arial" w:hAnsi="Arial"/>
                <w:sz w:val="12"/>
                <w:szCs w:val="12"/>
                <w:color w:val="auto"/>
              </w:rPr>
              <w:t>potent variant of fetal</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additional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hemoglobin (HbF)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ARU-1801 Phase</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1/2 patients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ind w:left="80"/>
              <w:spacing w:after="0"/>
              <w:rPr>
                <w:sz w:val="20"/>
                <w:szCs w:val="20"/>
                <w:color w:val="auto"/>
              </w:rPr>
            </w:pPr>
            <w:r>
              <w:rPr>
                <w:rFonts w:ascii="Arial" w:cs="Arial" w:eastAsia="Arial" w:hAnsi="Arial"/>
                <w:sz w:val="12"/>
                <w:szCs w:val="12"/>
                <w:color w:val="auto"/>
              </w:rPr>
              <w:t>1H ‘23: ARU-1801</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2"/>
                <w:szCs w:val="12"/>
                <w:color w:val="auto"/>
              </w:rPr>
              <w:t>Phase 3 initiation</w:t>
            </w: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ind w:left="1000"/>
              <w:spacing w:after="0"/>
              <w:rPr>
                <w:sz w:val="20"/>
                <w:szCs w:val="20"/>
                <w:color w:val="auto"/>
              </w:rPr>
            </w:pPr>
            <w:r>
              <w:rPr>
                <w:rFonts w:ascii="Arial" w:cs="Arial" w:eastAsia="Arial" w:hAnsi="Arial"/>
                <w:sz w:val="12"/>
                <w:szCs w:val="12"/>
                <w:color w:val="auto"/>
              </w:rPr>
              <w:t>140</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4"/>
          </w:tcPr>
          <w:p>
            <w:pPr>
              <w:ind w:left="180"/>
              <w:spacing w:after="0"/>
              <w:rPr>
                <w:sz w:val="20"/>
                <w:szCs w:val="20"/>
                <w:color w:val="auto"/>
              </w:rPr>
            </w:pPr>
            <w:r>
              <w:rPr>
                <w:rFonts w:ascii="Arial" w:cs="Arial" w:eastAsia="Arial" w:hAnsi="Arial"/>
                <w:sz w:val="10"/>
                <w:szCs w:val="10"/>
                <w:b w:val="1"/>
                <w:bCs w:val="1"/>
                <w:color w:val="auto"/>
              </w:rPr>
              <w:t>Roivant</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gridSpan w:val="4"/>
          </w:tcPr>
          <w:p>
            <w:pPr>
              <w:ind w:left="60"/>
              <w:spacing w:after="0" w:line="99" w:lineRule="exact"/>
              <w:rPr>
                <w:sz w:val="20"/>
                <w:szCs w:val="20"/>
                <w:color w:val="auto"/>
              </w:rPr>
            </w:pPr>
            <w:r>
              <w:rPr>
                <w:rFonts w:ascii="Arial" w:cs="Arial" w:eastAsia="Arial" w:hAnsi="Arial"/>
                <w:sz w:val="10"/>
                <w:szCs w:val="10"/>
                <w:b w:val="1"/>
                <w:bCs w:val="1"/>
                <w:color w:val="auto"/>
              </w:rPr>
              <w:t>Ownership at</w:t>
            </w: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Vant</w:t>
            </w:r>
          </w:p>
        </w:tc>
        <w:tc>
          <w:tcPr>
            <w:tcW w:w="760" w:type="dxa"/>
            <w:vAlign w:val="bottom"/>
            <w:gridSpan w:val="4"/>
          </w:tcPr>
          <w:p>
            <w:pPr>
              <w:ind w:left="60"/>
              <w:spacing w:after="0" w:line="114" w:lineRule="exact"/>
              <w:rPr>
                <w:sz w:val="20"/>
                <w:szCs w:val="20"/>
                <w:color w:val="auto"/>
              </w:rPr>
            </w:pPr>
            <w:r>
              <w:rPr>
                <w:rFonts w:ascii="Arial" w:cs="Arial" w:eastAsia="Arial" w:hAnsi="Arial"/>
                <w:sz w:val="10"/>
                <w:szCs w:val="10"/>
                <w:b w:val="1"/>
                <w:bCs w:val="1"/>
                <w:color w:val="auto"/>
              </w:rPr>
              <w:t>June 30, 2021</w:t>
            </w:r>
          </w:p>
        </w:tc>
        <w:tc>
          <w:tcPr>
            <w:tcW w:w="9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Description</w:t>
            </w:r>
          </w:p>
        </w:tc>
        <w:tc>
          <w:tcPr>
            <w:tcW w:w="60" w:type="dxa"/>
            <w:vAlign w:val="bottom"/>
            <w:vMerge w:val="restart"/>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89"/>
              </w:rPr>
              <w:t>Lead Program / Mechanism</w:t>
            </w:r>
          </w:p>
        </w:tc>
        <w:tc>
          <w:tcPr>
            <w:tcW w:w="80" w:type="dxa"/>
            <w:vAlign w:val="bottom"/>
            <w:vMerge w:val="restart"/>
          </w:tcPr>
          <w:p>
            <w:pPr>
              <w:spacing w:after="0"/>
              <w:rPr>
                <w:sz w:val="9"/>
                <w:szCs w:val="9"/>
                <w:color w:val="auto"/>
              </w:rPr>
            </w:pPr>
          </w:p>
        </w:tc>
        <w:tc>
          <w:tcPr>
            <w:tcW w:w="118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Modality</w:t>
            </w:r>
          </w:p>
        </w:tc>
        <w:tc>
          <w:tcPr>
            <w:tcW w:w="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Indication(s) / Phase</w:t>
            </w:r>
          </w:p>
        </w:tc>
        <w:tc>
          <w:tcPr>
            <w:tcW w:w="6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96"/>
              </w:rPr>
              <w:t>Upcoming Milestones</w:t>
            </w: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gridSpan w:val="2"/>
            <w:vMerge w:val="continue"/>
          </w:tcPr>
          <w:p>
            <w:pPr>
              <w:spacing w:after="0"/>
              <w:rPr>
                <w:sz w:val="7"/>
                <w:szCs w:val="7"/>
                <w:color w:val="auto"/>
              </w:rPr>
            </w:pPr>
          </w:p>
        </w:tc>
        <w:tc>
          <w:tcPr>
            <w:tcW w:w="300" w:type="dxa"/>
            <w:vAlign w:val="bottom"/>
            <w:tcBorders>
              <w:top w:val="single" w:sz="8" w:color="auto"/>
              <w:bottom w:val="single" w:sz="8" w:color="auto"/>
            </w:tcBorders>
          </w:tcPr>
          <w:p>
            <w:pPr>
              <w:ind w:left="40"/>
              <w:spacing w:after="0" w:line="70" w:lineRule="exact"/>
              <w:rPr>
                <w:sz w:val="20"/>
                <w:szCs w:val="20"/>
                <w:color w:val="auto"/>
              </w:rPr>
            </w:pPr>
            <w:r>
              <w:rPr>
                <w:rFonts w:ascii="Arial" w:cs="Arial" w:eastAsia="Arial" w:hAnsi="Arial"/>
                <w:sz w:val="8"/>
                <w:szCs w:val="8"/>
                <w:b w:val="1"/>
                <w:bCs w:val="1"/>
                <w:color w:val="auto"/>
              </w:rPr>
              <w:t>Basic</w:t>
            </w: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ind w:left="20"/>
              <w:spacing w:after="0" w:line="70" w:lineRule="exact"/>
              <w:rPr>
                <w:sz w:val="20"/>
                <w:szCs w:val="20"/>
                <w:color w:val="auto"/>
              </w:rPr>
            </w:pPr>
            <w:r>
              <w:rPr>
                <w:rFonts w:ascii="Arial" w:cs="Arial" w:eastAsia="Arial" w:hAnsi="Arial"/>
                <w:sz w:val="8"/>
                <w:szCs w:val="8"/>
                <w:b w:val="1"/>
                <w:bCs w:val="1"/>
                <w:color w:val="auto"/>
              </w:rPr>
              <w:t>Diluted</w:t>
            </w:r>
          </w:p>
        </w:tc>
        <w:tc>
          <w:tcPr>
            <w:tcW w:w="80" w:type="dxa"/>
            <w:vAlign w:val="bottom"/>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80" w:type="dxa"/>
            <w:vAlign w:val="bottom"/>
            <w:gridSpan w:val="2"/>
          </w:tcPr>
          <w:p>
            <w:pPr>
              <w:spacing w:after="0"/>
              <w:rPr>
                <w:sz w:val="20"/>
                <w:szCs w:val="20"/>
                <w:color w:val="auto"/>
              </w:rPr>
            </w:pPr>
            <w:r>
              <w:rPr>
                <w:rFonts w:ascii="Arial" w:cs="Arial" w:eastAsia="Arial" w:hAnsi="Arial"/>
                <w:sz w:val="12"/>
                <w:szCs w:val="12"/>
                <w:color w:val="auto"/>
                <w:w w:val="96"/>
              </w:rPr>
              <w:t>Proteovant</w:t>
            </w:r>
          </w:p>
        </w:tc>
        <w:tc>
          <w:tcPr>
            <w:tcW w:w="300" w:type="dxa"/>
            <w:vAlign w:val="bottom"/>
          </w:tcPr>
          <w:p>
            <w:pPr>
              <w:spacing w:after="0"/>
              <w:rPr>
                <w:sz w:val="20"/>
                <w:szCs w:val="20"/>
                <w:color w:val="auto"/>
              </w:rPr>
            </w:pPr>
            <w:r>
              <w:rPr>
                <w:rFonts w:ascii="Arial" w:cs="Arial" w:eastAsia="Arial" w:hAnsi="Arial"/>
                <w:sz w:val="12"/>
                <w:szCs w:val="12"/>
                <w:color w:val="auto"/>
              </w:rPr>
              <w:t>60%</w:t>
            </w:r>
          </w:p>
        </w:tc>
        <w:tc>
          <w:tcPr>
            <w:tcW w:w="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Developing</w:t>
            </w:r>
          </w:p>
        </w:tc>
        <w:tc>
          <w:tcPr>
            <w:tcW w:w="1320" w:type="dxa"/>
            <w:vAlign w:val="bottom"/>
            <w:gridSpan w:val="2"/>
          </w:tcPr>
          <w:p>
            <w:pPr>
              <w:spacing w:after="0"/>
              <w:rPr>
                <w:sz w:val="20"/>
                <w:szCs w:val="20"/>
                <w:color w:val="auto"/>
              </w:rPr>
            </w:pPr>
            <w:r>
              <w:rPr>
                <w:rFonts w:ascii="Arial" w:cs="Arial" w:eastAsia="Arial" w:hAnsi="Arial"/>
                <w:sz w:val="12"/>
                <w:szCs w:val="12"/>
                <w:color w:val="auto"/>
              </w:rPr>
              <w:t>AR Degrader</w:t>
            </w:r>
          </w:p>
        </w:tc>
        <w:tc>
          <w:tcPr>
            <w:tcW w:w="1240" w:type="dxa"/>
            <w:vAlign w:val="bottom"/>
            <w:gridSpan w:val="2"/>
          </w:tcPr>
          <w:p>
            <w:pPr>
              <w:spacing w:after="0"/>
              <w:rPr>
                <w:sz w:val="20"/>
                <w:szCs w:val="20"/>
                <w:color w:val="auto"/>
              </w:rPr>
            </w:pPr>
            <w:r>
              <w:rPr>
                <w:rFonts w:ascii="Arial" w:cs="Arial" w:eastAsia="Arial" w:hAnsi="Arial"/>
                <w:sz w:val="12"/>
                <w:szCs w:val="12"/>
                <w:color w:val="auto"/>
              </w:rPr>
              <w:t>Small Molecule</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Prostate cancer /</w:t>
            </w:r>
          </w:p>
        </w:tc>
        <w:tc>
          <w:tcPr>
            <w:tcW w:w="120" w:type="dxa"/>
            <w:vAlign w:val="bottom"/>
          </w:tcPr>
          <w:p>
            <w:pPr>
              <w:ind w:left="60"/>
              <w:spacing w:after="0"/>
              <w:rPr>
                <w:sz w:val="20"/>
                <w:szCs w:val="20"/>
                <w:color w:val="auto"/>
              </w:rPr>
            </w:pPr>
            <w:r>
              <w:rPr>
                <w:rFonts w:ascii="Arial" w:cs="Arial" w:eastAsia="Arial" w:hAnsi="Arial"/>
                <w:sz w:val="12"/>
                <w:szCs w:val="12"/>
                <w:color w:val="auto"/>
                <w:w w:val="94"/>
              </w:rPr>
              <w:t>•</w:t>
            </w:r>
          </w:p>
        </w:tc>
        <w:tc>
          <w:tcPr>
            <w:tcW w:w="1060" w:type="dxa"/>
            <w:vAlign w:val="bottom"/>
          </w:tcPr>
          <w:p>
            <w:pPr>
              <w:ind w:left="120"/>
              <w:spacing w:after="0"/>
              <w:rPr>
                <w:sz w:val="20"/>
                <w:szCs w:val="20"/>
                <w:color w:val="auto"/>
              </w:rPr>
            </w:pPr>
            <w:r>
              <w:rPr>
                <w:rFonts w:ascii="Arial" w:cs="Arial" w:eastAsia="Arial" w:hAnsi="Arial"/>
                <w:sz w:val="12"/>
                <w:szCs w:val="12"/>
                <w:color w:val="auto"/>
                <w:w w:val="90"/>
              </w:rPr>
              <w:t>2022: AR degrader</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heterobifunctional</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Preclinical</w:t>
            </w: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Phase 1 initiation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protein degraders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for oncology,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neurology, and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immunology, with</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6"/>
              </w:rPr>
              <w:t>exclusive access to</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VantAI</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300" w:type="dxa"/>
            <w:vAlign w:val="bottom"/>
          </w:tcPr>
          <w:p>
            <w:pPr>
              <w:spacing w:after="0"/>
              <w:rPr>
                <w:sz w:val="20"/>
                <w:szCs w:val="20"/>
                <w:color w:val="auto"/>
              </w:rPr>
            </w:pPr>
            <w:r>
              <w:rPr>
                <w:rFonts w:ascii="Arial" w:cs="Arial" w:eastAsia="Arial" w:hAnsi="Arial"/>
                <w:sz w:val="12"/>
                <w:szCs w:val="12"/>
                <w:color w:val="auto"/>
                <w:w w:val="91"/>
              </w:rPr>
              <w:t>100%</w:t>
            </w:r>
          </w:p>
        </w:tc>
        <w:tc>
          <w:tcPr>
            <w:tcW w:w="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7"/>
              </w:rPr>
              <w:t>Developing a novel</w:t>
            </w:r>
          </w:p>
        </w:tc>
        <w:tc>
          <w:tcPr>
            <w:tcW w:w="1320" w:type="dxa"/>
            <w:vAlign w:val="bottom"/>
            <w:gridSpan w:val="2"/>
          </w:tcPr>
          <w:p>
            <w:pPr>
              <w:spacing w:after="0"/>
              <w:rPr>
                <w:sz w:val="20"/>
                <w:szCs w:val="20"/>
                <w:color w:val="auto"/>
              </w:rPr>
            </w:pPr>
            <w:r>
              <w:rPr>
                <w:rFonts w:ascii="Arial" w:cs="Arial" w:eastAsia="Arial" w:hAnsi="Arial"/>
                <w:sz w:val="12"/>
                <w:szCs w:val="12"/>
                <w:color w:val="auto"/>
              </w:rPr>
              <w:t>LSVT-1701 / Endolysin</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Staph aureus</w:t>
            </w:r>
          </w:p>
        </w:tc>
        <w:tc>
          <w:tcPr>
            <w:tcW w:w="120" w:type="dxa"/>
            <w:vAlign w:val="bottom"/>
          </w:tcPr>
          <w:p>
            <w:pPr>
              <w:ind w:left="60"/>
              <w:spacing w:after="0"/>
              <w:rPr>
                <w:sz w:val="20"/>
                <w:szCs w:val="20"/>
                <w:color w:val="auto"/>
              </w:rPr>
            </w:pPr>
            <w:r>
              <w:rPr>
                <w:rFonts w:ascii="Arial" w:cs="Arial" w:eastAsia="Arial" w:hAnsi="Arial"/>
                <w:sz w:val="12"/>
                <w:szCs w:val="12"/>
                <w:color w:val="auto"/>
                <w:w w:val="94"/>
              </w:rPr>
              <w:t>•</w:t>
            </w:r>
          </w:p>
        </w:tc>
        <w:tc>
          <w:tcPr>
            <w:tcW w:w="1060" w:type="dxa"/>
            <w:vAlign w:val="bottom"/>
          </w:tcPr>
          <w:p>
            <w:pPr>
              <w:ind w:left="120"/>
              <w:spacing w:after="0"/>
              <w:rPr>
                <w:sz w:val="20"/>
                <w:szCs w:val="20"/>
                <w:color w:val="auto"/>
              </w:rPr>
            </w:pPr>
            <w:r>
              <w:rPr>
                <w:rFonts w:ascii="Arial" w:cs="Arial" w:eastAsia="Arial" w:hAnsi="Arial"/>
                <w:sz w:val="12"/>
                <w:szCs w:val="12"/>
                <w:color w:val="auto"/>
              </w:rPr>
              <w:t>1H ‘22: LSVT-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endolysin for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bacteremia and</w:t>
            </w: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1701 MAD</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9"/>
              </w:rPr>
              <w:t>hard-to-treat Staph</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infective</w:t>
            </w: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initiation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aureus infection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endocarditis /</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Phase 1</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300" w:type="dxa"/>
            <w:vAlign w:val="bottom"/>
          </w:tcPr>
          <w:p>
            <w:pPr>
              <w:spacing w:after="0"/>
              <w:rPr>
                <w:sz w:val="20"/>
                <w:szCs w:val="20"/>
                <w:color w:val="auto"/>
              </w:rPr>
            </w:pPr>
            <w:r>
              <w:rPr>
                <w:rFonts w:ascii="Arial" w:cs="Arial" w:eastAsia="Arial" w:hAnsi="Arial"/>
                <w:sz w:val="12"/>
                <w:szCs w:val="12"/>
                <w:color w:val="auto"/>
              </w:rPr>
              <w:t>88%</w:t>
            </w:r>
          </w:p>
        </w:tc>
        <w:tc>
          <w:tcPr>
            <w:tcW w:w="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Developing an</w:t>
            </w:r>
          </w:p>
        </w:tc>
        <w:tc>
          <w:tcPr>
            <w:tcW w:w="1320" w:type="dxa"/>
            <w:vAlign w:val="bottom"/>
            <w:gridSpan w:val="2"/>
          </w:tcPr>
          <w:p>
            <w:pPr>
              <w:spacing w:after="0"/>
              <w:rPr>
                <w:sz w:val="20"/>
                <w:szCs w:val="20"/>
                <w:color w:val="auto"/>
              </w:rPr>
            </w:pPr>
            <w:r>
              <w:rPr>
                <w:rFonts w:ascii="Arial" w:cs="Arial" w:eastAsia="Arial" w:hAnsi="Arial"/>
                <w:sz w:val="12"/>
                <w:szCs w:val="12"/>
                <w:color w:val="auto"/>
              </w:rPr>
              <w:t>Namilumab /</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w w:val="92"/>
              </w:rPr>
              <w:t>Sarcoidosis / Phase</w:t>
            </w:r>
          </w:p>
        </w:tc>
        <w:tc>
          <w:tcPr>
            <w:tcW w:w="120" w:type="dxa"/>
            <w:vAlign w:val="bottom"/>
          </w:tcPr>
          <w:p>
            <w:pPr>
              <w:ind w:left="60"/>
              <w:spacing w:after="0"/>
              <w:rPr>
                <w:sz w:val="20"/>
                <w:szCs w:val="20"/>
                <w:color w:val="auto"/>
              </w:rPr>
            </w:pPr>
            <w:r>
              <w:rPr>
                <w:rFonts w:ascii="Arial" w:cs="Arial" w:eastAsia="Arial" w:hAnsi="Arial"/>
                <w:sz w:val="12"/>
                <w:szCs w:val="12"/>
                <w:color w:val="auto"/>
                <w:w w:val="94"/>
              </w:rPr>
              <w:t>•</w:t>
            </w:r>
          </w:p>
        </w:tc>
        <w:tc>
          <w:tcPr>
            <w:tcW w:w="1060" w:type="dxa"/>
            <w:vAlign w:val="bottom"/>
          </w:tcPr>
          <w:p>
            <w:pPr>
              <w:ind w:left="120"/>
              <w:spacing w:after="0"/>
              <w:rPr>
                <w:sz w:val="20"/>
                <w:szCs w:val="20"/>
                <w:color w:val="auto"/>
              </w:rPr>
            </w:pPr>
            <w:r>
              <w:rPr>
                <w:rFonts w:ascii="Arial" w:cs="Arial" w:eastAsia="Arial" w:hAnsi="Arial"/>
                <w:sz w:val="12"/>
                <w:szCs w:val="12"/>
                <w:color w:val="auto"/>
              </w:rPr>
              <w:t>1H ‘22:</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anti-GM-CSF</w:t>
            </w:r>
          </w:p>
        </w:tc>
        <w:tc>
          <w:tcPr>
            <w:tcW w:w="1320" w:type="dxa"/>
            <w:vAlign w:val="bottom"/>
            <w:gridSpan w:val="2"/>
          </w:tcPr>
          <w:p>
            <w:pPr>
              <w:spacing w:after="0"/>
              <w:rPr>
                <w:sz w:val="20"/>
                <w:szCs w:val="20"/>
                <w:color w:val="auto"/>
              </w:rPr>
            </w:pPr>
            <w:r>
              <w:rPr>
                <w:rFonts w:ascii="Arial" w:cs="Arial" w:eastAsia="Arial" w:hAnsi="Arial"/>
                <w:sz w:val="12"/>
                <w:szCs w:val="12"/>
                <w:color w:val="auto"/>
              </w:rPr>
              <w:t>Anti-GM-CSF</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w w:val="93"/>
              </w:rPr>
              <w:t>Namilumab Phase</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monoclonal</w:t>
            </w:r>
          </w:p>
        </w:tc>
        <w:tc>
          <w:tcPr>
            <w:tcW w:w="1320" w:type="dxa"/>
            <w:vAlign w:val="bottom"/>
            <w:gridSpan w:val="2"/>
          </w:tcPr>
          <w:p>
            <w:pPr>
              <w:spacing w:after="0"/>
              <w:rPr>
                <w:sz w:val="20"/>
                <w:szCs w:val="20"/>
                <w:color w:val="auto"/>
              </w:rPr>
            </w:pPr>
            <w:r>
              <w:rPr>
                <w:rFonts w:ascii="Arial" w:cs="Arial" w:eastAsia="Arial" w:hAnsi="Arial"/>
                <w:sz w:val="12"/>
                <w:szCs w:val="12"/>
                <w:color w:val="auto"/>
              </w:rPr>
              <w:t>monoclonal antibody</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2 initiation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antibody for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autoimmune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diseases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gridSpan w:val="2"/>
          </w:tcPr>
          <w:p>
            <w:pPr>
              <w:spacing w:after="0"/>
              <w:rPr>
                <w:sz w:val="20"/>
                <w:szCs w:val="20"/>
                <w:color w:val="auto"/>
              </w:rPr>
            </w:pPr>
            <w:r>
              <w:rPr>
                <w:rFonts w:ascii="Arial" w:cs="Arial" w:eastAsia="Arial" w:hAnsi="Arial"/>
                <w:sz w:val="12"/>
                <w:szCs w:val="12"/>
                <w:color w:val="auto"/>
              </w:rPr>
              <w:t>Affivant</w:t>
            </w:r>
          </w:p>
        </w:tc>
        <w:tc>
          <w:tcPr>
            <w:tcW w:w="300" w:type="dxa"/>
            <w:vAlign w:val="bottom"/>
          </w:tcPr>
          <w:p>
            <w:pPr>
              <w:spacing w:after="0"/>
              <w:rPr>
                <w:sz w:val="20"/>
                <w:szCs w:val="20"/>
                <w:color w:val="auto"/>
              </w:rPr>
            </w:pPr>
            <w:r>
              <w:rPr>
                <w:rFonts w:ascii="Arial" w:cs="Arial" w:eastAsia="Arial" w:hAnsi="Arial"/>
                <w:sz w:val="12"/>
                <w:szCs w:val="12"/>
                <w:color w:val="auto"/>
                <w:w w:val="91"/>
              </w:rPr>
              <w:t>100%</w:t>
            </w:r>
          </w:p>
        </w:tc>
        <w:tc>
          <w:tcPr>
            <w:tcW w:w="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2"/>
                <w:szCs w:val="12"/>
                <w:color w:val="auto"/>
                <w:w w:val="97"/>
              </w:rPr>
              <w:t>100%</w:t>
            </w: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Developing</w:t>
            </w:r>
          </w:p>
        </w:tc>
        <w:tc>
          <w:tcPr>
            <w:tcW w:w="1320" w:type="dxa"/>
            <w:vAlign w:val="bottom"/>
            <w:gridSpan w:val="2"/>
          </w:tcPr>
          <w:p>
            <w:pPr>
              <w:spacing w:after="0"/>
              <w:rPr>
                <w:sz w:val="20"/>
                <w:szCs w:val="20"/>
                <w:color w:val="auto"/>
              </w:rPr>
            </w:pPr>
            <w:r>
              <w:rPr>
                <w:rFonts w:ascii="Arial" w:cs="Arial" w:eastAsia="Arial" w:hAnsi="Arial"/>
                <w:sz w:val="12"/>
                <w:szCs w:val="12"/>
                <w:color w:val="auto"/>
              </w:rPr>
              <w:t>AFM32 / Bispecific</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Solid Tumors /</w:t>
            </w:r>
          </w:p>
        </w:tc>
        <w:tc>
          <w:tcPr>
            <w:tcW w:w="1180" w:type="dxa"/>
            <w:vAlign w:val="bottom"/>
            <w:gridSpan w:val="2"/>
          </w:tcPr>
          <w:p>
            <w:pPr>
              <w:ind w:left="60"/>
              <w:spacing w:after="0"/>
              <w:rPr>
                <w:sz w:val="20"/>
                <w:szCs w:val="20"/>
                <w:color w:val="auto"/>
              </w:rPr>
            </w:pPr>
            <w:r>
              <w:rPr>
                <w:rFonts w:ascii="Arial" w:cs="Arial" w:eastAsia="Arial" w:hAnsi="Arial"/>
                <w:sz w:val="12"/>
                <w:szCs w:val="12"/>
                <w:color w:val="auto"/>
              </w:rPr>
              <w:t>•  1H ‘23: File IND</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bispecific</w:t>
            </w:r>
          </w:p>
        </w:tc>
        <w:tc>
          <w:tcPr>
            <w:tcW w:w="1320" w:type="dxa"/>
            <w:vAlign w:val="bottom"/>
            <w:gridSpan w:val="2"/>
          </w:tcPr>
          <w:p>
            <w:pPr>
              <w:spacing w:after="0"/>
              <w:rPr>
                <w:sz w:val="20"/>
                <w:szCs w:val="20"/>
                <w:color w:val="auto"/>
              </w:rPr>
            </w:pPr>
            <w:r>
              <w:rPr>
                <w:rFonts w:ascii="Arial" w:cs="Arial" w:eastAsia="Arial" w:hAnsi="Arial"/>
                <w:sz w:val="12"/>
                <w:szCs w:val="12"/>
                <w:color w:val="auto"/>
              </w:rPr>
              <w:t>antibody</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Preclinical</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antibodies for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indications with</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unmet medical</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need</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2"/>
                <w:szCs w:val="12"/>
                <w:color w:val="auto"/>
              </w:rPr>
              <w:t>Cytovant</w:t>
            </w:r>
          </w:p>
        </w:tc>
        <w:tc>
          <w:tcPr>
            <w:tcW w:w="300" w:type="dxa"/>
            <w:vAlign w:val="bottom"/>
          </w:tcPr>
          <w:p>
            <w:pPr>
              <w:spacing w:after="0"/>
              <w:rPr>
                <w:sz w:val="20"/>
                <w:szCs w:val="20"/>
                <w:color w:val="auto"/>
              </w:rPr>
            </w:pPr>
            <w:r>
              <w:rPr>
                <w:rFonts w:ascii="Arial" w:cs="Arial" w:eastAsia="Arial" w:hAnsi="Arial"/>
                <w:sz w:val="12"/>
                <w:szCs w:val="12"/>
                <w:color w:val="auto"/>
              </w:rPr>
              <w:t>72%</w:t>
            </w:r>
          </w:p>
        </w:tc>
        <w:tc>
          <w:tcPr>
            <w:tcW w:w="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8"/>
              </w:rPr>
              <w:t>Developing cellular</w:t>
            </w:r>
          </w:p>
        </w:tc>
        <w:tc>
          <w:tcPr>
            <w:tcW w:w="1320" w:type="dxa"/>
            <w:vAlign w:val="bottom"/>
            <w:gridSpan w:val="2"/>
          </w:tcPr>
          <w:p>
            <w:pPr>
              <w:spacing w:after="0"/>
              <w:rPr>
                <w:sz w:val="20"/>
                <w:szCs w:val="20"/>
                <w:color w:val="auto"/>
              </w:rPr>
            </w:pPr>
            <w:r>
              <w:rPr>
                <w:rFonts w:ascii="Arial" w:cs="Arial" w:eastAsia="Arial" w:hAnsi="Arial"/>
                <w:sz w:val="12"/>
                <w:szCs w:val="12"/>
                <w:color w:val="auto"/>
              </w:rPr>
              <w:t>CVT-TCR-01 / TCR-T</w:t>
            </w:r>
          </w:p>
        </w:tc>
        <w:tc>
          <w:tcPr>
            <w:tcW w:w="1240" w:type="dxa"/>
            <w:vAlign w:val="bottom"/>
            <w:gridSpan w:val="2"/>
          </w:tcPr>
          <w:p>
            <w:pPr>
              <w:spacing w:after="0"/>
              <w:rPr>
                <w:sz w:val="20"/>
                <w:szCs w:val="20"/>
                <w:color w:val="auto"/>
              </w:rPr>
            </w:pPr>
            <w:r>
              <w:rPr>
                <w:rFonts w:ascii="Arial" w:cs="Arial" w:eastAsia="Arial" w:hAnsi="Arial"/>
                <w:sz w:val="12"/>
                <w:szCs w:val="12"/>
                <w:color w:val="auto"/>
              </w:rPr>
              <w:t>Cell therapy</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Oncologic</w:t>
            </w:r>
          </w:p>
        </w:tc>
        <w:tc>
          <w:tcPr>
            <w:tcW w:w="120" w:type="dxa"/>
            <w:vAlign w:val="bottom"/>
          </w:tcPr>
          <w:p>
            <w:pPr>
              <w:ind w:left="60"/>
              <w:spacing w:after="0"/>
              <w:rPr>
                <w:sz w:val="20"/>
                <w:szCs w:val="20"/>
                <w:color w:val="auto"/>
              </w:rPr>
            </w:pPr>
            <w:r>
              <w:rPr>
                <w:rFonts w:ascii="Arial" w:cs="Arial" w:eastAsia="Arial" w:hAnsi="Arial"/>
                <w:sz w:val="12"/>
                <w:szCs w:val="12"/>
                <w:color w:val="auto"/>
                <w:w w:val="94"/>
              </w:rPr>
              <w:t>•</w:t>
            </w:r>
          </w:p>
        </w:tc>
        <w:tc>
          <w:tcPr>
            <w:tcW w:w="1060" w:type="dxa"/>
            <w:vAlign w:val="bottom"/>
          </w:tcPr>
          <w:p>
            <w:pPr>
              <w:ind w:left="120"/>
              <w:spacing w:after="0"/>
              <w:rPr>
                <w:sz w:val="20"/>
                <w:szCs w:val="20"/>
                <w:color w:val="auto"/>
              </w:rPr>
            </w:pPr>
            <w:r>
              <w:rPr>
                <w:rFonts w:ascii="Arial" w:cs="Arial" w:eastAsia="Arial" w:hAnsi="Arial"/>
                <w:sz w:val="12"/>
                <w:szCs w:val="12"/>
                <w:color w:val="auto"/>
              </w:rPr>
              <w:t>2H ‘21: Initiation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7"/>
              </w:rPr>
              <w:t>medicines uniquely</w:t>
            </w:r>
          </w:p>
        </w:tc>
        <w:tc>
          <w:tcPr>
            <w:tcW w:w="1320" w:type="dxa"/>
            <w:vAlign w:val="bottom"/>
            <w:gridSpan w:val="2"/>
          </w:tcPr>
          <w:p>
            <w:pPr>
              <w:spacing w:after="0"/>
              <w:rPr>
                <w:sz w:val="20"/>
                <w:szCs w:val="20"/>
                <w:color w:val="auto"/>
              </w:rPr>
            </w:pPr>
            <w:r>
              <w:rPr>
                <w:rFonts w:ascii="Arial" w:cs="Arial" w:eastAsia="Arial" w:hAnsi="Arial"/>
                <w:sz w:val="12"/>
                <w:szCs w:val="12"/>
                <w:color w:val="auto"/>
              </w:rPr>
              <w:t>targeting NY-ESO-1</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malignancies /</w:t>
            </w: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of CMC activities</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suited to Asian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Preclinical</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patients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2"/>
                <w:szCs w:val="12"/>
                <w:color w:val="auto"/>
              </w:rPr>
              <w:t>Arbutus</w:t>
            </w:r>
          </w:p>
        </w:tc>
        <w:tc>
          <w:tcPr>
            <w:tcW w:w="300" w:type="dxa"/>
            <w:vAlign w:val="bottom"/>
          </w:tcPr>
          <w:p>
            <w:pPr>
              <w:spacing w:after="0"/>
              <w:rPr>
                <w:sz w:val="20"/>
                <w:szCs w:val="20"/>
                <w:color w:val="auto"/>
              </w:rPr>
            </w:pPr>
            <w:r>
              <w:rPr>
                <w:rFonts w:ascii="Arial" w:cs="Arial" w:eastAsia="Arial" w:hAnsi="Arial"/>
                <w:sz w:val="12"/>
                <w:szCs w:val="12"/>
                <w:color w:val="auto"/>
                <w:w w:val="97"/>
              </w:rPr>
              <w:t>32%*</w:t>
            </w:r>
          </w:p>
        </w:tc>
        <w:tc>
          <w:tcPr>
            <w:tcW w:w="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Developing a</w:t>
            </w:r>
          </w:p>
        </w:tc>
        <w:tc>
          <w:tcPr>
            <w:tcW w:w="1320" w:type="dxa"/>
            <w:vAlign w:val="bottom"/>
            <w:gridSpan w:val="2"/>
          </w:tcPr>
          <w:p>
            <w:pPr>
              <w:spacing w:after="0"/>
              <w:rPr>
                <w:sz w:val="20"/>
                <w:szCs w:val="20"/>
                <w:color w:val="auto"/>
              </w:rPr>
            </w:pPr>
            <w:r>
              <w:rPr>
                <w:rFonts w:ascii="Arial" w:cs="Arial" w:eastAsia="Arial" w:hAnsi="Arial"/>
                <w:sz w:val="12"/>
                <w:szCs w:val="12"/>
                <w:color w:val="auto"/>
              </w:rPr>
              <w:t>AB-729 / RNAi</w:t>
            </w:r>
          </w:p>
        </w:tc>
        <w:tc>
          <w:tcPr>
            <w:tcW w:w="1240" w:type="dxa"/>
            <w:vAlign w:val="bottom"/>
            <w:gridSpan w:val="2"/>
          </w:tcPr>
          <w:p>
            <w:pPr>
              <w:spacing w:after="0"/>
              <w:rPr>
                <w:sz w:val="20"/>
                <w:szCs w:val="20"/>
                <w:color w:val="auto"/>
              </w:rPr>
            </w:pPr>
            <w:r>
              <w:rPr>
                <w:rFonts w:ascii="Arial" w:cs="Arial" w:eastAsia="Arial" w:hAnsi="Arial"/>
                <w:sz w:val="12"/>
                <w:szCs w:val="12"/>
                <w:color w:val="auto"/>
              </w:rPr>
              <w:t>RNA therapy</w:t>
            </w: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  Hepatitis B / Phase</w:t>
            </w:r>
          </w:p>
        </w:tc>
        <w:tc>
          <w:tcPr>
            <w:tcW w:w="120" w:type="dxa"/>
            <w:vAlign w:val="bottom"/>
          </w:tcPr>
          <w:p>
            <w:pPr>
              <w:ind w:left="60"/>
              <w:spacing w:after="0"/>
              <w:rPr>
                <w:sz w:val="20"/>
                <w:szCs w:val="20"/>
                <w:color w:val="auto"/>
              </w:rPr>
            </w:pPr>
            <w:r>
              <w:rPr>
                <w:rFonts w:ascii="Arial" w:cs="Arial" w:eastAsia="Arial" w:hAnsi="Arial"/>
                <w:sz w:val="12"/>
                <w:szCs w:val="12"/>
                <w:color w:val="auto"/>
                <w:w w:val="94"/>
              </w:rPr>
              <w:t>•</w:t>
            </w:r>
          </w:p>
        </w:tc>
        <w:tc>
          <w:tcPr>
            <w:tcW w:w="1060" w:type="dxa"/>
            <w:vAlign w:val="bottom"/>
          </w:tcPr>
          <w:p>
            <w:pPr>
              <w:ind w:left="120"/>
              <w:spacing w:after="0"/>
              <w:rPr>
                <w:sz w:val="20"/>
                <w:szCs w:val="20"/>
                <w:color w:val="auto"/>
              </w:rPr>
            </w:pPr>
            <w:r>
              <w:rPr>
                <w:rFonts w:ascii="Arial" w:cs="Arial" w:eastAsia="Arial" w:hAnsi="Arial"/>
                <w:sz w:val="12"/>
                <w:szCs w:val="12"/>
                <w:color w:val="auto"/>
                <w:w w:val="97"/>
              </w:rPr>
              <w:t>2H ‘21: Additional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potential cure for</w:t>
            </w:r>
          </w:p>
        </w:tc>
        <w:tc>
          <w:tcPr>
            <w:tcW w:w="1320" w:type="dxa"/>
            <w:vAlign w:val="bottom"/>
            <w:gridSpan w:val="2"/>
          </w:tcPr>
          <w:p>
            <w:pPr>
              <w:spacing w:after="0"/>
              <w:rPr>
                <w:sz w:val="20"/>
                <w:szCs w:val="20"/>
                <w:color w:val="auto"/>
              </w:rPr>
            </w:pPr>
            <w:r>
              <w:rPr>
                <w:rFonts w:ascii="Arial" w:cs="Arial" w:eastAsia="Arial" w:hAnsi="Arial"/>
                <w:sz w:val="12"/>
                <w:szCs w:val="12"/>
                <w:color w:val="auto"/>
              </w:rPr>
              <w:t>inhibiting HBV</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w w:val="97"/>
              </w:rPr>
              <w:t>data from AB-729</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chronic HBV</w:t>
            </w:r>
          </w:p>
        </w:tc>
        <w:tc>
          <w:tcPr>
            <w:tcW w:w="1320" w:type="dxa"/>
            <w:vAlign w:val="bottom"/>
            <w:gridSpan w:val="2"/>
          </w:tcPr>
          <w:p>
            <w:pPr>
              <w:spacing w:after="0"/>
              <w:rPr>
                <w:sz w:val="20"/>
                <w:szCs w:val="20"/>
                <w:color w:val="auto"/>
              </w:rPr>
            </w:pPr>
            <w:r>
              <w:rPr>
                <w:rFonts w:ascii="Arial" w:cs="Arial" w:eastAsia="Arial" w:hAnsi="Arial"/>
                <w:sz w:val="12"/>
                <w:szCs w:val="12"/>
                <w:color w:val="auto"/>
              </w:rPr>
              <w:t>replication</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120"/>
              <w:spacing w:after="0"/>
              <w:rPr>
                <w:sz w:val="20"/>
                <w:szCs w:val="20"/>
                <w:color w:val="auto"/>
              </w:rPr>
            </w:pPr>
            <w:r>
              <w:rPr>
                <w:rFonts w:ascii="Arial" w:cs="Arial" w:eastAsia="Arial" w:hAnsi="Arial"/>
                <w:sz w:val="12"/>
                <w:szCs w:val="12"/>
                <w:color w:val="auto"/>
              </w:rPr>
              <w:t>trial</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infection</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color w:val="auto"/>
              </w:rPr>
              <w:t>•  2H ‘21: Initial data</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8380"/>
        <w:spacing w:after="0"/>
        <w:rPr>
          <w:sz w:val="20"/>
          <w:szCs w:val="20"/>
          <w:color w:val="auto"/>
        </w:rPr>
      </w:pPr>
      <w:r>
        <w:rPr>
          <w:rFonts w:ascii="Arial" w:cs="Arial" w:eastAsia="Arial" w:hAnsi="Arial"/>
          <w:sz w:val="12"/>
          <w:szCs w:val="12"/>
          <w:color w:val="auto"/>
        </w:rPr>
        <w:t>from Phase 1a/b</w:t>
      </w:r>
    </w:p>
    <w:p>
      <w:pPr>
        <w:spacing w:after="0" w:line="6"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AB-836 trial</w:t>
      </w:r>
    </w:p>
    <w:p>
      <w:pPr>
        <w:spacing w:after="0" w:line="78" w:lineRule="exact"/>
        <w:rPr>
          <w:sz w:val="20"/>
          <w:szCs w:val="20"/>
          <w:color w:val="auto"/>
        </w:rPr>
      </w:pPr>
    </w:p>
    <w:p>
      <w:pPr>
        <w:ind w:left="8200"/>
        <w:spacing w:after="0"/>
        <w:tabs>
          <w:tab w:leader="none" w:pos="8360" w:val="left"/>
        </w:tabs>
        <w:rPr>
          <w:sz w:val="20"/>
          <w:szCs w:val="20"/>
          <w:color w:val="auto"/>
        </w:rPr>
      </w:pPr>
      <w:r>
        <w:rPr>
          <w:rFonts w:ascii="Arial" w:cs="Arial" w:eastAsia="Arial" w:hAnsi="Arial"/>
          <w:sz w:val="11"/>
          <w:szCs w:val="11"/>
          <w:color w:val="auto"/>
        </w:rPr>
        <w:t>•</w:t>
        <w:tab/>
        <w:t>2H ‘21 and 1H ‘22:</w:t>
      </w:r>
    </w:p>
    <w:p>
      <w:pPr>
        <w:spacing w:after="0" w:line="26"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Initiation of</w:t>
      </w:r>
    </w:p>
    <w:p>
      <w:pPr>
        <w:spacing w:after="0" w:line="6"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AB-729 Phase 2</w:t>
      </w:r>
    </w:p>
    <w:p>
      <w:pPr>
        <w:spacing w:after="0" w:line="6"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combination trials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0159"/>
          </w:cols>
          <w:pgMar w:left="300" w:top="372"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4"/>
          </w:tcPr>
          <w:p>
            <w:pPr>
              <w:ind w:left="160"/>
              <w:spacing w:after="0"/>
              <w:rPr>
                <w:sz w:val="20"/>
                <w:szCs w:val="20"/>
                <w:color w:val="auto"/>
              </w:rPr>
            </w:pPr>
            <w:r>
              <w:rPr>
                <w:rFonts w:ascii="Arial" w:cs="Arial" w:eastAsia="Arial" w:hAnsi="Arial"/>
                <w:sz w:val="10"/>
                <w:szCs w:val="10"/>
                <w:b w:val="1"/>
                <w:bCs w:val="1"/>
                <w:color w:val="auto"/>
              </w:rPr>
              <w:t>Roivant</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gridSpan w:val="4"/>
          </w:tcPr>
          <w:p>
            <w:pPr>
              <w:ind w:left="40"/>
              <w:spacing w:after="0" w:line="99" w:lineRule="exact"/>
              <w:rPr>
                <w:sz w:val="20"/>
                <w:szCs w:val="20"/>
                <w:color w:val="auto"/>
              </w:rPr>
            </w:pPr>
            <w:r>
              <w:rPr>
                <w:rFonts w:ascii="Arial" w:cs="Arial" w:eastAsia="Arial" w:hAnsi="Arial"/>
                <w:sz w:val="10"/>
                <w:szCs w:val="10"/>
                <w:b w:val="1"/>
                <w:bCs w:val="1"/>
                <w:color w:val="auto"/>
              </w:rPr>
              <w:t>Ownership at</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Vant</w:t>
            </w:r>
          </w:p>
        </w:tc>
        <w:tc>
          <w:tcPr>
            <w:tcW w:w="740" w:type="dxa"/>
            <w:vAlign w:val="bottom"/>
            <w:gridSpan w:val="4"/>
          </w:tcPr>
          <w:p>
            <w:pPr>
              <w:ind w:left="40"/>
              <w:spacing w:after="0" w:line="114" w:lineRule="exact"/>
              <w:rPr>
                <w:sz w:val="20"/>
                <w:szCs w:val="20"/>
                <w:color w:val="auto"/>
              </w:rPr>
            </w:pPr>
            <w:r>
              <w:rPr>
                <w:rFonts w:ascii="Arial" w:cs="Arial" w:eastAsia="Arial" w:hAnsi="Arial"/>
                <w:sz w:val="10"/>
                <w:szCs w:val="10"/>
                <w:b w:val="1"/>
                <w:bCs w:val="1"/>
                <w:color w:val="auto"/>
              </w:rPr>
              <w:t>June 30, 2021</w:t>
            </w:r>
          </w:p>
        </w:tc>
        <w:tc>
          <w:tcPr>
            <w:tcW w:w="94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Description</w:t>
            </w:r>
          </w:p>
        </w:tc>
        <w:tc>
          <w:tcPr>
            <w:tcW w:w="80" w:type="dxa"/>
            <w:vAlign w:val="bottom"/>
            <w:vMerge w:val="restart"/>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90"/>
              </w:rPr>
              <w:t>Lead Program / Mechanism</w:t>
            </w:r>
          </w:p>
        </w:tc>
        <w:tc>
          <w:tcPr>
            <w:tcW w:w="80" w:type="dxa"/>
            <w:vAlign w:val="bottom"/>
            <w:vMerge w:val="restart"/>
          </w:tcPr>
          <w:p>
            <w:pPr>
              <w:spacing w:after="0"/>
              <w:rPr>
                <w:sz w:val="9"/>
                <w:szCs w:val="9"/>
                <w:color w:val="auto"/>
              </w:rPr>
            </w:pPr>
          </w:p>
        </w:tc>
        <w:tc>
          <w:tcPr>
            <w:tcW w:w="116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Modality</w:t>
            </w:r>
          </w:p>
        </w:tc>
        <w:tc>
          <w:tcPr>
            <w:tcW w:w="60" w:type="dxa"/>
            <w:vAlign w:val="bottom"/>
            <w:vMerge w:val="restart"/>
          </w:tcPr>
          <w:p>
            <w:pPr>
              <w:spacing w:after="0"/>
              <w:rPr>
                <w:sz w:val="9"/>
                <w:szCs w:val="9"/>
                <w:color w:val="auto"/>
              </w:rPr>
            </w:pPr>
          </w:p>
        </w:tc>
        <w:tc>
          <w:tcPr>
            <w:tcW w:w="11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Indication(s) / Phase</w:t>
            </w:r>
          </w:p>
        </w:tc>
        <w:tc>
          <w:tcPr>
            <w:tcW w:w="60" w:type="dxa"/>
            <w:vAlign w:val="bottom"/>
            <w:vMerge w:val="restart"/>
          </w:tcPr>
          <w:p>
            <w:pPr>
              <w:spacing w:after="0"/>
              <w:rPr>
                <w:sz w:val="9"/>
                <w:szCs w:val="9"/>
                <w:color w:val="auto"/>
              </w:rPr>
            </w:pPr>
          </w:p>
        </w:tc>
        <w:tc>
          <w:tcPr>
            <w:tcW w:w="1180" w:type="dxa"/>
            <w:vAlign w:val="bottom"/>
            <w:vMerge w:val="restart"/>
          </w:tcPr>
          <w:p>
            <w:pPr>
              <w:ind w:left="160"/>
              <w:spacing w:after="0"/>
              <w:rPr>
                <w:sz w:val="20"/>
                <w:szCs w:val="20"/>
                <w:color w:val="auto"/>
              </w:rPr>
            </w:pPr>
            <w:r>
              <w:rPr>
                <w:rFonts w:ascii="Arial" w:cs="Arial" w:eastAsia="Arial" w:hAnsi="Arial"/>
                <w:sz w:val="10"/>
                <w:szCs w:val="10"/>
                <w:b w:val="1"/>
                <w:bCs w:val="1"/>
                <w:color w:val="auto"/>
                <w:w w:val="96"/>
              </w:rPr>
              <w:t>Upcoming Milestones</w:t>
            </w: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gridSpan w:val="2"/>
            <w:vMerge w:val="continue"/>
          </w:tcPr>
          <w:p>
            <w:pPr>
              <w:spacing w:after="0"/>
              <w:rPr>
                <w:sz w:val="7"/>
                <w:szCs w:val="7"/>
                <w:color w:val="auto"/>
              </w:rPr>
            </w:pPr>
          </w:p>
        </w:tc>
        <w:tc>
          <w:tcPr>
            <w:tcW w:w="280" w:type="dxa"/>
            <w:vAlign w:val="bottom"/>
            <w:tcBorders>
              <w:top w:val="single" w:sz="8" w:color="auto"/>
              <w:bottom w:val="single" w:sz="8" w:color="auto"/>
            </w:tcBorders>
          </w:tcPr>
          <w:p>
            <w:pPr>
              <w:ind w:left="20"/>
              <w:spacing w:after="0" w:line="70" w:lineRule="exact"/>
              <w:rPr>
                <w:sz w:val="20"/>
                <w:szCs w:val="20"/>
                <w:color w:val="auto"/>
              </w:rPr>
            </w:pPr>
            <w:r>
              <w:rPr>
                <w:rFonts w:ascii="Arial" w:cs="Arial" w:eastAsia="Arial" w:hAnsi="Arial"/>
                <w:sz w:val="8"/>
                <w:szCs w:val="8"/>
                <w:b w:val="1"/>
                <w:bCs w:val="1"/>
                <w:color w:val="auto"/>
              </w:rPr>
              <w:t>Basic</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line="70" w:lineRule="exact"/>
              <w:rPr>
                <w:sz w:val="20"/>
                <w:szCs w:val="20"/>
                <w:color w:val="auto"/>
              </w:rPr>
            </w:pPr>
            <w:r>
              <w:rPr>
                <w:rFonts w:ascii="Arial" w:cs="Arial" w:eastAsia="Arial" w:hAnsi="Arial"/>
                <w:sz w:val="8"/>
                <w:szCs w:val="8"/>
                <w:b w:val="1"/>
                <w:bCs w:val="1"/>
                <w:color w:val="auto"/>
              </w:rPr>
              <w:t>Diluted</w:t>
            </w:r>
          </w:p>
        </w:tc>
        <w:tc>
          <w:tcPr>
            <w:tcW w:w="80" w:type="dxa"/>
            <w:vAlign w:val="bottom"/>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620" w:type="dxa"/>
            <w:vAlign w:val="bottom"/>
            <w:gridSpan w:val="2"/>
          </w:tcPr>
          <w:p>
            <w:pPr>
              <w:spacing w:after="0"/>
              <w:rPr>
                <w:sz w:val="20"/>
                <w:szCs w:val="20"/>
                <w:color w:val="auto"/>
              </w:rPr>
            </w:pPr>
            <w:r>
              <w:rPr>
                <w:rFonts w:ascii="Arial" w:cs="Arial" w:eastAsia="Arial" w:hAnsi="Arial"/>
                <w:sz w:val="12"/>
                <w:szCs w:val="12"/>
                <w:color w:val="auto"/>
              </w:rPr>
              <w:t>Sio Gene</w:t>
            </w:r>
          </w:p>
        </w:tc>
        <w:tc>
          <w:tcPr>
            <w:tcW w:w="280" w:type="dxa"/>
            <w:vAlign w:val="bottom"/>
          </w:tcPr>
          <w:p>
            <w:pPr>
              <w:spacing w:after="0"/>
              <w:rPr>
                <w:sz w:val="20"/>
                <w:szCs w:val="20"/>
                <w:color w:val="auto"/>
              </w:rPr>
            </w:pPr>
            <w:r>
              <w:rPr>
                <w:rFonts w:ascii="Arial" w:cs="Arial" w:eastAsia="Arial" w:hAnsi="Arial"/>
                <w:sz w:val="12"/>
                <w:szCs w:val="12"/>
                <w:color w:val="auto"/>
                <w:w w:val="90"/>
              </w:rPr>
              <w:t>27%*</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2"/>
                <w:szCs w:val="12"/>
                <w:color w:val="auto"/>
                <w:w w:val="97"/>
              </w:rPr>
              <w:t>24%*</w:t>
            </w:r>
          </w:p>
        </w:tc>
        <w:tc>
          <w:tcPr>
            <w:tcW w:w="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Developing gene</w:t>
            </w:r>
          </w:p>
        </w:tc>
        <w:tc>
          <w:tcPr>
            <w:tcW w:w="1320" w:type="dxa"/>
            <w:vAlign w:val="bottom"/>
            <w:gridSpan w:val="2"/>
          </w:tcPr>
          <w:p>
            <w:pPr>
              <w:spacing w:after="0"/>
              <w:rPr>
                <w:sz w:val="20"/>
                <w:szCs w:val="20"/>
                <w:color w:val="auto"/>
              </w:rPr>
            </w:pPr>
            <w:r>
              <w:rPr>
                <w:rFonts w:ascii="Arial" w:cs="Arial" w:eastAsia="Arial" w:hAnsi="Arial"/>
                <w:sz w:val="12"/>
                <w:szCs w:val="12"/>
                <w:color w:val="auto"/>
              </w:rPr>
              <w:t>AXO-AAV-GM1 / In</w:t>
            </w:r>
          </w:p>
        </w:tc>
        <w:tc>
          <w:tcPr>
            <w:tcW w:w="122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1240" w:type="dxa"/>
            <w:vAlign w:val="bottom"/>
            <w:gridSpan w:val="2"/>
          </w:tcPr>
          <w:p>
            <w:pPr>
              <w:ind w:left="60"/>
              <w:spacing w:after="0"/>
              <w:rPr>
                <w:sz w:val="20"/>
                <w:szCs w:val="20"/>
                <w:color w:val="auto"/>
              </w:rPr>
            </w:pPr>
            <w:r>
              <w:rPr>
                <w:rFonts w:ascii="Arial" w:cs="Arial" w:eastAsia="Arial" w:hAnsi="Arial"/>
                <w:sz w:val="12"/>
                <w:szCs w:val="12"/>
                <w:color w:val="auto"/>
              </w:rPr>
              <w:t>•  GM1</w:t>
            </w:r>
          </w:p>
        </w:tc>
        <w:tc>
          <w:tcPr>
            <w:tcW w:w="1180" w:type="dxa"/>
            <w:vAlign w:val="bottom"/>
          </w:tcPr>
          <w:p>
            <w:pPr>
              <w:ind w:left="60"/>
              <w:spacing w:after="0"/>
              <w:rPr>
                <w:sz w:val="20"/>
                <w:szCs w:val="20"/>
                <w:color w:val="auto"/>
              </w:rPr>
            </w:pPr>
            <w:r>
              <w:rPr>
                <w:rFonts w:ascii="Arial" w:cs="Arial" w:eastAsia="Arial" w:hAnsi="Arial"/>
                <w:sz w:val="12"/>
                <w:szCs w:val="12"/>
                <w:color w:val="auto"/>
              </w:rPr>
              <w:t>•  1H ‘22: Data</w:t>
            </w:r>
          </w:p>
        </w:tc>
        <w:tc>
          <w:tcPr>
            <w:tcW w:w="0" w:type="dxa"/>
            <w:vAlign w:val="bottom"/>
          </w:tcPr>
          <w:p>
            <w:pPr>
              <w:spacing w:after="0"/>
              <w:rPr>
                <w:sz w:val="1"/>
                <w:szCs w:val="1"/>
                <w:color w:val="auto"/>
              </w:rPr>
            </w:pPr>
          </w:p>
        </w:tc>
      </w:tr>
      <w:tr>
        <w:trPr>
          <w:trHeight w:val="144"/>
        </w:trPr>
        <w:tc>
          <w:tcPr>
            <w:tcW w:w="620" w:type="dxa"/>
            <w:vAlign w:val="bottom"/>
            <w:gridSpan w:val="2"/>
          </w:tcPr>
          <w:p>
            <w:pPr>
              <w:spacing w:after="0"/>
              <w:rPr>
                <w:sz w:val="20"/>
                <w:szCs w:val="20"/>
                <w:color w:val="auto"/>
              </w:rPr>
            </w:pPr>
            <w:r>
              <w:rPr>
                <w:rFonts w:ascii="Arial" w:cs="Arial" w:eastAsia="Arial" w:hAnsi="Arial"/>
                <w:sz w:val="12"/>
                <w:szCs w:val="12"/>
                <w:color w:val="auto"/>
              </w:rPr>
              <w:t>Therapies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therapies for</w:t>
            </w:r>
          </w:p>
        </w:tc>
        <w:tc>
          <w:tcPr>
            <w:tcW w:w="1320" w:type="dxa"/>
            <w:vAlign w:val="bottom"/>
            <w:gridSpan w:val="2"/>
          </w:tcPr>
          <w:p>
            <w:pPr>
              <w:spacing w:after="0"/>
              <w:rPr>
                <w:sz w:val="20"/>
                <w:szCs w:val="20"/>
                <w:color w:val="auto"/>
              </w:rPr>
            </w:pPr>
            <w:r>
              <w:rPr>
                <w:rFonts w:ascii="Arial" w:cs="Arial" w:eastAsia="Arial" w:hAnsi="Arial"/>
                <w:sz w:val="12"/>
                <w:szCs w:val="12"/>
                <w:color w:val="auto"/>
              </w:rPr>
              <w:t>vivo AAV9 gene therapy</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2"/>
                <w:szCs w:val="12"/>
                <w:color w:val="auto"/>
              </w:rPr>
              <w:t>gangliosidosis /</w:t>
            </w:r>
          </w:p>
        </w:tc>
        <w:tc>
          <w:tcPr>
            <w:tcW w:w="1180" w:type="dxa"/>
            <w:vAlign w:val="bottom"/>
          </w:tcPr>
          <w:p>
            <w:pPr>
              <w:ind w:left="240"/>
              <w:spacing w:after="0"/>
              <w:rPr>
                <w:sz w:val="20"/>
                <w:szCs w:val="20"/>
                <w:color w:val="auto"/>
              </w:rPr>
            </w:pPr>
            <w:r>
              <w:rPr>
                <w:rFonts w:ascii="Arial" w:cs="Arial" w:eastAsia="Arial" w:hAnsi="Arial"/>
                <w:sz w:val="12"/>
                <w:szCs w:val="12"/>
                <w:color w:val="auto"/>
              </w:rPr>
              <w:t>update from</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9"/>
              </w:rPr>
              <w:t>neurodegenerative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2"/>
                <w:szCs w:val="12"/>
                <w:color w:val="auto"/>
              </w:rPr>
              <w:t>Phase 1/2</w:t>
            </w:r>
          </w:p>
        </w:tc>
        <w:tc>
          <w:tcPr>
            <w:tcW w:w="1180" w:type="dxa"/>
            <w:vAlign w:val="bottom"/>
          </w:tcPr>
          <w:p>
            <w:pPr>
              <w:ind w:left="240"/>
              <w:spacing w:after="0"/>
              <w:rPr>
                <w:sz w:val="20"/>
                <w:szCs w:val="20"/>
                <w:color w:val="auto"/>
              </w:rPr>
            </w:pPr>
            <w:r>
              <w:rPr>
                <w:rFonts w:ascii="Arial" w:cs="Arial" w:eastAsia="Arial" w:hAnsi="Arial"/>
                <w:sz w:val="12"/>
                <w:szCs w:val="12"/>
                <w:color w:val="auto"/>
                <w:w w:val="91"/>
              </w:rPr>
              <w:t>ongoing Phase 1/2</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diseases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ind w:left="240"/>
              <w:spacing w:after="0"/>
              <w:rPr>
                <w:sz w:val="20"/>
                <w:szCs w:val="20"/>
                <w:color w:val="auto"/>
              </w:rPr>
            </w:pPr>
            <w:r>
              <w:rPr>
                <w:rFonts w:ascii="Arial" w:cs="Arial" w:eastAsia="Arial" w:hAnsi="Arial"/>
                <w:sz w:val="12"/>
                <w:szCs w:val="12"/>
                <w:color w:val="auto"/>
              </w:rPr>
              <w:t>trial</w:t>
            </w:r>
          </w:p>
        </w:tc>
        <w:tc>
          <w:tcPr>
            <w:tcW w:w="0" w:type="dxa"/>
            <w:vAlign w:val="bottom"/>
          </w:tcPr>
          <w:p>
            <w:pPr>
              <w:spacing w:after="0"/>
              <w:rPr>
                <w:sz w:val="1"/>
                <w:szCs w:val="1"/>
                <w:color w:val="auto"/>
              </w:rPr>
            </w:pPr>
          </w:p>
        </w:tc>
      </w:tr>
      <w:tr>
        <w:trPr>
          <w:trHeight w:val="207"/>
        </w:trPr>
        <w:tc>
          <w:tcPr>
            <w:tcW w:w="620" w:type="dxa"/>
            <w:vAlign w:val="bottom"/>
            <w:gridSpan w:val="2"/>
          </w:tcPr>
          <w:p>
            <w:pPr>
              <w:spacing w:after="0"/>
              <w:rPr>
                <w:sz w:val="20"/>
                <w:szCs w:val="20"/>
                <w:color w:val="auto"/>
              </w:rPr>
            </w:pPr>
            <w:r>
              <w:rPr>
                <w:rFonts w:ascii="Arial" w:cs="Arial" w:eastAsia="Arial" w:hAnsi="Arial"/>
                <w:sz w:val="12"/>
                <w:szCs w:val="12"/>
                <w:color w:val="auto"/>
              </w:rPr>
              <w:t>Genevant</w:t>
            </w:r>
          </w:p>
        </w:tc>
        <w:tc>
          <w:tcPr>
            <w:tcW w:w="280" w:type="dxa"/>
            <w:vAlign w:val="bottom"/>
          </w:tcPr>
          <w:p>
            <w:pPr>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9"/>
              </w:rPr>
              <w:t>Advancing delivery</w:t>
            </w:r>
          </w:p>
        </w:tc>
        <w:tc>
          <w:tcPr>
            <w:tcW w:w="1320" w:type="dxa"/>
            <w:vAlign w:val="bottom"/>
            <w:gridSpan w:val="2"/>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of nucleic acid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therapeutics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20" w:type="dxa"/>
            <w:vAlign w:val="bottom"/>
            <w:gridSpan w:val="2"/>
          </w:tcPr>
          <w:p>
            <w:pPr>
              <w:spacing w:after="0"/>
              <w:rPr>
                <w:sz w:val="20"/>
                <w:szCs w:val="20"/>
                <w:color w:val="auto"/>
              </w:rPr>
            </w:pPr>
            <w:r>
              <w:rPr>
                <w:rFonts w:ascii="Arial" w:cs="Arial" w:eastAsia="Arial" w:hAnsi="Arial"/>
                <w:sz w:val="12"/>
                <w:szCs w:val="12"/>
                <w:color w:val="auto"/>
              </w:rPr>
              <w:t>Lokavant</w:t>
            </w:r>
          </w:p>
        </w:tc>
        <w:tc>
          <w:tcPr>
            <w:tcW w:w="280" w:type="dxa"/>
            <w:vAlign w:val="bottom"/>
          </w:tcPr>
          <w:p>
            <w:pPr>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Optimizing trial</w:t>
            </w:r>
          </w:p>
        </w:tc>
        <w:tc>
          <w:tcPr>
            <w:tcW w:w="1320" w:type="dxa"/>
            <w:vAlign w:val="bottom"/>
            <w:gridSpan w:val="2"/>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operations with an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end-to-end risk</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9"/>
              </w:rPr>
              <w:t>monitoring solution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gridSpan w:val="2"/>
          </w:tcPr>
          <w:p>
            <w:pPr>
              <w:spacing w:after="0"/>
              <w:rPr>
                <w:sz w:val="20"/>
                <w:szCs w:val="20"/>
                <w:color w:val="auto"/>
              </w:rPr>
            </w:pPr>
            <w:r>
              <w:rPr>
                <w:rFonts w:ascii="Arial" w:cs="Arial" w:eastAsia="Arial" w:hAnsi="Arial"/>
                <w:sz w:val="12"/>
                <w:szCs w:val="12"/>
                <w:color w:val="auto"/>
              </w:rPr>
              <w:t>Datavant**</w:t>
            </w:r>
          </w:p>
        </w:tc>
        <w:tc>
          <w:tcPr>
            <w:tcW w:w="280" w:type="dxa"/>
            <w:vAlign w:val="bottom"/>
          </w:tcPr>
          <w:p>
            <w:pPr>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w w:val="96"/>
              </w:rPr>
              <w:t>Connecting patient-</w:t>
            </w:r>
          </w:p>
        </w:tc>
        <w:tc>
          <w:tcPr>
            <w:tcW w:w="1320" w:type="dxa"/>
            <w:vAlign w:val="bottom"/>
            <w:gridSpan w:val="2"/>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level health data</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through privacy-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first, HIPAA-</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compliant tokens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gridSpan w:val="2"/>
          </w:tcPr>
          <w:p>
            <w:pPr>
              <w:spacing w:after="0"/>
              <w:rPr>
                <w:sz w:val="20"/>
                <w:szCs w:val="20"/>
                <w:color w:val="auto"/>
              </w:rPr>
            </w:pPr>
            <w:r>
              <w:rPr>
                <w:rFonts w:ascii="Arial" w:cs="Arial" w:eastAsia="Arial" w:hAnsi="Arial"/>
                <w:sz w:val="12"/>
                <w:szCs w:val="12"/>
                <w:color w:val="auto"/>
              </w:rPr>
              <w:t>Alyvant</w:t>
            </w:r>
          </w:p>
        </w:tc>
        <w:tc>
          <w:tcPr>
            <w:tcW w:w="280" w:type="dxa"/>
            <w:vAlign w:val="bottom"/>
          </w:tcPr>
          <w:p>
            <w:pPr>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Leveraging data</w:t>
            </w:r>
          </w:p>
        </w:tc>
        <w:tc>
          <w:tcPr>
            <w:tcW w:w="1320" w:type="dxa"/>
            <w:vAlign w:val="bottom"/>
            <w:gridSpan w:val="2"/>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auto"/>
              </w:rPr>
              <w:t>and artificial</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340"/>
        <w:spacing w:after="0"/>
        <w:rPr>
          <w:sz w:val="20"/>
          <w:szCs w:val="20"/>
          <w:color w:val="auto"/>
        </w:rPr>
      </w:pPr>
      <w:r>
        <w:rPr>
          <w:rFonts w:ascii="Arial" w:cs="Arial" w:eastAsia="Arial" w:hAnsi="Arial"/>
          <w:sz w:val="12"/>
          <w:szCs w:val="12"/>
          <w:color w:val="auto"/>
        </w:rPr>
        <w:t>intelligence to</w:t>
      </w:r>
    </w:p>
    <w:p>
      <w:pPr>
        <w:spacing w:after="0" w:line="6" w:lineRule="exact"/>
        <w:rPr>
          <w:sz w:val="20"/>
          <w:szCs w:val="20"/>
          <w:color w:val="auto"/>
        </w:rPr>
      </w:pPr>
    </w:p>
    <w:p>
      <w:pPr>
        <w:ind w:left="3340"/>
        <w:spacing w:after="0"/>
        <w:rPr>
          <w:sz w:val="20"/>
          <w:szCs w:val="20"/>
          <w:color w:val="auto"/>
        </w:rPr>
      </w:pPr>
      <w:r>
        <w:rPr>
          <w:rFonts w:ascii="Arial" w:cs="Arial" w:eastAsia="Arial" w:hAnsi="Arial"/>
          <w:sz w:val="12"/>
          <w:szCs w:val="12"/>
          <w:color w:val="auto"/>
        </w:rPr>
        <w:t>connect patients to</w:t>
      </w:r>
    </w:p>
    <w:p>
      <w:pPr>
        <w:spacing w:after="0" w:line="6" w:lineRule="exact"/>
        <w:rPr>
          <w:sz w:val="20"/>
          <w:szCs w:val="20"/>
          <w:color w:val="auto"/>
        </w:rPr>
      </w:pPr>
    </w:p>
    <w:p>
      <w:pPr>
        <w:ind w:left="3340"/>
        <w:spacing w:after="0"/>
        <w:rPr>
          <w:sz w:val="20"/>
          <w:szCs w:val="20"/>
          <w:color w:val="auto"/>
        </w:rPr>
      </w:pPr>
      <w:r>
        <w:rPr>
          <w:rFonts w:ascii="Arial" w:cs="Arial" w:eastAsia="Arial" w:hAnsi="Arial"/>
          <w:sz w:val="12"/>
          <w:szCs w:val="12"/>
          <w:color w:val="auto"/>
        </w:rPr>
        <w:t>therapies</w:t>
      </w:r>
    </w:p>
    <w:p>
      <w:pPr>
        <w:spacing w:after="0" w:line="138" w:lineRule="exact"/>
        <w:rPr>
          <w:sz w:val="20"/>
          <w:szCs w:val="20"/>
          <w:color w:val="auto"/>
        </w:rPr>
      </w:pPr>
    </w:p>
    <w:p>
      <w:pPr>
        <w:ind w:left="1980" w:right="1039"/>
        <w:spacing w:after="0" w:line="230" w:lineRule="auto"/>
        <w:rPr>
          <w:sz w:val="20"/>
          <w:szCs w:val="20"/>
          <w:color w:val="auto"/>
        </w:rPr>
      </w:pPr>
      <w:r>
        <w:rPr>
          <w:rFonts w:ascii="Arial" w:cs="Arial" w:eastAsia="Arial" w:hAnsi="Arial"/>
          <w:sz w:val="10"/>
          <w:szCs w:val="10"/>
          <w:color w:val="auto"/>
        </w:rPr>
        <w:t>Note: Excludes early-stage pipeline of protein degraders and inhibitors being developed through our small molecule discovery engine. All drugs in current pipeline are investigational and subject to health authority approval. Where applicable, upcoming milestones are contingent on FDA feedback.</w:t>
      </w:r>
    </w:p>
    <w:p>
      <w:pPr>
        <w:spacing w:after="0" w:line="122" w:lineRule="exact"/>
        <w:rPr>
          <w:sz w:val="20"/>
          <w:szCs w:val="20"/>
          <w:color w:val="auto"/>
        </w:rPr>
      </w:pPr>
    </w:p>
    <w:p>
      <w:pPr>
        <w:ind w:left="1980" w:right="899"/>
        <w:spacing w:after="0" w:line="230" w:lineRule="auto"/>
        <w:rPr>
          <w:sz w:val="20"/>
          <w:szCs w:val="20"/>
          <w:color w:val="auto"/>
        </w:rPr>
      </w:pPr>
      <w:r>
        <w:rPr>
          <w:rFonts w:ascii="Arial" w:cs="Arial" w:eastAsia="Arial" w:hAnsi="Arial"/>
          <w:sz w:val="10"/>
          <w:szCs w:val="10"/>
          <w:color w:val="auto"/>
        </w:rPr>
        <w:t>Ownership figures as of June 30, 2021. Arbutus basic and fully diluted ownership includes the conversion of preferred shares held by Roivant into Common Shares, which was completed on October 18, 2021. Roivant ownership in Cytovant includes both direct and indirect ownership.</w:t>
      </w:r>
    </w:p>
    <w:p>
      <w:pPr>
        <w:spacing w:after="0" w:line="132" w:lineRule="exact"/>
        <w:rPr>
          <w:sz w:val="20"/>
          <w:szCs w:val="20"/>
          <w:color w:val="auto"/>
        </w:rPr>
      </w:pPr>
    </w:p>
    <w:p>
      <w:pPr>
        <w:ind w:left="2260" w:hanging="288"/>
        <w:spacing w:after="0"/>
        <w:tabs>
          <w:tab w:leader="none" w:pos="2260" w:val="left"/>
        </w:tabs>
        <w:numPr>
          <w:ilvl w:val="0"/>
          <w:numId w:val="77"/>
        </w:numPr>
        <w:rPr>
          <w:rFonts w:ascii="Arial" w:cs="Arial" w:eastAsia="Arial" w:hAnsi="Arial"/>
          <w:sz w:val="10"/>
          <w:szCs w:val="10"/>
          <w:color w:val="auto"/>
        </w:rPr>
      </w:pPr>
      <w:r>
        <w:rPr>
          <w:rFonts w:ascii="Arial" w:cs="Arial" w:eastAsia="Arial" w:hAnsi="Arial"/>
          <w:sz w:val="10"/>
          <w:szCs w:val="10"/>
          <w:color w:val="auto"/>
        </w:rPr>
        <w:t>Denotes entities that are publicly traded.</w:t>
      </w:r>
    </w:p>
    <w:p>
      <w:pPr>
        <w:ind w:left="2260" w:right="879" w:hanging="288"/>
        <w:spacing w:after="0" w:line="216" w:lineRule="auto"/>
        <w:tabs>
          <w:tab w:leader="none" w:pos="2260" w:val="left"/>
        </w:tabs>
        <w:numPr>
          <w:ilvl w:val="0"/>
          <w:numId w:val="78"/>
        </w:numPr>
        <w:rPr>
          <w:rFonts w:ascii="Arial" w:cs="Arial" w:eastAsia="Arial" w:hAnsi="Arial"/>
          <w:sz w:val="10"/>
          <w:szCs w:val="10"/>
          <w:color w:val="auto"/>
        </w:rPr>
      </w:pPr>
      <w:r>
        <w:rPr>
          <w:rFonts w:ascii="Arial" w:cs="Arial" w:eastAsia="Arial" w:hAnsi="Arial"/>
          <w:sz w:val="10"/>
          <w:szCs w:val="10"/>
          <w:color w:val="auto"/>
        </w:rPr>
        <w:t>In June 2021, Datavant entered into a definitive merger agreement to combine with Ciox Health. The transaction closed in July 2021. Following the closing of the merger, Roivant has a minority equity ownership in the combined entity. For more information, see “Management’s Discussion and Analysis of Financial Condition and Results of Operations–Recent Developments.”</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159"/>
          </w:cols>
          <w:pgMar w:left="300" w:top="372"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summarizes our development-stage product candidate pipeline:</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1180" w:type="dxa"/>
            <w:vAlign w:val="bottom"/>
            <w:gridSpan w:val="2"/>
          </w:tcPr>
          <w:p>
            <w:pPr>
              <w:spacing w:after="0"/>
              <w:rPr>
                <w:sz w:val="20"/>
                <w:szCs w:val="20"/>
                <w:color w:val="auto"/>
              </w:rPr>
            </w:pPr>
            <w:r>
              <w:rPr>
                <w:rFonts w:ascii="Arial" w:cs="Arial" w:eastAsia="Arial" w:hAnsi="Arial"/>
                <w:sz w:val="10"/>
                <w:szCs w:val="10"/>
                <w:b w:val="1"/>
                <w:bCs w:val="1"/>
                <w:color w:val="auto"/>
              </w:rPr>
              <w:t>Product Candidate</w:t>
            </w:r>
          </w:p>
        </w:tc>
        <w:tc>
          <w:tcPr>
            <w:tcW w:w="3080" w:type="dxa"/>
            <w:vAlign w:val="bottom"/>
            <w:gridSpan w:val="2"/>
          </w:tcPr>
          <w:p>
            <w:pPr>
              <w:ind w:left="1300"/>
              <w:spacing w:after="0"/>
              <w:rPr>
                <w:sz w:val="20"/>
                <w:szCs w:val="20"/>
                <w:color w:val="auto"/>
              </w:rPr>
            </w:pPr>
            <w:r>
              <w:rPr>
                <w:rFonts w:ascii="Arial" w:cs="Arial" w:eastAsia="Arial" w:hAnsi="Arial"/>
                <w:sz w:val="10"/>
                <w:szCs w:val="10"/>
                <w:b w:val="1"/>
                <w:bCs w:val="1"/>
                <w:color w:val="auto"/>
              </w:rPr>
              <w:t>Indication</w:t>
            </w:r>
          </w:p>
        </w:tc>
        <w:tc>
          <w:tcPr>
            <w:tcW w:w="1240" w:type="dxa"/>
            <w:vAlign w:val="bottom"/>
            <w:gridSpan w:val="2"/>
          </w:tcPr>
          <w:p>
            <w:pPr>
              <w:ind w:left="480"/>
              <w:spacing w:after="0"/>
              <w:rPr>
                <w:sz w:val="20"/>
                <w:szCs w:val="20"/>
                <w:color w:val="auto"/>
              </w:rPr>
            </w:pPr>
            <w:r>
              <w:rPr>
                <w:rFonts w:ascii="Arial" w:cs="Arial" w:eastAsia="Arial" w:hAnsi="Arial"/>
                <w:sz w:val="10"/>
                <w:szCs w:val="10"/>
                <w:b w:val="1"/>
                <w:bCs w:val="1"/>
                <w:color w:val="auto"/>
              </w:rPr>
              <w:t>Vant</w:t>
            </w:r>
          </w:p>
        </w:tc>
        <w:tc>
          <w:tcPr>
            <w:tcW w:w="1240" w:type="dxa"/>
            <w:vAlign w:val="bottom"/>
            <w:gridSpan w:val="2"/>
          </w:tcPr>
          <w:p>
            <w:pPr>
              <w:ind w:left="400"/>
              <w:spacing w:after="0"/>
              <w:rPr>
                <w:sz w:val="20"/>
                <w:szCs w:val="20"/>
                <w:color w:val="auto"/>
              </w:rPr>
            </w:pPr>
            <w:r>
              <w:rPr>
                <w:rFonts w:ascii="Arial" w:cs="Arial" w:eastAsia="Arial" w:hAnsi="Arial"/>
                <w:sz w:val="10"/>
                <w:szCs w:val="10"/>
                <w:b w:val="1"/>
                <w:bCs w:val="1"/>
                <w:color w:val="auto"/>
              </w:rPr>
              <w:t>Modality</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81"/>
              </w:rPr>
              <w:t>Phase</w:t>
            </w:r>
          </w:p>
        </w:tc>
      </w:tr>
      <w:tr>
        <w:trPr>
          <w:trHeight w:val="124"/>
        </w:trPr>
        <w:tc>
          <w:tcPr>
            <w:tcW w:w="11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Tapinarof</w:t>
            </w:r>
          </w:p>
        </w:tc>
        <w:tc>
          <w:tcPr>
            <w:tcW w:w="80" w:type="dxa"/>
            <w:vAlign w:val="bottom"/>
          </w:tcPr>
          <w:p>
            <w:pPr>
              <w:spacing w:after="0"/>
              <w:rPr>
                <w:sz w:val="10"/>
                <w:szCs w:val="10"/>
                <w:color w:val="auto"/>
              </w:rPr>
            </w:pPr>
          </w:p>
        </w:tc>
        <w:tc>
          <w:tcPr>
            <w:tcW w:w="30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Psoriasis</w:t>
            </w: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Dermavant</w:t>
            </w: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Topical</w:t>
            </w:r>
          </w:p>
        </w:tc>
        <w:tc>
          <w:tcPr>
            <w:tcW w:w="80" w:type="dxa"/>
            <w:vAlign w:val="bottom"/>
          </w:tcPr>
          <w:p>
            <w:pPr>
              <w:spacing w:after="0"/>
              <w:rPr>
                <w:sz w:val="10"/>
                <w:szCs w:val="10"/>
                <w:color w:val="auto"/>
              </w:rPr>
            </w:pPr>
          </w:p>
        </w:tc>
        <w:tc>
          <w:tcPr>
            <w:tcW w:w="6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Registration</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Tapinarof</w:t>
            </w:r>
          </w:p>
        </w:tc>
        <w:tc>
          <w:tcPr>
            <w:tcW w:w="308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12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3</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Cerdulatinib</w:t>
            </w:r>
          </w:p>
        </w:tc>
        <w:tc>
          <w:tcPr>
            <w:tcW w:w="3080" w:type="dxa"/>
            <w:vAlign w:val="bottom"/>
            <w:gridSpan w:val="2"/>
          </w:tcPr>
          <w:p>
            <w:pPr>
              <w:spacing w:after="0"/>
              <w:rPr>
                <w:sz w:val="20"/>
                <w:szCs w:val="20"/>
                <w:color w:val="auto"/>
              </w:rPr>
            </w:pPr>
            <w:r>
              <w:rPr>
                <w:rFonts w:ascii="Arial" w:cs="Arial" w:eastAsia="Arial" w:hAnsi="Arial"/>
                <w:sz w:val="12"/>
                <w:szCs w:val="12"/>
                <w:color w:val="auto"/>
              </w:rPr>
              <w:t>Vitiligo</w:t>
            </w:r>
          </w:p>
        </w:tc>
        <w:tc>
          <w:tcPr>
            <w:tcW w:w="12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IMVT-1401</w:t>
            </w:r>
          </w:p>
        </w:tc>
        <w:tc>
          <w:tcPr>
            <w:tcW w:w="3080" w:type="dxa"/>
            <w:vAlign w:val="bottom"/>
            <w:gridSpan w:val="2"/>
          </w:tcPr>
          <w:p>
            <w:pPr>
              <w:spacing w:after="0"/>
              <w:rPr>
                <w:sz w:val="20"/>
                <w:szCs w:val="20"/>
                <w:color w:val="auto"/>
              </w:rPr>
            </w:pPr>
            <w:r>
              <w:rPr>
                <w:rFonts w:ascii="Arial" w:cs="Arial" w:eastAsia="Arial" w:hAnsi="Arial"/>
                <w:sz w:val="12"/>
                <w:szCs w:val="12"/>
                <w:color w:val="auto"/>
              </w:rPr>
              <w:t>Myasthenia Gravis</w:t>
            </w:r>
          </w:p>
        </w:tc>
        <w:tc>
          <w:tcPr>
            <w:tcW w:w="12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IMVT-1401</w:t>
            </w:r>
          </w:p>
        </w:tc>
        <w:tc>
          <w:tcPr>
            <w:tcW w:w="3080" w:type="dxa"/>
            <w:vAlign w:val="bottom"/>
            <w:gridSpan w:val="2"/>
          </w:tcPr>
          <w:p>
            <w:pPr>
              <w:spacing w:after="0"/>
              <w:rPr>
                <w:sz w:val="20"/>
                <w:szCs w:val="20"/>
                <w:color w:val="auto"/>
              </w:rPr>
            </w:pPr>
            <w:r>
              <w:rPr>
                <w:rFonts w:ascii="Arial" w:cs="Arial" w:eastAsia="Arial" w:hAnsi="Arial"/>
                <w:sz w:val="12"/>
                <w:szCs w:val="12"/>
                <w:color w:val="auto"/>
              </w:rPr>
              <w:t>Warm Autoimmune Hemolytic Anemia</w:t>
            </w:r>
          </w:p>
        </w:tc>
        <w:tc>
          <w:tcPr>
            <w:tcW w:w="12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IMVT-1401</w:t>
            </w:r>
          </w:p>
        </w:tc>
        <w:tc>
          <w:tcPr>
            <w:tcW w:w="3080" w:type="dxa"/>
            <w:vAlign w:val="bottom"/>
            <w:gridSpan w:val="2"/>
          </w:tcPr>
          <w:p>
            <w:pPr>
              <w:spacing w:after="0"/>
              <w:rPr>
                <w:sz w:val="20"/>
                <w:szCs w:val="20"/>
                <w:color w:val="auto"/>
              </w:rPr>
            </w:pPr>
            <w:r>
              <w:rPr>
                <w:rFonts w:ascii="Arial" w:cs="Arial" w:eastAsia="Arial" w:hAnsi="Arial"/>
                <w:sz w:val="12"/>
                <w:szCs w:val="12"/>
                <w:color w:val="auto"/>
              </w:rPr>
              <w:t>Thyroid Eye Disease</w:t>
            </w:r>
          </w:p>
        </w:tc>
        <w:tc>
          <w:tcPr>
            <w:tcW w:w="1240" w:type="dxa"/>
            <w:vAlign w:val="bottom"/>
            <w:gridSpan w:val="2"/>
          </w:tcPr>
          <w:p>
            <w:pPr>
              <w:spacing w:after="0"/>
              <w:rPr>
                <w:sz w:val="20"/>
                <w:szCs w:val="20"/>
                <w:color w:val="auto"/>
              </w:rPr>
            </w:pPr>
            <w:r>
              <w:rPr>
                <w:rFonts w:ascii="Arial" w:cs="Arial" w:eastAsia="Arial" w:hAnsi="Arial"/>
                <w:sz w:val="12"/>
                <w:szCs w:val="12"/>
                <w:color w:val="auto"/>
              </w:rPr>
              <w:t>Immunovant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ARU-1801</w:t>
            </w:r>
          </w:p>
        </w:tc>
        <w:tc>
          <w:tcPr>
            <w:tcW w:w="3080" w:type="dxa"/>
            <w:vAlign w:val="bottom"/>
            <w:gridSpan w:val="2"/>
          </w:tcPr>
          <w:p>
            <w:pPr>
              <w:spacing w:after="0"/>
              <w:rPr>
                <w:sz w:val="20"/>
                <w:szCs w:val="20"/>
                <w:color w:val="auto"/>
              </w:rPr>
            </w:pPr>
            <w:r>
              <w:rPr>
                <w:rFonts w:ascii="Arial" w:cs="Arial" w:eastAsia="Arial" w:hAnsi="Arial"/>
                <w:sz w:val="12"/>
                <w:szCs w:val="12"/>
                <w:color w:val="auto"/>
              </w:rPr>
              <w:t>Sickle Cell Disease</w:t>
            </w:r>
          </w:p>
        </w:tc>
        <w:tc>
          <w:tcPr>
            <w:tcW w:w="124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Namilumab</w:t>
            </w:r>
          </w:p>
        </w:tc>
        <w:tc>
          <w:tcPr>
            <w:tcW w:w="3080" w:type="dxa"/>
            <w:vAlign w:val="bottom"/>
            <w:gridSpan w:val="2"/>
          </w:tcPr>
          <w:p>
            <w:pPr>
              <w:spacing w:after="0"/>
              <w:rPr>
                <w:sz w:val="20"/>
                <w:szCs w:val="20"/>
                <w:color w:val="auto"/>
              </w:rPr>
            </w:pPr>
            <w:r>
              <w:rPr>
                <w:rFonts w:ascii="Arial" w:cs="Arial" w:eastAsia="Arial" w:hAnsi="Arial"/>
                <w:sz w:val="12"/>
                <w:szCs w:val="12"/>
                <w:color w:val="auto"/>
              </w:rPr>
              <w:t>Sarcoidosis</w:t>
            </w:r>
          </w:p>
        </w:tc>
        <w:tc>
          <w:tcPr>
            <w:tcW w:w="1240" w:type="dxa"/>
            <w:vAlign w:val="bottom"/>
            <w:gridSpan w:val="2"/>
          </w:tcPr>
          <w:p>
            <w:pPr>
              <w:spacing w:after="0"/>
              <w:rPr>
                <w:sz w:val="20"/>
                <w:szCs w:val="20"/>
                <w:color w:val="auto"/>
              </w:rPr>
            </w:pPr>
            <w:r>
              <w:rPr>
                <w:rFonts w:ascii="Arial" w:cs="Arial" w:eastAsia="Arial" w:hAnsi="Arial"/>
                <w:sz w:val="12"/>
                <w:szCs w:val="12"/>
                <w:color w:val="auto"/>
              </w:rPr>
              <w:t>Kinevant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LSVT-1701</w:t>
            </w:r>
          </w:p>
        </w:tc>
        <w:tc>
          <w:tcPr>
            <w:tcW w:w="3080" w:type="dxa"/>
            <w:vAlign w:val="bottom"/>
            <w:gridSpan w:val="2"/>
          </w:tcPr>
          <w:p>
            <w:pPr>
              <w:spacing w:after="0"/>
              <w:rPr>
                <w:sz w:val="20"/>
                <w:szCs w:val="20"/>
                <w:color w:val="auto"/>
              </w:rPr>
            </w:pPr>
            <w:r>
              <w:rPr>
                <w:rFonts w:ascii="Arial" w:cs="Arial" w:eastAsia="Arial" w:hAnsi="Arial"/>
                <w:sz w:val="12"/>
                <w:szCs w:val="12"/>
                <w:color w:val="auto"/>
              </w:rPr>
              <w:t>Staph Aureus Bacteremia</w:t>
            </w:r>
          </w:p>
        </w:tc>
        <w:tc>
          <w:tcPr>
            <w:tcW w:w="1240" w:type="dxa"/>
            <w:vAlign w:val="bottom"/>
            <w:gridSpan w:val="2"/>
          </w:tcPr>
          <w:p>
            <w:pPr>
              <w:spacing w:after="0"/>
              <w:rPr>
                <w:sz w:val="20"/>
                <w:szCs w:val="20"/>
                <w:color w:val="auto"/>
              </w:rPr>
            </w:pPr>
            <w:r>
              <w:rPr>
                <w:rFonts w:ascii="Arial" w:cs="Arial" w:eastAsia="Arial" w:hAnsi="Arial"/>
                <w:sz w:val="12"/>
                <w:szCs w:val="12"/>
                <w:color w:val="auto"/>
              </w:rPr>
              <w:t>Lysovant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Cerdulatinib</w:t>
            </w:r>
          </w:p>
        </w:tc>
        <w:tc>
          <w:tcPr>
            <w:tcW w:w="3080" w:type="dxa"/>
            <w:vAlign w:val="bottom"/>
            <w:gridSpan w:val="2"/>
          </w:tcPr>
          <w:p>
            <w:pPr>
              <w:spacing w:after="0"/>
              <w:rPr>
                <w:sz w:val="20"/>
                <w:szCs w:val="20"/>
                <w:color w:val="auto"/>
              </w:rPr>
            </w:pPr>
            <w:r>
              <w:rPr>
                <w:rFonts w:ascii="Arial" w:cs="Arial" w:eastAsia="Arial" w:hAnsi="Arial"/>
                <w:sz w:val="12"/>
                <w:szCs w:val="12"/>
                <w:color w:val="auto"/>
              </w:rPr>
              <w:t>Atopic Dermatitis</w:t>
            </w:r>
          </w:p>
        </w:tc>
        <w:tc>
          <w:tcPr>
            <w:tcW w:w="12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DMVT-504</w:t>
            </w:r>
          </w:p>
        </w:tc>
        <w:tc>
          <w:tcPr>
            <w:tcW w:w="3080" w:type="dxa"/>
            <w:vAlign w:val="bottom"/>
            <w:gridSpan w:val="2"/>
          </w:tcPr>
          <w:p>
            <w:pPr>
              <w:spacing w:after="0"/>
              <w:rPr>
                <w:sz w:val="20"/>
                <w:szCs w:val="20"/>
                <w:color w:val="auto"/>
              </w:rPr>
            </w:pPr>
            <w:r>
              <w:rPr>
                <w:rFonts w:ascii="Arial" w:cs="Arial" w:eastAsia="Arial" w:hAnsi="Arial"/>
                <w:sz w:val="12"/>
                <w:szCs w:val="12"/>
                <w:color w:val="auto"/>
              </w:rPr>
              <w:t>Hyperhidrosis</w:t>
            </w:r>
          </w:p>
        </w:tc>
        <w:tc>
          <w:tcPr>
            <w:tcW w:w="12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Small Molecule</w:t>
            </w:r>
          </w:p>
        </w:tc>
        <w:tc>
          <w:tcPr>
            <w:tcW w:w="600" w:type="dxa"/>
            <w:vAlign w:val="bottom"/>
          </w:tcPr>
          <w:p>
            <w:pPr>
              <w:jc w:val="center"/>
              <w:spacing w:after="0"/>
              <w:rPr>
                <w:sz w:val="20"/>
                <w:szCs w:val="20"/>
                <w:color w:val="auto"/>
              </w:rPr>
            </w:pPr>
            <w:r>
              <w:rPr>
                <w:rFonts w:ascii="Arial" w:cs="Arial" w:eastAsia="Arial" w:hAnsi="Arial"/>
                <w:sz w:val="12"/>
                <w:szCs w:val="12"/>
                <w:color w:val="auto"/>
                <w:w w:val="81"/>
              </w:rPr>
              <w:t>Phase 1</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DMVT-503</w:t>
            </w:r>
          </w:p>
        </w:tc>
        <w:tc>
          <w:tcPr>
            <w:tcW w:w="3080" w:type="dxa"/>
            <w:vAlign w:val="bottom"/>
            <w:gridSpan w:val="2"/>
          </w:tcPr>
          <w:p>
            <w:pPr>
              <w:spacing w:after="0"/>
              <w:rPr>
                <w:sz w:val="20"/>
                <w:szCs w:val="20"/>
                <w:color w:val="auto"/>
              </w:rPr>
            </w:pPr>
            <w:r>
              <w:rPr>
                <w:rFonts w:ascii="Arial" w:cs="Arial" w:eastAsia="Arial" w:hAnsi="Arial"/>
                <w:sz w:val="12"/>
                <w:szCs w:val="12"/>
                <w:color w:val="auto"/>
              </w:rPr>
              <w:t>Acne</w:t>
            </w:r>
          </w:p>
        </w:tc>
        <w:tc>
          <w:tcPr>
            <w:tcW w:w="1240" w:type="dxa"/>
            <w:vAlign w:val="bottom"/>
            <w:gridSpan w:val="2"/>
          </w:tcPr>
          <w:p>
            <w:pPr>
              <w:spacing w:after="0"/>
              <w:rPr>
                <w:sz w:val="20"/>
                <w:szCs w:val="20"/>
                <w:color w:val="auto"/>
              </w:rPr>
            </w:pPr>
            <w:r>
              <w:rPr>
                <w:rFonts w:ascii="Arial" w:cs="Arial" w:eastAsia="Arial" w:hAnsi="Arial"/>
                <w:sz w:val="12"/>
                <w:szCs w:val="12"/>
                <w:color w:val="auto"/>
              </w:rPr>
              <w:t>Dermavant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Topical</w:t>
            </w: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ARU-2801</w:t>
            </w:r>
          </w:p>
        </w:tc>
        <w:tc>
          <w:tcPr>
            <w:tcW w:w="3080" w:type="dxa"/>
            <w:vAlign w:val="bottom"/>
            <w:gridSpan w:val="2"/>
          </w:tcPr>
          <w:p>
            <w:pPr>
              <w:spacing w:after="0"/>
              <w:rPr>
                <w:sz w:val="20"/>
                <w:szCs w:val="20"/>
                <w:color w:val="auto"/>
              </w:rPr>
            </w:pPr>
            <w:r>
              <w:rPr>
                <w:rFonts w:ascii="Arial" w:cs="Arial" w:eastAsia="Arial" w:hAnsi="Arial"/>
                <w:sz w:val="12"/>
                <w:szCs w:val="12"/>
                <w:color w:val="auto"/>
              </w:rPr>
              <w:t>Hypophosphatasia</w:t>
            </w:r>
          </w:p>
        </w:tc>
        <w:tc>
          <w:tcPr>
            <w:tcW w:w="1240" w:type="dxa"/>
            <w:vAlign w:val="bottom"/>
            <w:gridSpan w:val="2"/>
          </w:tcPr>
          <w:p>
            <w:pPr>
              <w:spacing w:after="0"/>
              <w:rPr>
                <w:sz w:val="20"/>
                <w:szCs w:val="20"/>
                <w:color w:val="auto"/>
              </w:rPr>
            </w:pPr>
            <w:r>
              <w:rPr>
                <w:rFonts w:ascii="Arial" w:cs="Arial" w:eastAsia="Arial" w:hAnsi="Arial"/>
                <w:sz w:val="12"/>
                <w:szCs w:val="12"/>
                <w:color w:val="auto"/>
              </w:rPr>
              <w:t>Aruvant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Gene Therapy</w:t>
            </w: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AFM32</w:t>
            </w:r>
          </w:p>
        </w:tc>
        <w:tc>
          <w:tcPr>
            <w:tcW w:w="3080" w:type="dxa"/>
            <w:vAlign w:val="bottom"/>
            <w:gridSpan w:val="2"/>
          </w:tcPr>
          <w:p>
            <w:pPr>
              <w:spacing w:after="0"/>
              <w:rPr>
                <w:sz w:val="20"/>
                <w:szCs w:val="20"/>
                <w:color w:val="auto"/>
              </w:rPr>
            </w:pPr>
            <w:r>
              <w:rPr>
                <w:rFonts w:ascii="Arial" w:cs="Arial" w:eastAsia="Arial" w:hAnsi="Arial"/>
                <w:sz w:val="12"/>
                <w:szCs w:val="12"/>
                <w:color w:val="auto"/>
              </w:rPr>
              <w:t>Solid Tumors</w:t>
            </w:r>
          </w:p>
        </w:tc>
        <w:tc>
          <w:tcPr>
            <w:tcW w:w="1240" w:type="dxa"/>
            <w:vAlign w:val="bottom"/>
            <w:gridSpan w:val="2"/>
          </w:tcPr>
          <w:p>
            <w:pPr>
              <w:spacing w:after="0"/>
              <w:rPr>
                <w:sz w:val="20"/>
                <w:szCs w:val="20"/>
                <w:color w:val="auto"/>
              </w:rPr>
            </w:pPr>
            <w:r>
              <w:rPr>
                <w:rFonts w:ascii="Arial" w:cs="Arial" w:eastAsia="Arial" w:hAnsi="Arial"/>
                <w:sz w:val="12"/>
                <w:szCs w:val="12"/>
                <w:color w:val="auto"/>
              </w:rPr>
              <w:t>Affivant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Biologic</w:t>
            </w: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CVT-TCR-01</w:t>
            </w:r>
          </w:p>
        </w:tc>
        <w:tc>
          <w:tcPr>
            <w:tcW w:w="3080" w:type="dxa"/>
            <w:vAlign w:val="bottom"/>
            <w:gridSpan w:val="2"/>
          </w:tcPr>
          <w:p>
            <w:pPr>
              <w:spacing w:after="0"/>
              <w:rPr>
                <w:sz w:val="20"/>
                <w:szCs w:val="20"/>
                <w:color w:val="auto"/>
              </w:rPr>
            </w:pPr>
            <w:r>
              <w:rPr>
                <w:rFonts w:ascii="Arial" w:cs="Arial" w:eastAsia="Arial" w:hAnsi="Arial"/>
                <w:sz w:val="12"/>
                <w:szCs w:val="12"/>
                <w:color w:val="auto"/>
              </w:rPr>
              <w:t>Oncologic Malignancies</w:t>
            </w:r>
          </w:p>
        </w:tc>
        <w:tc>
          <w:tcPr>
            <w:tcW w:w="1240" w:type="dxa"/>
            <w:vAlign w:val="bottom"/>
            <w:gridSpan w:val="2"/>
          </w:tcPr>
          <w:p>
            <w:pPr>
              <w:spacing w:after="0"/>
              <w:rPr>
                <w:sz w:val="20"/>
                <w:szCs w:val="20"/>
                <w:color w:val="auto"/>
              </w:rPr>
            </w:pPr>
            <w:r>
              <w:rPr>
                <w:rFonts w:ascii="Arial" w:cs="Arial" w:eastAsia="Arial" w:hAnsi="Arial"/>
                <w:sz w:val="12"/>
                <w:szCs w:val="12"/>
                <w:color w:val="auto"/>
              </w:rPr>
              <w:t>Cytovant</w:t>
            </w:r>
          </w:p>
        </w:tc>
        <w:tc>
          <w:tcPr>
            <w:tcW w:w="1240" w:type="dxa"/>
            <w:vAlign w:val="bottom"/>
            <w:gridSpan w:val="2"/>
          </w:tcPr>
          <w:p>
            <w:pPr>
              <w:spacing w:after="0"/>
              <w:rPr>
                <w:sz w:val="20"/>
                <w:szCs w:val="20"/>
                <w:color w:val="auto"/>
              </w:rPr>
            </w:pPr>
            <w:r>
              <w:rPr>
                <w:rFonts w:ascii="Arial" w:cs="Arial" w:eastAsia="Arial" w:hAnsi="Arial"/>
                <w:sz w:val="12"/>
                <w:szCs w:val="12"/>
                <w:color w:val="auto"/>
              </w:rPr>
              <w:t>Cell Therapy</w:t>
            </w: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Preclinical</w:t>
            </w:r>
          </w:p>
        </w:tc>
      </w:tr>
    </w:tbl>
    <w:p>
      <w:pPr>
        <w:spacing w:after="0" w:line="13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Note: All drugs in current pipeline are investigational and subject to health authority approval.</w:t>
      </w:r>
    </w:p>
    <w:p>
      <w:pPr>
        <w:spacing w:after="0" w:line="13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summarizes our discovery stage pipeline:</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200" w:type="dxa"/>
            <w:vAlign w:val="bottom"/>
            <w:gridSpan w:val="2"/>
          </w:tcPr>
          <w:p>
            <w:pPr>
              <w:spacing w:after="0"/>
              <w:rPr>
                <w:sz w:val="20"/>
                <w:szCs w:val="20"/>
                <w:color w:val="auto"/>
              </w:rPr>
            </w:pPr>
            <w:r>
              <w:rPr>
                <w:rFonts w:ascii="Arial" w:cs="Arial" w:eastAsia="Arial" w:hAnsi="Arial"/>
                <w:sz w:val="10"/>
                <w:szCs w:val="10"/>
                <w:b w:val="1"/>
                <w:bCs w:val="1"/>
                <w:color w:val="auto"/>
              </w:rPr>
              <w:t>Target</w:t>
            </w:r>
          </w:p>
        </w:tc>
        <w:tc>
          <w:tcPr>
            <w:tcW w:w="2500" w:type="dxa"/>
            <w:vAlign w:val="bottom"/>
            <w:gridSpan w:val="2"/>
          </w:tcPr>
          <w:p>
            <w:pPr>
              <w:ind w:left="860"/>
              <w:spacing w:after="0"/>
              <w:rPr>
                <w:sz w:val="20"/>
                <w:szCs w:val="20"/>
                <w:color w:val="auto"/>
              </w:rPr>
            </w:pPr>
            <w:r>
              <w:rPr>
                <w:rFonts w:ascii="Arial" w:cs="Arial" w:eastAsia="Arial" w:hAnsi="Arial"/>
                <w:sz w:val="10"/>
                <w:szCs w:val="10"/>
                <w:b w:val="1"/>
                <w:bCs w:val="1"/>
                <w:color w:val="auto"/>
              </w:rPr>
              <w:t>Therapeutic Area</w:t>
            </w:r>
          </w:p>
        </w:tc>
        <w:tc>
          <w:tcPr>
            <w:tcW w:w="1320" w:type="dxa"/>
            <w:vAlign w:val="bottom"/>
            <w:gridSpan w:val="2"/>
          </w:tcPr>
          <w:p>
            <w:pPr>
              <w:ind w:left="540"/>
              <w:spacing w:after="0"/>
              <w:rPr>
                <w:sz w:val="20"/>
                <w:szCs w:val="20"/>
                <w:color w:val="auto"/>
              </w:rPr>
            </w:pPr>
            <w:r>
              <w:rPr>
                <w:rFonts w:ascii="Arial" w:cs="Arial" w:eastAsia="Arial" w:hAnsi="Arial"/>
                <w:sz w:val="10"/>
                <w:szCs w:val="10"/>
                <w:b w:val="1"/>
                <w:bCs w:val="1"/>
                <w:color w:val="auto"/>
              </w:rPr>
              <w:t>Vant</w:t>
            </w: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Modality</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Phase</w:t>
            </w:r>
          </w:p>
        </w:tc>
      </w:tr>
      <w:tr>
        <w:trPr>
          <w:trHeight w:val="124"/>
        </w:trPr>
        <w:tc>
          <w:tcPr>
            <w:tcW w:w="21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AR</w:t>
            </w:r>
          </w:p>
        </w:tc>
        <w:tc>
          <w:tcPr>
            <w:tcW w:w="80" w:type="dxa"/>
            <w:vAlign w:val="bottom"/>
          </w:tcPr>
          <w:p>
            <w:pPr>
              <w:spacing w:after="0"/>
              <w:rPr>
                <w:sz w:val="10"/>
                <w:szCs w:val="10"/>
                <w:color w:val="auto"/>
              </w:rPr>
            </w:pPr>
          </w:p>
        </w:tc>
        <w:tc>
          <w:tcPr>
            <w:tcW w:w="24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Prostate Cancer</w:t>
            </w:r>
          </w:p>
        </w:tc>
        <w:tc>
          <w:tcPr>
            <w:tcW w:w="60" w:type="dxa"/>
            <w:vAlign w:val="bottom"/>
          </w:tcPr>
          <w:p>
            <w:pPr>
              <w:spacing w:after="0"/>
              <w:rPr>
                <w:sz w:val="10"/>
                <w:szCs w:val="10"/>
                <w:color w:val="auto"/>
              </w:rPr>
            </w:pPr>
          </w:p>
        </w:tc>
        <w:tc>
          <w:tcPr>
            <w:tcW w:w="12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Proteovant</w:t>
            </w: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Degrader</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Preclinical</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STAT3</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 Immunology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Preclinical</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Undisclosed</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CBP/p300</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SMARCA2/4</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Undisclosed</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Multiple Additional Targets</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 Immunology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WRN</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Inhibitor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JAK2-617F</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Inhibitor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CRAF</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Inhibitor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HIF2A</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ADAR1</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Inhibitor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STING</w:t>
            </w:r>
          </w:p>
        </w:tc>
        <w:tc>
          <w:tcPr>
            <w:tcW w:w="2500" w:type="dxa"/>
            <w:vAlign w:val="bottom"/>
            <w:gridSpan w:val="2"/>
          </w:tcPr>
          <w:p>
            <w:pPr>
              <w:spacing w:after="0"/>
              <w:rPr>
                <w:sz w:val="20"/>
                <w:szCs w:val="20"/>
                <w:color w:val="auto"/>
              </w:rPr>
            </w:pPr>
            <w:r>
              <w:rPr>
                <w:rFonts w:ascii="Arial" w:cs="Arial" w:eastAsia="Arial" w:hAnsi="Arial"/>
                <w:sz w:val="12"/>
                <w:szCs w:val="12"/>
                <w:color w:val="auto"/>
              </w:rPr>
              <w:t>Immunology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NLRP3</w:t>
            </w:r>
          </w:p>
        </w:tc>
        <w:tc>
          <w:tcPr>
            <w:tcW w:w="2500" w:type="dxa"/>
            <w:vAlign w:val="bottom"/>
            <w:gridSpan w:val="2"/>
          </w:tcPr>
          <w:p>
            <w:pPr>
              <w:spacing w:after="0"/>
              <w:rPr>
                <w:sz w:val="20"/>
                <w:szCs w:val="20"/>
                <w:color w:val="auto"/>
              </w:rPr>
            </w:pPr>
            <w:r>
              <w:rPr>
                <w:rFonts w:ascii="Arial" w:cs="Arial" w:eastAsia="Arial" w:hAnsi="Arial"/>
                <w:sz w:val="12"/>
                <w:szCs w:val="12"/>
                <w:color w:val="auto"/>
              </w:rPr>
              <w:t>Immunology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200" w:type="dxa"/>
            <w:vAlign w:val="bottom"/>
            <w:gridSpan w:val="2"/>
          </w:tcPr>
          <w:p>
            <w:pPr>
              <w:spacing w:after="0"/>
              <w:rPr>
                <w:sz w:val="20"/>
                <w:szCs w:val="20"/>
                <w:color w:val="auto"/>
              </w:rPr>
            </w:pPr>
            <w:r>
              <w:rPr>
                <w:rFonts w:ascii="Arial" w:cs="Arial" w:eastAsia="Arial" w:hAnsi="Arial"/>
                <w:sz w:val="12"/>
                <w:szCs w:val="12"/>
                <w:color w:val="auto"/>
              </w:rPr>
              <w:t>Multiple Additional Targets</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 Neurology, Immunology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Roivant 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r>
        <w:trPr>
          <w:trHeight w:val="144"/>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Proteovant, Roivant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3"/>
        </w:trPr>
        <w:tc>
          <w:tcPr>
            <w:tcW w:w="2200" w:type="dxa"/>
            <w:vAlign w:val="bottom"/>
            <w:gridSpan w:val="2"/>
          </w:tcPr>
          <w:p>
            <w:pPr>
              <w:spacing w:after="0"/>
              <w:rPr>
                <w:sz w:val="20"/>
                <w:szCs w:val="20"/>
                <w:color w:val="auto"/>
              </w:rPr>
            </w:pPr>
            <w:r>
              <w:rPr>
                <w:rFonts w:ascii="Arial" w:cs="Arial" w:eastAsia="Arial" w:hAnsi="Arial"/>
                <w:sz w:val="12"/>
                <w:szCs w:val="12"/>
                <w:color w:val="auto"/>
              </w:rPr>
              <w:t>KRAS G12D</w:t>
            </w:r>
          </w:p>
        </w:tc>
        <w:tc>
          <w:tcPr>
            <w:tcW w:w="2500" w:type="dxa"/>
            <w:vAlign w:val="bottom"/>
            <w:gridSpan w:val="2"/>
          </w:tcPr>
          <w:p>
            <w:pPr>
              <w:spacing w:after="0"/>
              <w:rPr>
                <w:sz w:val="20"/>
                <w:szCs w:val="20"/>
                <w:color w:val="auto"/>
              </w:rPr>
            </w:pPr>
            <w:r>
              <w:rPr>
                <w:rFonts w:ascii="Arial" w:cs="Arial" w:eastAsia="Arial" w:hAnsi="Arial"/>
                <w:sz w:val="12"/>
                <w:szCs w:val="12"/>
                <w:color w:val="auto"/>
              </w:rPr>
              <w:t>Oncology</w:t>
            </w:r>
          </w:p>
        </w:tc>
        <w:tc>
          <w:tcPr>
            <w:tcW w:w="1320" w:type="dxa"/>
            <w:vAlign w:val="bottom"/>
            <w:gridSpan w:val="2"/>
          </w:tcPr>
          <w:p>
            <w:pPr>
              <w:spacing w:after="0"/>
              <w:rPr>
                <w:sz w:val="20"/>
                <w:szCs w:val="20"/>
                <w:color w:val="auto"/>
              </w:rPr>
            </w:pPr>
            <w:r>
              <w:rPr>
                <w:rFonts w:ascii="Arial" w:cs="Arial" w:eastAsia="Arial" w:hAnsi="Arial"/>
                <w:sz w:val="12"/>
                <w:szCs w:val="12"/>
                <w:color w:val="auto"/>
              </w:rPr>
              <w:t>Discovery</w:t>
            </w:r>
          </w:p>
        </w:tc>
        <w:tc>
          <w:tcPr>
            <w:tcW w:w="660" w:type="dxa"/>
            <w:vAlign w:val="bottom"/>
            <w:gridSpan w:val="2"/>
          </w:tcPr>
          <w:p>
            <w:pPr>
              <w:spacing w:after="0"/>
              <w:rPr>
                <w:sz w:val="20"/>
                <w:szCs w:val="20"/>
                <w:color w:val="auto"/>
              </w:rPr>
            </w:pPr>
            <w:r>
              <w:rPr>
                <w:rFonts w:ascii="Arial" w:cs="Arial" w:eastAsia="Arial" w:hAnsi="Arial"/>
                <w:sz w:val="12"/>
                <w:szCs w:val="12"/>
                <w:color w:val="auto"/>
              </w:rPr>
              <w:t>Degrader</w:t>
            </w:r>
          </w:p>
        </w:tc>
        <w:tc>
          <w:tcPr>
            <w:tcW w:w="660" w:type="dxa"/>
            <w:vAlign w:val="bottom"/>
          </w:tcPr>
          <w:p>
            <w:pPr>
              <w:spacing w:after="0"/>
              <w:rPr>
                <w:sz w:val="20"/>
                <w:szCs w:val="20"/>
                <w:color w:val="auto"/>
              </w:rPr>
            </w:pPr>
            <w:r>
              <w:rPr>
                <w:rFonts w:ascii="Arial" w:cs="Arial" w:eastAsia="Arial" w:hAnsi="Arial"/>
                <w:sz w:val="12"/>
                <w:szCs w:val="12"/>
                <w:color w:val="auto"/>
              </w:rPr>
              <w:t>Discovery</w:t>
            </w:r>
          </w:p>
        </w:tc>
      </w:tr>
    </w:tbl>
    <w:p>
      <w:pPr>
        <w:spacing w:after="0" w:line="13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Note: All drugs in current pipeline are investigational and subject to health authority approval.</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0159"/>
          </w:cols>
          <w:pgMar w:left="300" w:top="372"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following table summarizes the opportunity profile as well as potential indications and target populations for select programs in our discovery stage pipeline at Roivant Discovery:</w:t>
      </w:r>
    </w:p>
    <w:p>
      <w:pPr>
        <w:sectPr>
          <w:pgSz w:w="11900" w:h="16838" w:orient="portrait"/>
          <w:cols w:equalWidth="0" w:num="1">
            <w:col w:w="10159"/>
          </w:cols>
          <w:pgMar w:left="300" w:top="372" w:right="1440" w:bottom="1440" w:gutter="0" w:footer="0" w:header="0"/>
        </w:sectPr>
      </w:pPr>
    </w:p>
    <w:p>
      <w:pPr>
        <w:spacing w:after="0" w:line="111" w:lineRule="exact"/>
        <w:rPr>
          <w:sz w:val="20"/>
          <w:szCs w:val="20"/>
          <w:color w:val="auto"/>
        </w:rPr>
      </w:pPr>
    </w:p>
    <w:tbl>
      <w:tblPr>
        <w:tblLayout w:type="fixed"/>
        <w:tblInd w:w="2060" w:type="dxa"/>
        <w:tblCellMar>
          <w:top w:w="0" w:type="dxa"/>
          <w:left w:w="0" w:type="dxa"/>
          <w:bottom w:w="0" w:type="dxa"/>
          <w:right w:w="0" w:type="dxa"/>
        </w:tblCellMar>
      </w:tblPr>
      <w:tr>
        <w:trPr>
          <w:trHeight w:val="115"/>
        </w:trPr>
        <w:tc>
          <w:tcPr>
            <w:tcW w:w="6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Target &amp;</w:t>
            </w:r>
          </w:p>
        </w:tc>
        <w:tc>
          <w:tcPr>
            <w:tcW w:w="3320" w:type="dxa"/>
            <w:vAlign w:val="bottom"/>
          </w:tcPr>
          <w:p>
            <w:pPr>
              <w:spacing w:after="0"/>
              <w:rPr>
                <w:sz w:val="10"/>
                <w:szCs w:val="10"/>
                <w:color w:val="auto"/>
              </w:rPr>
            </w:pPr>
          </w:p>
        </w:tc>
      </w:tr>
      <w:tr>
        <w:trPr>
          <w:trHeight w:val="142"/>
        </w:trPr>
        <w:tc>
          <w:tcPr>
            <w:tcW w:w="6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MoA</w:t>
            </w:r>
          </w:p>
        </w:tc>
        <w:tc>
          <w:tcPr>
            <w:tcW w:w="200" w:type="dxa"/>
            <w:vAlign w:val="bottom"/>
          </w:tcPr>
          <w:p>
            <w:pPr>
              <w:spacing w:after="0"/>
              <w:rPr>
                <w:sz w:val="12"/>
                <w:szCs w:val="12"/>
                <w:color w:val="auto"/>
              </w:rPr>
            </w:pPr>
          </w:p>
        </w:tc>
        <w:tc>
          <w:tcPr>
            <w:tcW w:w="3320" w:type="dxa"/>
            <w:vAlign w:val="bottom"/>
            <w:tcBorders>
              <w:bottom w:val="single" w:sz="8" w:color="auto"/>
            </w:tcBorders>
          </w:tcPr>
          <w:p>
            <w:pPr>
              <w:ind w:left="1260"/>
              <w:spacing w:after="0"/>
              <w:rPr>
                <w:sz w:val="20"/>
                <w:szCs w:val="20"/>
                <w:color w:val="auto"/>
              </w:rPr>
            </w:pPr>
            <w:r>
              <w:rPr>
                <w:rFonts w:ascii="Arial" w:cs="Arial" w:eastAsia="Arial" w:hAnsi="Arial"/>
                <w:sz w:val="10"/>
                <w:szCs w:val="10"/>
                <w:b w:val="1"/>
                <w:bCs w:val="1"/>
                <w:color w:val="auto"/>
              </w:rPr>
              <w:t>Opportunity Profile</w:t>
            </w:r>
          </w:p>
        </w:tc>
      </w:tr>
      <w:tr>
        <w:trPr>
          <w:trHeight w:val="172"/>
        </w:trPr>
        <w:tc>
          <w:tcPr>
            <w:tcW w:w="6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KRAS</w:t>
            </w:r>
          </w:p>
        </w:tc>
        <w:tc>
          <w:tcPr>
            <w:tcW w:w="3320" w:type="dxa"/>
            <w:vAlign w:val="bottom"/>
          </w:tcPr>
          <w:p>
            <w:pPr>
              <w:ind w:left="20"/>
              <w:spacing w:after="0"/>
              <w:rPr>
                <w:sz w:val="20"/>
                <w:szCs w:val="20"/>
                <w:color w:val="auto"/>
              </w:rPr>
            </w:pPr>
            <w:r>
              <w:rPr>
                <w:rFonts w:ascii="Arial" w:cs="Arial" w:eastAsia="Arial" w:hAnsi="Arial"/>
                <w:sz w:val="12"/>
                <w:szCs w:val="12"/>
                <w:color w:val="auto"/>
              </w:rPr>
              <w:t>•  Historically undruggable oncogene variant</w:t>
            </w:r>
          </w:p>
        </w:tc>
      </w:tr>
      <w:tr>
        <w:trPr>
          <w:trHeight w:val="144"/>
        </w:trPr>
        <w:tc>
          <w:tcPr>
            <w:tcW w:w="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G12D</w:t>
            </w:r>
          </w:p>
        </w:tc>
        <w:tc>
          <w:tcPr>
            <w:tcW w:w="3320" w:type="dxa"/>
            <w:vAlign w:val="bottom"/>
          </w:tcPr>
          <w:p>
            <w:pPr>
              <w:ind w:left="20"/>
              <w:spacing w:after="0"/>
              <w:rPr>
                <w:sz w:val="20"/>
                <w:szCs w:val="20"/>
                <w:color w:val="auto"/>
              </w:rPr>
            </w:pPr>
            <w:r>
              <w:rPr>
                <w:rFonts w:ascii="Arial" w:cs="Arial" w:eastAsia="Arial" w:hAnsi="Arial"/>
                <w:sz w:val="12"/>
                <w:szCs w:val="12"/>
                <w:color w:val="auto"/>
              </w:rPr>
              <w:t>G12D</w:t>
            </w:r>
          </w:p>
        </w:tc>
      </w:tr>
      <w:tr>
        <w:trPr>
          <w:trHeight w:val="148"/>
        </w:trPr>
        <w:tc>
          <w:tcPr>
            <w:tcW w:w="6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1"/>
              </w:rPr>
              <w:t>Degrader</w:t>
            </w:r>
          </w:p>
        </w:tc>
        <w:tc>
          <w:tcPr>
            <w:tcW w:w="3320" w:type="dxa"/>
            <w:vAlign w:val="bottom"/>
          </w:tcPr>
          <w:p>
            <w:pPr>
              <w:ind w:left="20"/>
              <w:spacing w:after="0"/>
              <w:rPr>
                <w:sz w:val="20"/>
                <w:szCs w:val="20"/>
                <w:color w:val="auto"/>
              </w:rPr>
            </w:pPr>
            <w:r>
              <w:rPr>
                <w:rFonts w:ascii="Arial" w:cs="Arial" w:eastAsia="Arial" w:hAnsi="Arial"/>
                <w:sz w:val="12"/>
                <w:szCs w:val="12"/>
                <w:color w:val="auto"/>
              </w:rPr>
              <w:t>•  Most frequently mutated oncogene in</w:t>
            </w:r>
          </w:p>
        </w:tc>
      </w:tr>
      <w:tr>
        <w:trPr>
          <w:trHeight w:val="153"/>
        </w:trPr>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human cancers</w:t>
            </w:r>
          </w:p>
        </w:tc>
      </w:tr>
      <w:tr>
        <w:trPr>
          <w:trHeight w:val="203"/>
        </w:trPr>
        <w:tc>
          <w:tcPr>
            <w:tcW w:w="6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6"/>
              </w:rPr>
              <w:t>NLRP3</w:t>
            </w:r>
          </w:p>
        </w:tc>
        <w:tc>
          <w:tcPr>
            <w:tcW w:w="3320" w:type="dxa"/>
            <w:vAlign w:val="bottom"/>
          </w:tcPr>
          <w:p>
            <w:pPr>
              <w:ind w:left="20"/>
              <w:spacing w:after="0"/>
              <w:rPr>
                <w:sz w:val="20"/>
                <w:szCs w:val="20"/>
                <w:color w:val="auto"/>
              </w:rPr>
            </w:pPr>
            <w:r>
              <w:rPr>
                <w:rFonts w:ascii="Arial" w:cs="Arial" w:eastAsia="Arial" w:hAnsi="Arial"/>
                <w:sz w:val="12"/>
                <w:szCs w:val="12"/>
                <w:color w:val="auto"/>
              </w:rPr>
              <w:t>•  Inflammasome; innate immune pathway</w:t>
            </w:r>
          </w:p>
        </w:tc>
      </w:tr>
      <w:tr>
        <w:trPr>
          <w:trHeight w:val="148"/>
        </w:trPr>
        <w:tc>
          <w:tcPr>
            <w:tcW w:w="6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1"/>
              </w:rPr>
              <w:t>Degrader</w:t>
            </w:r>
          </w:p>
        </w:tc>
        <w:tc>
          <w:tcPr>
            <w:tcW w:w="3320" w:type="dxa"/>
            <w:vAlign w:val="bottom"/>
          </w:tcPr>
          <w:p>
            <w:pPr>
              <w:ind w:left="20"/>
              <w:spacing w:after="0"/>
              <w:rPr>
                <w:sz w:val="20"/>
                <w:szCs w:val="20"/>
                <w:color w:val="auto"/>
              </w:rPr>
            </w:pPr>
            <w:r>
              <w:rPr>
                <w:rFonts w:ascii="Arial" w:cs="Arial" w:eastAsia="Arial" w:hAnsi="Arial"/>
                <w:sz w:val="12"/>
                <w:szCs w:val="12"/>
                <w:color w:val="auto"/>
              </w:rPr>
              <w:t>target; central regulator of IL-1ß and IL-18</w:t>
            </w:r>
          </w:p>
        </w:tc>
      </w:tr>
      <w:tr>
        <w:trPr>
          <w:trHeight w:val="153"/>
        </w:trPr>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cytokine secretion</w:t>
            </w:r>
          </w:p>
        </w:tc>
      </w:tr>
      <w:tr>
        <w:trPr>
          <w:trHeight w:val="279"/>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  Drives inflammation across a broad range</w:t>
            </w:r>
          </w:p>
        </w:tc>
      </w:tr>
      <w:tr>
        <w:trPr>
          <w:trHeight w:val="153"/>
        </w:trPr>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of chronic disorders</w:t>
            </w:r>
          </w:p>
        </w:tc>
      </w:tr>
      <w:tr>
        <w:trPr>
          <w:trHeight w:val="203"/>
        </w:trPr>
        <w:tc>
          <w:tcPr>
            <w:tcW w:w="6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6"/>
              </w:rPr>
              <w:t>ADAR1</w:t>
            </w:r>
          </w:p>
        </w:tc>
        <w:tc>
          <w:tcPr>
            <w:tcW w:w="3320" w:type="dxa"/>
            <w:vAlign w:val="bottom"/>
          </w:tcPr>
          <w:p>
            <w:pPr>
              <w:ind w:left="20"/>
              <w:spacing w:after="0"/>
              <w:rPr>
                <w:sz w:val="20"/>
                <w:szCs w:val="20"/>
                <w:color w:val="auto"/>
              </w:rPr>
            </w:pPr>
            <w:r>
              <w:rPr>
                <w:rFonts w:ascii="Arial" w:cs="Arial" w:eastAsia="Arial" w:hAnsi="Arial"/>
                <w:sz w:val="12"/>
                <w:szCs w:val="12"/>
                <w:color w:val="auto"/>
              </w:rPr>
              <w:t>•  Intracellular innate immune checkpoint</w:t>
            </w:r>
          </w:p>
        </w:tc>
      </w:tr>
      <w:tr>
        <w:trPr>
          <w:trHeight w:val="148"/>
        </w:trPr>
        <w:tc>
          <w:tcPr>
            <w:tcW w:w="6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5"/>
              </w:rPr>
              <w:t>Inhibitor</w:t>
            </w:r>
          </w:p>
        </w:tc>
        <w:tc>
          <w:tcPr>
            <w:tcW w:w="3320" w:type="dxa"/>
            <w:vAlign w:val="bottom"/>
          </w:tcPr>
          <w:p>
            <w:pPr>
              <w:ind w:left="20"/>
              <w:spacing w:after="0"/>
              <w:rPr>
                <w:sz w:val="20"/>
                <w:szCs w:val="20"/>
                <w:color w:val="auto"/>
              </w:rPr>
            </w:pPr>
            <w:r>
              <w:rPr>
                <w:rFonts w:ascii="Arial" w:cs="Arial" w:eastAsia="Arial" w:hAnsi="Arial"/>
                <w:sz w:val="12"/>
                <w:szCs w:val="12"/>
                <w:color w:val="auto"/>
              </w:rPr>
              <w:t>target and biomarker defined tumor cell</w:t>
            </w:r>
          </w:p>
        </w:tc>
      </w:tr>
      <w:tr>
        <w:trPr>
          <w:trHeight w:val="144"/>
        </w:trPr>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dependency</w:t>
            </w:r>
          </w:p>
        </w:tc>
      </w:tr>
      <w:tr>
        <w:trPr>
          <w:trHeight w:val="144"/>
        </w:trPr>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  Potential to overcome PD1/PDL1</w:t>
            </w:r>
          </w:p>
        </w:tc>
      </w:tr>
      <w:tr>
        <w:trPr>
          <w:trHeight w:val="153"/>
        </w:trPr>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resistance</w:t>
            </w:r>
          </w:p>
        </w:tc>
      </w:tr>
      <w:tr>
        <w:trPr>
          <w:trHeight w:val="203"/>
        </w:trPr>
        <w:tc>
          <w:tcPr>
            <w:tcW w:w="6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WRN</w:t>
            </w:r>
          </w:p>
        </w:tc>
        <w:tc>
          <w:tcPr>
            <w:tcW w:w="3320" w:type="dxa"/>
            <w:vAlign w:val="bottom"/>
          </w:tcPr>
          <w:p>
            <w:pPr>
              <w:ind w:left="20"/>
              <w:spacing w:after="0"/>
              <w:rPr>
                <w:sz w:val="20"/>
                <w:szCs w:val="20"/>
                <w:color w:val="auto"/>
              </w:rPr>
            </w:pPr>
            <w:r>
              <w:rPr>
                <w:rFonts w:ascii="Arial" w:cs="Arial" w:eastAsia="Arial" w:hAnsi="Arial"/>
                <w:sz w:val="12"/>
                <w:szCs w:val="12"/>
                <w:color w:val="auto"/>
              </w:rPr>
              <w:t>•  Synthetic lethal target required in tumors</w:t>
            </w:r>
          </w:p>
        </w:tc>
      </w:tr>
      <w:tr>
        <w:trPr>
          <w:trHeight w:val="144"/>
        </w:trPr>
        <w:tc>
          <w:tcPr>
            <w:tcW w:w="6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5"/>
              </w:rPr>
              <w:t>Inhibitor</w:t>
            </w:r>
          </w:p>
        </w:tc>
        <w:tc>
          <w:tcPr>
            <w:tcW w:w="3320" w:type="dxa"/>
            <w:vAlign w:val="bottom"/>
          </w:tcPr>
          <w:p>
            <w:pPr>
              <w:ind w:left="20"/>
              <w:spacing w:after="0"/>
              <w:rPr>
                <w:sz w:val="20"/>
                <w:szCs w:val="20"/>
                <w:color w:val="auto"/>
              </w:rPr>
            </w:pPr>
            <w:r>
              <w:rPr>
                <w:rFonts w:ascii="Arial" w:cs="Arial" w:eastAsia="Arial" w:hAnsi="Arial"/>
                <w:sz w:val="12"/>
                <w:szCs w:val="12"/>
                <w:color w:val="auto"/>
              </w:rPr>
              <w:t>with DNA damage repair deficiency</w:t>
            </w:r>
          </w:p>
        </w:tc>
      </w:tr>
      <w:tr>
        <w:trPr>
          <w:trHeight w:val="144"/>
        </w:trPr>
        <w:tc>
          <w:tcPr>
            <w:tcW w:w="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JAK2-</w:t>
            </w:r>
          </w:p>
        </w:tc>
        <w:tc>
          <w:tcPr>
            <w:tcW w:w="3320" w:type="dxa"/>
            <w:vAlign w:val="bottom"/>
          </w:tcPr>
          <w:p>
            <w:pPr>
              <w:ind w:left="20"/>
              <w:spacing w:after="0"/>
              <w:rPr>
                <w:sz w:val="20"/>
                <w:szCs w:val="20"/>
                <w:color w:val="auto"/>
              </w:rPr>
            </w:pPr>
            <w:r>
              <w:rPr>
                <w:rFonts w:ascii="Arial" w:cs="Arial" w:eastAsia="Arial" w:hAnsi="Arial"/>
                <w:sz w:val="12"/>
                <w:szCs w:val="12"/>
                <w:color w:val="auto"/>
              </w:rPr>
              <w:t>•  Potential for precision medicine approach</w:t>
            </w:r>
          </w:p>
        </w:tc>
      </w:tr>
      <w:tr>
        <w:trPr>
          <w:trHeight w:val="144"/>
        </w:trPr>
        <w:tc>
          <w:tcPr>
            <w:tcW w:w="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617F</w:t>
            </w:r>
          </w:p>
        </w:tc>
        <w:tc>
          <w:tcPr>
            <w:tcW w:w="3320" w:type="dxa"/>
            <w:vAlign w:val="bottom"/>
          </w:tcPr>
          <w:p>
            <w:pPr>
              <w:ind w:left="20"/>
              <w:spacing w:after="0"/>
              <w:rPr>
                <w:sz w:val="20"/>
                <w:szCs w:val="20"/>
                <w:color w:val="auto"/>
              </w:rPr>
            </w:pPr>
            <w:r>
              <w:rPr>
                <w:rFonts w:ascii="Arial" w:cs="Arial" w:eastAsia="Arial" w:hAnsi="Arial"/>
                <w:sz w:val="12"/>
                <w:szCs w:val="12"/>
                <w:color w:val="auto"/>
              </w:rPr>
              <w:t>•  Selective for mutants of blood neoplasm</w:t>
            </w:r>
          </w:p>
        </w:tc>
      </w:tr>
      <w:tr>
        <w:trPr>
          <w:trHeight w:val="157"/>
        </w:trPr>
        <w:tc>
          <w:tcPr>
            <w:tcW w:w="6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5"/>
              </w:rPr>
              <w:t>Inhibitor</w:t>
            </w:r>
          </w:p>
        </w:tc>
        <w:tc>
          <w:tcPr>
            <w:tcW w:w="3320" w:type="dxa"/>
            <w:vAlign w:val="bottom"/>
          </w:tcPr>
          <w:p>
            <w:pPr>
              <w:ind w:left="20"/>
              <w:spacing w:after="0"/>
              <w:rPr>
                <w:sz w:val="20"/>
                <w:szCs w:val="20"/>
                <w:color w:val="auto"/>
              </w:rPr>
            </w:pPr>
            <w:r>
              <w:rPr>
                <w:rFonts w:ascii="Arial" w:cs="Arial" w:eastAsia="Arial" w:hAnsi="Arial"/>
                <w:sz w:val="12"/>
                <w:szCs w:val="12"/>
                <w:color w:val="auto"/>
              </w:rPr>
              <w:t>driver</w:t>
            </w:r>
          </w:p>
        </w:tc>
      </w:tr>
      <w:tr>
        <w:trPr>
          <w:trHeight w:val="635"/>
        </w:trPr>
        <w:tc>
          <w:tcPr>
            <w:tcW w:w="60" w:type="dxa"/>
            <w:vAlign w:val="bottom"/>
          </w:tcPr>
          <w:p>
            <w:pPr>
              <w:spacing w:after="0"/>
              <w:rPr>
                <w:sz w:val="24"/>
                <w:szCs w:val="2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CRAF</w:t>
            </w:r>
          </w:p>
        </w:tc>
        <w:tc>
          <w:tcPr>
            <w:tcW w:w="3320" w:type="dxa"/>
            <w:vAlign w:val="bottom"/>
          </w:tcPr>
          <w:p>
            <w:pPr>
              <w:ind w:left="20"/>
              <w:spacing w:after="0"/>
              <w:rPr>
                <w:sz w:val="20"/>
                <w:szCs w:val="20"/>
                <w:color w:val="auto"/>
              </w:rPr>
            </w:pPr>
            <w:r>
              <w:rPr>
                <w:rFonts w:ascii="Arial" w:cs="Arial" w:eastAsia="Arial" w:hAnsi="Arial"/>
                <w:sz w:val="12"/>
                <w:szCs w:val="12"/>
                <w:color w:val="auto"/>
              </w:rPr>
              <w:t>•  Synthetic lethal target required in KRAS</w:t>
            </w:r>
          </w:p>
        </w:tc>
      </w:tr>
      <w:tr>
        <w:trPr>
          <w:trHeight w:val="148"/>
        </w:trPr>
        <w:tc>
          <w:tcPr>
            <w:tcW w:w="6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5"/>
              </w:rPr>
              <w:t>Inhibitor</w:t>
            </w:r>
          </w:p>
        </w:tc>
        <w:tc>
          <w:tcPr>
            <w:tcW w:w="3320" w:type="dxa"/>
            <w:vAlign w:val="bottom"/>
          </w:tcPr>
          <w:p>
            <w:pPr>
              <w:ind w:left="20"/>
              <w:spacing w:after="0"/>
              <w:rPr>
                <w:sz w:val="20"/>
                <w:szCs w:val="20"/>
                <w:color w:val="auto"/>
              </w:rPr>
            </w:pPr>
            <w:r>
              <w:rPr>
                <w:rFonts w:ascii="Arial" w:cs="Arial" w:eastAsia="Arial" w:hAnsi="Arial"/>
                <w:sz w:val="12"/>
                <w:szCs w:val="12"/>
                <w:color w:val="auto"/>
              </w:rPr>
              <w:t>and NRAS mutant tumors</w:t>
            </w:r>
          </w:p>
        </w:tc>
      </w:tr>
      <w:tr>
        <w:trPr>
          <w:trHeight w:val="153"/>
        </w:trPr>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ind w:left="20"/>
              <w:spacing w:after="0"/>
              <w:rPr>
                <w:sz w:val="20"/>
                <w:szCs w:val="20"/>
                <w:color w:val="auto"/>
              </w:rPr>
            </w:pPr>
            <w:r>
              <w:rPr>
                <w:rFonts w:ascii="Arial" w:cs="Arial" w:eastAsia="Arial" w:hAnsi="Arial"/>
                <w:sz w:val="12"/>
                <w:szCs w:val="12"/>
                <w:color w:val="auto"/>
              </w:rPr>
              <w:t>•  CRAF mutant tumors</w:t>
            </w:r>
          </w:p>
        </w:tc>
      </w:tr>
      <w:tr>
        <w:trPr>
          <w:trHeight w:val="347"/>
        </w:trPr>
        <w:tc>
          <w:tcPr>
            <w:tcW w:w="6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HIF2A</w:t>
            </w:r>
          </w:p>
        </w:tc>
        <w:tc>
          <w:tcPr>
            <w:tcW w:w="3320" w:type="dxa"/>
            <w:vAlign w:val="bottom"/>
          </w:tcPr>
          <w:p>
            <w:pPr>
              <w:ind w:left="20"/>
              <w:spacing w:after="0"/>
              <w:rPr>
                <w:sz w:val="20"/>
                <w:szCs w:val="20"/>
                <w:color w:val="auto"/>
              </w:rPr>
            </w:pPr>
            <w:r>
              <w:rPr>
                <w:rFonts w:ascii="Arial" w:cs="Arial" w:eastAsia="Arial" w:hAnsi="Arial"/>
                <w:sz w:val="12"/>
                <w:szCs w:val="12"/>
                <w:color w:val="auto"/>
              </w:rPr>
              <w:t>•  Synthetic lethal target required specifically</w:t>
            </w:r>
          </w:p>
        </w:tc>
      </w:tr>
      <w:tr>
        <w:trPr>
          <w:trHeight w:val="157"/>
        </w:trPr>
        <w:tc>
          <w:tcPr>
            <w:tcW w:w="6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1"/>
              </w:rPr>
              <w:t>Degrader</w:t>
            </w:r>
          </w:p>
        </w:tc>
        <w:tc>
          <w:tcPr>
            <w:tcW w:w="3320" w:type="dxa"/>
            <w:vAlign w:val="bottom"/>
          </w:tcPr>
          <w:p>
            <w:pPr>
              <w:ind w:left="20"/>
              <w:spacing w:after="0"/>
              <w:rPr>
                <w:sz w:val="20"/>
                <w:szCs w:val="20"/>
                <w:color w:val="auto"/>
              </w:rPr>
            </w:pPr>
            <w:r>
              <w:rPr>
                <w:rFonts w:ascii="Arial" w:cs="Arial" w:eastAsia="Arial" w:hAnsi="Arial"/>
                <w:sz w:val="12"/>
                <w:szCs w:val="12"/>
                <w:color w:val="auto"/>
              </w:rPr>
              <w:t>in tumors with “Achilles’ heel” mutation</w:t>
            </w: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1619"/>
        <w:spacing w:after="0"/>
        <w:rPr>
          <w:sz w:val="20"/>
          <w:szCs w:val="20"/>
          <w:color w:val="auto"/>
        </w:rPr>
      </w:pPr>
      <w:r>
        <w:rPr>
          <w:rFonts w:ascii="Arial" w:cs="Arial" w:eastAsia="Arial" w:hAnsi="Arial"/>
          <w:sz w:val="10"/>
          <w:szCs w:val="10"/>
          <w:b w:val="1"/>
          <w:bCs w:val="1"/>
          <w:color w:val="auto"/>
        </w:rPr>
        <w:t>Potential Indications/Patient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205168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51" w:lineRule="exact"/>
        <w:rPr>
          <w:sz w:val="20"/>
          <w:szCs w:val="20"/>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KRAS G12D mutant tumors</w:t>
      </w:r>
    </w:p>
    <w:p>
      <w:pPr>
        <w:spacing w:after="0" w:line="150" w:lineRule="exact"/>
        <w:rPr>
          <w:rFonts w:ascii="Arial" w:cs="Arial" w:eastAsia="Arial" w:hAnsi="Arial"/>
          <w:sz w:val="12"/>
          <w:szCs w:val="12"/>
          <w:color w:val="auto"/>
        </w:rPr>
      </w:pPr>
    </w:p>
    <w:p>
      <w:pPr>
        <w:ind w:right="1859" w:firstLine="5"/>
        <w:spacing w:after="0" w:line="276" w:lineRule="auto"/>
        <w:tabs>
          <w:tab w:leader="none" w:pos="169" w:val="left"/>
        </w:tabs>
        <w:numPr>
          <w:ilvl w:val="0"/>
          <w:numId w:val="79"/>
        </w:numPr>
        <w:rPr>
          <w:rFonts w:ascii="Arial" w:cs="Arial" w:eastAsia="Arial" w:hAnsi="Arial"/>
          <w:sz w:val="12"/>
          <w:szCs w:val="12"/>
          <w:color w:val="auto"/>
        </w:rPr>
      </w:pPr>
      <w:r>
        <w:rPr>
          <w:rFonts w:ascii="Arial" w:cs="Arial" w:eastAsia="Arial" w:hAnsi="Arial"/>
          <w:sz w:val="12"/>
          <w:szCs w:val="12"/>
          <w:color w:val="auto"/>
        </w:rPr>
        <w:t>Highest rates in PDAC, CRC, endometrial and lung cancer</w:t>
      </w:r>
    </w:p>
    <w:p>
      <w:pPr>
        <w:spacing w:after="0" w:line="42" w:lineRule="exact"/>
        <w:rPr>
          <w:rFonts w:ascii="Arial" w:cs="Arial" w:eastAsia="Arial" w:hAnsi="Arial"/>
          <w:sz w:val="12"/>
          <w:szCs w:val="12"/>
          <w:color w:val="auto"/>
        </w:rPr>
      </w:pPr>
    </w:p>
    <w:p>
      <w:pPr>
        <w:ind w:right="1959" w:firstLine="5"/>
        <w:spacing w:after="0" w:line="259" w:lineRule="auto"/>
        <w:tabs>
          <w:tab w:leader="none" w:pos="163" w:val="left"/>
        </w:tabs>
        <w:numPr>
          <w:ilvl w:val="0"/>
          <w:numId w:val="79"/>
        </w:numPr>
        <w:rPr>
          <w:rFonts w:ascii="Arial" w:cs="Arial" w:eastAsia="Arial" w:hAnsi="Arial"/>
          <w:sz w:val="12"/>
          <w:szCs w:val="12"/>
          <w:color w:val="auto"/>
        </w:rPr>
      </w:pPr>
      <w:r>
        <w:rPr>
          <w:rFonts w:ascii="Arial" w:cs="Arial" w:eastAsia="Arial" w:hAnsi="Arial"/>
          <w:sz w:val="12"/>
          <w:szCs w:val="12"/>
          <w:color w:val="auto"/>
        </w:rPr>
        <w:t>Autoimmune and inflammatory diseases such as Cryoporin-associated periodic syndromes (CAPS), gout, SLE, IBD, Behcet’s, and asthma</w:t>
      </w:r>
    </w:p>
    <w:p>
      <w:pPr>
        <w:spacing w:after="0" w:line="340" w:lineRule="exact"/>
        <w:rPr>
          <w:rFonts w:ascii="Arial" w:cs="Arial" w:eastAsia="Arial" w:hAnsi="Arial"/>
          <w:sz w:val="12"/>
          <w:szCs w:val="12"/>
          <w:color w:val="auto"/>
        </w:rPr>
      </w:pPr>
    </w:p>
    <w:p>
      <w:pPr>
        <w:ind w:right="2019" w:firstLine="5"/>
        <w:spacing w:after="0" w:line="276" w:lineRule="auto"/>
        <w:tabs>
          <w:tab w:leader="none" w:pos="167" w:val="left"/>
        </w:tabs>
        <w:numPr>
          <w:ilvl w:val="0"/>
          <w:numId w:val="79"/>
        </w:numPr>
        <w:rPr>
          <w:rFonts w:ascii="Arial" w:cs="Arial" w:eastAsia="Arial" w:hAnsi="Arial"/>
          <w:sz w:val="12"/>
          <w:szCs w:val="12"/>
          <w:color w:val="auto"/>
        </w:rPr>
      </w:pPr>
      <w:r>
        <w:rPr>
          <w:rFonts w:ascii="Arial" w:cs="Arial" w:eastAsia="Arial" w:hAnsi="Arial"/>
          <w:sz w:val="12"/>
          <w:szCs w:val="12"/>
          <w:color w:val="auto"/>
        </w:rPr>
        <w:t>Type I IFN-high solid tumors including lung, colon, breast, ovarian</w:t>
      </w:r>
    </w:p>
    <w:p>
      <w:pPr>
        <w:spacing w:after="0" w:line="200" w:lineRule="exact"/>
        <w:rPr>
          <w:rFonts w:ascii="Arial" w:cs="Arial" w:eastAsia="Arial" w:hAnsi="Arial"/>
          <w:sz w:val="12"/>
          <w:szCs w:val="12"/>
          <w:color w:val="auto"/>
        </w:rPr>
      </w:pPr>
    </w:p>
    <w:p>
      <w:pPr>
        <w:spacing w:after="0" w:line="274" w:lineRule="exact"/>
        <w:rPr>
          <w:rFonts w:ascii="Arial" w:cs="Arial" w:eastAsia="Arial" w:hAnsi="Arial"/>
          <w:sz w:val="12"/>
          <w:szCs w:val="12"/>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MSI colorectal and gastric cancers</w:t>
      </w:r>
    </w:p>
    <w:p>
      <w:pPr>
        <w:spacing w:after="0" w:line="150" w:lineRule="exact"/>
        <w:rPr>
          <w:rFonts w:ascii="Arial" w:cs="Arial" w:eastAsia="Arial" w:hAnsi="Arial"/>
          <w:sz w:val="12"/>
          <w:szCs w:val="12"/>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PARP inhibitor combinations</w:t>
      </w:r>
    </w:p>
    <w:p>
      <w:pPr>
        <w:spacing w:after="0" w:line="14" w:lineRule="exact"/>
        <w:rPr>
          <w:rFonts w:ascii="Arial" w:cs="Arial" w:eastAsia="Arial" w:hAnsi="Arial"/>
          <w:sz w:val="12"/>
          <w:szCs w:val="12"/>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V617F driven myeloproliferative</w:t>
      </w:r>
    </w:p>
    <w:p>
      <w:pPr>
        <w:spacing w:after="0" w:line="6" w:lineRule="exact"/>
        <w:rPr>
          <w:rFonts w:ascii="Arial" w:cs="Arial" w:eastAsia="Arial" w:hAnsi="Arial"/>
          <w:sz w:val="12"/>
          <w:szCs w:val="12"/>
          <w:color w:val="auto"/>
        </w:rPr>
      </w:pPr>
    </w:p>
    <w:p>
      <w:pPr>
        <w:ind w:right="2099"/>
        <w:spacing w:after="0" w:line="250" w:lineRule="auto"/>
        <w:rPr>
          <w:rFonts w:ascii="Arial" w:cs="Arial" w:eastAsia="Arial" w:hAnsi="Arial"/>
          <w:sz w:val="12"/>
          <w:szCs w:val="12"/>
          <w:color w:val="auto"/>
        </w:rPr>
      </w:pPr>
      <w:r>
        <w:rPr>
          <w:rFonts w:ascii="Arial" w:cs="Arial" w:eastAsia="Arial" w:hAnsi="Arial"/>
          <w:sz w:val="12"/>
          <w:szCs w:val="12"/>
          <w:color w:val="auto"/>
        </w:rPr>
        <w:t>neoplasms: polycythemia vera, essential thrombocythemia, primary myelofibrosis and AML</w:t>
      </w: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NRAS mutant melanoma</w:t>
      </w:r>
    </w:p>
    <w:p>
      <w:pPr>
        <w:spacing w:after="0" w:line="69" w:lineRule="exact"/>
        <w:rPr>
          <w:rFonts w:ascii="Arial" w:cs="Arial" w:eastAsia="Arial" w:hAnsi="Arial"/>
          <w:sz w:val="12"/>
          <w:szCs w:val="12"/>
          <w:color w:val="auto"/>
        </w:rPr>
      </w:pPr>
    </w:p>
    <w:p>
      <w:pPr>
        <w:ind w:right="2019" w:firstLine="5"/>
        <w:spacing w:after="0" w:line="258" w:lineRule="auto"/>
        <w:tabs>
          <w:tab w:leader="none" w:pos="169" w:val="left"/>
        </w:tabs>
        <w:numPr>
          <w:ilvl w:val="0"/>
          <w:numId w:val="79"/>
        </w:numPr>
        <w:rPr>
          <w:rFonts w:ascii="Arial" w:cs="Arial" w:eastAsia="Arial" w:hAnsi="Arial"/>
          <w:sz w:val="12"/>
          <w:szCs w:val="12"/>
          <w:color w:val="auto"/>
        </w:rPr>
      </w:pPr>
      <w:r>
        <w:rPr>
          <w:rFonts w:ascii="Arial" w:cs="Arial" w:eastAsia="Arial" w:hAnsi="Arial"/>
          <w:sz w:val="12"/>
          <w:szCs w:val="12"/>
          <w:color w:val="auto"/>
        </w:rPr>
        <w:t>KRASG12X (non G12C) tumors: lung, colon, many other GIs</w:t>
      </w:r>
    </w:p>
    <w:p>
      <w:pPr>
        <w:ind w:right="1939" w:firstLine="5"/>
        <w:spacing w:after="0" w:line="260" w:lineRule="auto"/>
        <w:tabs>
          <w:tab w:leader="none" w:pos="169" w:val="left"/>
        </w:tabs>
        <w:numPr>
          <w:ilvl w:val="0"/>
          <w:numId w:val="79"/>
        </w:numPr>
        <w:rPr>
          <w:rFonts w:ascii="Arial" w:cs="Arial" w:eastAsia="Arial" w:hAnsi="Arial"/>
          <w:sz w:val="12"/>
          <w:szCs w:val="12"/>
          <w:color w:val="auto"/>
        </w:rPr>
      </w:pPr>
      <w:r>
        <w:rPr>
          <w:rFonts w:ascii="Arial" w:cs="Arial" w:eastAsia="Arial" w:hAnsi="Arial"/>
          <w:sz w:val="12"/>
          <w:szCs w:val="12"/>
          <w:color w:val="auto"/>
        </w:rPr>
        <w:t>CRAF mutant GI cancers: gastric, colon, lung and other</w:t>
      </w:r>
    </w:p>
    <w:p>
      <w:pPr>
        <w:spacing w:after="0" w:line="52" w:lineRule="exact"/>
        <w:rPr>
          <w:rFonts w:ascii="Arial" w:cs="Arial" w:eastAsia="Arial" w:hAnsi="Arial"/>
          <w:sz w:val="12"/>
          <w:szCs w:val="12"/>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VHL mutant RCC</w:t>
      </w:r>
    </w:p>
    <w:p>
      <w:pPr>
        <w:spacing w:after="0" w:line="222" w:lineRule="exact"/>
        <w:rPr>
          <w:rFonts w:ascii="Arial" w:cs="Arial" w:eastAsia="Arial" w:hAnsi="Arial"/>
          <w:sz w:val="12"/>
          <w:szCs w:val="12"/>
          <w:color w:val="auto"/>
        </w:rPr>
      </w:pPr>
    </w:p>
    <w:p>
      <w:pPr>
        <w:ind w:left="180" w:hanging="175"/>
        <w:spacing w:after="0"/>
        <w:tabs>
          <w:tab w:leader="none" w:pos="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Pheochromocytoma</w:t>
      </w:r>
    </w:p>
    <w:p>
      <w:pPr>
        <w:spacing w:after="0" w:line="146" w:lineRule="exact"/>
        <w:rPr>
          <w:sz w:val="20"/>
          <w:szCs w:val="20"/>
          <w:color w:val="auto"/>
        </w:rPr>
      </w:pPr>
    </w:p>
    <w:p>
      <w:pPr>
        <w:sectPr>
          <w:pgSz w:w="11900" w:h="16838" w:orient="portrait"/>
          <w:cols w:equalWidth="0" w:num="2">
            <w:col w:w="6020" w:space="60"/>
            <w:col w:w="4079"/>
          </w:cols>
          <w:pgMar w:left="300" w:top="372" w:right="1440" w:bottom="1440" w:gutter="0" w:footer="0" w:header="0"/>
          <w:type w:val="continuous"/>
        </w:sectPr>
      </w:pPr>
    </w:p>
    <w:p>
      <w:pPr>
        <w:ind w:left="1980"/>
        <w:spacing w:after="0"/>
        <w:rPr>
          <w:sz w:val="20"/>
          <w:szCs w:val="20"/>
          <w:color w:val="auto"/>
        </w:rPr>
      </w:pPr>
      <w:r>
        <w:rPr>
          <w:rFonts w:ascii="Arial" w:cs="Arial" w:eastAsia="Arial" w:hAnsi="Arial"/>
          <w:sz w:val="8"/>
          <w:szCs w:val="8"/>
          <w:color w:val="auto"/>
        </w:rPr>
        <w:t>Note: All drugs in current pipeline are investigational and subject to health authority approval.</w:t>
      </w:r>
    </w:p>
    <w:p>
      <w:pPr>
        <w:spacing w:after="0" w:line="110"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10159"/>
          </w:cols>
          <w:pgMar w:left="300" w:top="372" w:right="1440" w:bottom="1440" w:gutter="0" w:footer="0" w:header="0"/>
          <w:type w:val="continuous"/>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00"/>
        <w:spacing w:after="0"/>
        <w:rPr>
          <w:sz w:val="20"/>
          <w:szCs w:val="20"/>
          <w:color w:val="auto"/>
        </w:rPr>
      </w:pPr>
      <w:r>
        <w:rPr>
          <w:rFonts w:ascii="Arial" w:cs="Arial" w:eastAsia="Arial" w:hAnsi="Arial"/>
          <w:sz w:val="12"/>
          <w:szCs w:val="12"/>
          <w:b w:val="1"/>
          <w:bCs w:val="1"/>
          <w:u w:val="single" w:color="auto"/>
          <w:color w:val="auto"/>
        </w:rPr>
        <w:t>Dermavant Overview</w:t>
      </w:r>
    </w:p>
    <w:p>
      <w:pPr>
        <w:spacing w:after="0" w:line="168" w:lineRule="exact"/>
        <w:rPr>
          <w:sz w:val="20"/>
          <w:szCs w:val="20"/>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right="119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Dermavant is developing tapinarof for the treatment of psoriasis and atopic dermatitis, alongside an earlier-stage development pipeline focused on multiple unmet medical needs in immuno-dermatology.</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hanging="291"/>
        <w:spacing w:after="0"/>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Tapinarof is a novel, once daily, steroid-free topical cream for the treatment of plaque psoriasis and atopic dermatitis.</w:t>
      </w:r>
    </w:p>
    <w:p>
      <w:pPr>
        <w:spacing w:after="0" w:line="87" w:lineRule="exact"/>
        <w:rPr>
          <w:rFonts w:ascii="Arial" w:cs="Arial" w:eastAsia="Arial" w:hAnsi="Arial"/>
          <w:sz w:val="12"/>
          <w:szCs w:val="12"/>
          <w:color w:val="auto"/>
        </w:rPr>
      </w:pPr>
    </w:p>
    <w:p>
      <w:pPr>
        <w:ind w:left="2920" w:right="91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Tapinarof is a therapeutic aryl hydrocarbon receptor (AhR) modulating agent (TAMA) that directly targets the AhR, a key regulator of skin homeostasis and inflammation.</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hanging="291"/>
        <w:spacing w:after="0"/>
        <w:tabs>
          <w:tab w:leader="none" w:pos="2920" w:val="left"/>
        </w:tabs>
        <w:numPr>
          <w:ilvl w:val="1"/>
          <w:numId w:val="80"/>
        </w:numPr>
        <w:rPr>
          <w:rFonts w:ascii="Arial" w:cs="Arial" w:eastAsia="Arial" w:hAnsi="Arial"/>
          <w:sz w:val="11"/>
          <w:szCs w:val="11"/>
          <w:color w:val="auto"/>
        </w:rPr>
      </w:pPr>
      <w:r>
        <w:rPr>
          <w:rFonts w:ascii="Arial" w:cs="Arial" w:eastAsia="Arial" w:hAnsi="Arial"/>
          <w:sz w:val="11"/>
          <w:szCs w:val="11"/>
          <w:color w:val="auto"/>
        </w:rPr>
        <w:t>Plaque psoriasis is a chronic, inflammatory disease with skin lesions characterized by red patches and plaques with silvery scales.</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Atopic dermatitis, the most common type of eczema, is a chronic condition characterized by dry, itchy skin.</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Psoriasis and atopic dermatitis affect approximately 8 million and 26 million people in the United States, respectively.</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right="115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Topical corticosteroids (TCS) are the most common first-line therapy but use typically cannot exceed four weeks due to risk of significant side effects.</w:t>
      </w:r>
    </w:p>
    <w:p>
      <w:pPr>
        <w:spacing w:after="0" w:line="51" w:lineRule="exact"/>
        <w:rPr>
          <w:rFonts w:ascii="Arial" w:cs="Arial" w:eastAsia="Arial" w:hAnsi="Arial"/>
          <w:sz w:val="12"/>
          <w:szCs w:val="12"/>
          <w:color w:val="auto"/>
        </w:rPr>
      </w:pPr>
    </w:p>
    <w:p>
      <w:pPr>
        <w:ind w:left="2920" w:right="107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While oral and biologic therapies have become increasingly available, they are often limited to moderate-to-severe psoriasis and atopic dermatitis patients that comprise the smallest percentage of the affected populations.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right="129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We completed two pivotal Phase 3 clinical trials, PSOARING 1 and PSOARING 2, for the use of tapinarof in treating mild, moderate, and severe plaque psoriasis in adults.</w:t>
      </w:r>
    </w:p>
    <w:p>
      <w:pPr>
        <w:spacing w:after="0" w:line="51" w:lineRule="exact"/>
        <w:rPr>
          <w:rFonts w:ascii="Arial" w:cs="Arial" w:eastAsia="Arial" w:hAnsi="Arial"/>
          <w:sz w:val="12"/>
          <w:szCs w:val="12"/>
          <w:color w:val="auto"/>
        </w:rPr>
      </w:pPr>
    </w:p>
    <w:p>
      <w:pPr>
        <w:ind w:left="2920" w:right="105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In both pivotal Phase 3 trials, which enrolled over 500 patients each, tapinarof met its primary endpoint and secondary endpoints with clinically meaningful and statistically significant responses.</w:t>
      </w:r>
    </w:p>
    <w:p>
      <w:pPr>
        <w:spacing w:after="0" w:line="51" w:lineRule="exact"/>
        <w:rPr>
          <w:rFonts w:ascii="Arial" w:cs="Arial" w:eastAsia="Arial" w:hAnsi="Arial"/>
          <w:sz w:val="12"/>
          <w:szCs w:val="12"/>
          <w:color w:val="auto"/>
        </w:rPr>
      </w:pPr>
    </w:p>
    <w:p>
      <w:pPr>
        <w:ind w:left="2920" w:right="979" w:hanging="291"/>
        <w:spacing w:after="0" w:line="263"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Our long-term open-label PSOARING 3 study provides supportive evidence of tapinarof’s increased therapeutic effect beyond the 12-week double-blind treatment periods, suggesting treatment durability over time, as well as supportive evidence of a remittive effect, measured by time until disease worsening following treatment discontinuation.</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right="121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We have filed an NDA with the FDA for tapinarof cream for the treatment of adults with plaque psoriasis and are expecting a decision on tapinarof’s approval in the second quarter of calendar year 2022.</w:t>
      </w:r>
    </w:p>
    <w:p>
      <w:pPr>
        <w:spacing w:after="0" w:line="51" w:lineRule="exact"/>
        <w:rPr>
          <w:rFonts w:ascii="Arial" w:cs="Arial" w:eastAsia="Arial" w:hAnsi="Arial"/>
          <w:sz w:val="12"/>
          <w:szCs w:val="12"/>
          <w:color w:val="auto"/>
        </w:rPr>
      </w:pPr>
    </w:p>
    <w:p>
      <w:pPr>
        <w:ind w:left="2920" w:right="859" w:hanging="291"/>
        <w:spacing w:after="0" w:line="276" w:lineRule="auto"/>
        <w:tabs>
          <w:tab w:leader="none" w:pos="2920" w:val="left"/>
        </w:tabs>
        <w:numPr>
          <w:ilvl w:val="1"/>
          <w:numId w:val="80"/>
        </w:numPr>
        <w:rPr>
          <w:rFonts w:ascii="Arial" w:cs="Arial" w:eastAsia="Arial" w:hAnsi="Arial"/>
          <w:sz w:val="12"/>
          <w:szCs w:val="12"/>
          <w:color w:val="auto"/>
        </w:rPr>
      </w:pPr>
      <w:r>
        <w:rPr>
          <w:rFonts w:ascii="Arial" w:cs="Arial" w:eastAsia="Arial" w:hAnsi="Arial"/>
          <w:sz w:val="12"/>
          <w:szCs w:val="12"/>
          <w:color w:val="auto"/>
        </w:rPr>
        <w:t>If approved, tapinarof would be the first novel topical therapy approved by the FDA for plaque psoriasis in over 20 years, potentially offering a favorable mix of treatment effect, safety, durability of therapy, and remittive effect.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10159"/>
          </w:cols>
          <w:pgMar w:left="300" w:top="372"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right="1159" w:hanging="291"/>
        <w:spacing w:after="0" w:line="323" w:lineRule="auto"/>
        <w:tabs>
          <w:tab w:leader="none" w:pos="2920" w:val="left"/>
        </w:tabs>
        <w:numPr>
          <w:ilvl w:val="1"/>
          <w:numId w:val="81"/>
        </w:numPr>
        <w:rPr>
          <w:rFonts w:ascii="Arial" w:cs="Arial" w:eastAsia="Arial" w:hAnsi="Arial"/>
          <w:sz w:val="11"/>
          <w:szCs w:val="11"/>
          <w:color w:val="auto"/>
        </w:rPr>
      </w:pPr>
      <w:r>
        <w:rPr>
          <w:rFonts w:ascii="Arial" w:cs="Arial" w:eastAsia="Arial" w:hAnsi="Arial"/>
          <w:sz w:val="11"/>
          <w:szCs w:val="11"/>
          <w:color w:val="auto"/>
        </w:rPr>
        <w:t>In September 2021, we dosed the first patient in a Phase 3 trial of tapinarof for the treatment of atopic dermatitis. We expect to release topline data from our Phase 3 program in atopic dermatitis in the first half of calendar year 2023.</w:t>
      </w:r>
    </w:p>
    <w:p>
      <w:pPr>
        <w:spacing w:after="0" w:line="24" w:lineRule="exact"/>
        <w:rPr>
          <w:rFonts w:ascii="Arial" w:cs="Arial" w:eastAsia="Arial" w:hAnsi="Arial"/>
          <w:sz w:val="11"/>
          <w:szCs w:val="11"/>
          <w:color w:val="auto"/>
        </w:rPr>
      </w:pPr>
    </w:p>
    <w:p>
      <w:pPr>
        <w:ind w:left="2260" w:hanging="288"/>
        <w:spacing w:after="0"/>
        <w:tabs>
          <w:tab w:leader="none" w:pos="2260"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920" w:hanging="291"/>
        <w:spacing w:after="0"/>
        <w:tabs>
          <w:tab w:leader="none" w:pos="2920" w:val="left"/>
        </w:tabs>
        <w:numPr>
          <w:ilvl w:val="1"/>
          <w:numId w:val="81"/>
        </w:numPr>
        <w:rPr>
          <w:rFonts w:ascii="Arial" w:cs="Arial" w:eastAsia="Arial" w:hAnsi="Arial"/>
          <w:sz w:val="11"/>
          <w:szCs w:val="11"/>
          <w:color w:val="auto"/>
        </w:rPr>
      </w:pPr>
      <w:r>
        <w:rPr>
          <w:rFonts w:ascii="Arial" w:cs="Arial" w:eastAsia="Arial" w:hAnsi="Arial"/>
          <w:sz w:val="11"/>
          <w:szCs w:val="11"/>
          <w:color w:val="auto"/>
        </w:rPr>
        <w:t>As of June 30, 2021, we own 100% of the issued and outstanding Common Shares of Dermavant and 84% on a fully diluted basis.</w:t>
      </w:r>
    </w:p>
    <w:p>
      <w:pPr>
        <w:spacing w:after="0" w:line="94" w:lineRule="exact"/>
        <w:rPr>
          <w:rFonts w:ascii="Arial" w:cs="Arial" w:eastAsia="Arial" w:hAnsi="Arial"/>
          <w:sz w:val="11"/>
          <w:szCs w:val="11"/>
          <w:color w:val="auto"/>
        </w:rPr>
      </w:pPr>
    </w:p>
    <w:p>
      <w:pPr>
        <w:ind w:left="2260" w:hanging="288"/>
        <w:spacing w:after="0"/>
        <w:tabs>
          <w:tab w:leader="none" w:pos="2260"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114935</wp:posOffset>
            </wp:positionV>
            <wp:extent cx="3457575" cy="9944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5757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Tapinarof for the Treatment of Psoriasis and Atopic Dermatitis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Tapinarof is a novel, once daily, cosmetically elegant, steroid-free topical cream TAMA. Tapinarof directly targets the AhR, a key regulator of skin homeostasis and inflammation, to help reduce Th17 and Th2 cytokines, two pro-inflammatory pathways implicated in plaque psoriasis and atopic dermatitis, increase antioxidant activity, and promote skin barrier restoration. Tapinarof cream is designed to be easy to apply, non-greasy and odorless, which we believe makes it cosmetically elegant. To date, over 2,200 subjects have been enrolled in 18 clinical trials of tapinarof and predecessor formulations of tapinarof cream.</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Psoriasis and atopic dermatitis</w:t>
      </w:r>
    </w:p>
    <w:p>
      <w:pPr>
        <w:spacing w:after="0" w:line="78" w:lineRule="exact"/>
        <w:rPr>
          <w:sz w:val="20"/>
          <w:szCs w:val="20"/>
          <w:color w:val="auto"/>
        </w:rPr>
      </w:pPr>
    </w:p>
    <w:p>
      <w:pPr>
        <w:ind w:left="1980" w:right="979" w:firstLine="294"/>
        <w:spacing w:after="0" w:line="298" w:lineRule="auto"/>
        <w:rPr>
          <w:sz w:val="20"/>
          <w:szCs w:val="20"/>
          <w:color w:val="auto"/>
        </w:rPr>
      </w:pPr>
      <w:r>
        <w:rPr>
          <w:rFonts w:ascii="Arial" w:cs="Arial" w:eastAsia="Arial" w:hAnsi="Arial"/>
          <w:sz w:val="11"/>
          <w:szCs w:val="11"/>
          <w:color w:val="auto"/>
        </w:rPr>
        <w:t>Psoriasis and atopic dermatitis (“AD”) affect hundreds of millions of people globally each year, impacting their quality of life, including their physical health, psychological state, and overall well-being. While topical therapies are the foundation of treatment, many patients fail to achieve their desired outcome due to subpar efficacy, tolerability and safety concerns, application site restrictions and limits on duration of therapy.</w:t>
      </w:r>
    </w:p>
    <w:p>
      <w:pPr>
        <w:spacing w:after="0" w:line="105" w:lineRule="exact"/>
        <w:rPr>
          <w:sz w:val="20"/>
          <w:szCs w:val="20"/>
          <w:color w:val="auto"/>
        </w:rPr>
      </w:pPr>
    </w:p>
    <w:p>
      <w:pPr>
        <w:ind w:left="1980" w:right="839" w:firstLine="294"/>
        <w:spacing w:after="0" w:line="316" w:lineRule="auto"/>
        <w:rPr>
          <w:sz w:val="20"/>
          <w:szCs w:val="20"/>
          <w:color w:val="auto"/>
        </w:rPr>
      </w:pPr>
      <w:r>
        <w:rPr>
          <w:rFonts w:ascii="Arial" w:cs="Arial" w:eastAsia="Arial" w:hAnsi="Arial"/>
          <w:sz w:val="10"/>
          <w:szCs w:val="10"/>
          <w:color w:val="auto"/>
        </w:rPr>
        <w:t>Psoriasis is a chronic, inflammatory disease with skin lesions characterized by red patches and plaques with silvery scale that affects an estimated 8 million people in the United States. Its most common form, psoriasis vulgaris or plaque psoriasis, constitutes approximately 80 to 90% of all cases of psoriasis. Psoriasis severity is typically classified by body surface area (“BSA”) involvement: mild (less than 3% BSA), moderate (3% to 10% BSA) and severe (greater than 10% BSA). Based on this guideline, approximately 80% of patients with psoriasis in the United States have mild to moderate disease, which is most often amenable to topical treatment. Common signs and symptoms of psoriasis include itching and burning, which can be very intense and frequent. Other symptoms can include cracking and bleeding of the skin. Psoriasis can cause significant social and emotional distress.</w:t>
      </w:r>
    </w:p>
    <w:p>
      <w:pPr>
        <w:spacing w:after="0" w:line="10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Atopic dermatitis is the most common type of eczema, affecting more than 9.6 million children and about 16.5 million adults in the United States. It is a chronic condition characterized by dry, itchy skin that often turns into a red rash. Atopic dermatitis can come and go for years or throughout life and can overlap with other types of eczema. Atopic dermatitis has a complex pathophysiology involving genetic, immunologic and environmental factors, culminating in skin barrier dysfunction and immune system dysregulation. The condition occurs most</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10159"/>
          </w:cols>
          <w:pgMar w:left="300" w:top="372"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frequently in children (15 to 30% worldwide). Approximately 60% of those who develop atopic dermatitis show symptoms in the first year of life and up to 90% show symptoms by five years of age. While more prevalent in infancy and adolescence, one in ten people will develop atopic dermatitis. Approximately 89% of adult patients have mild to moderate atopic dermatitis, while 11% have severe atopic dermatitis. Atopic dermatitis is associated with several comorbidities, including asthma, allergies depression, and sleep disruption, and could negatively impact quality of life.</w:t>
      </w:r>
    </w:p>
    <w:p>
      <w:pPr>
        <w:spacing w:after="0" w:line="111"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While topical therapies are the foundation of treatment, many patients fail to achieve their desired outcome due to subpar efficacy, tolerability and safety concerns, application site restrictions and limits on duration of therapy. Topical corticosteroids (“TCS”) are commonly used as the first-line therapy for the treatment of inflammatory skin conditions, such as psoriasis and atopic dermatitis. They are broadly available in generic form and carry FDA class labeling that restrict their duration of use, typically to no more than four weeks, and their location of use, prohibiting use in sensitive skin areas such as the face, groin, or axillae (armpit). While many people experience improvement with TCS, the continual long-term use of TCS has the potential to cause significant side effects including skin atrophy. As a result, healthcare professionals and patients are limited to intermittent treatment cycles of TCS therapy, leading to frequent disease flares and recurrence of disease, providing an inadequate solution for chronic conditions in immuno-dermatology. Topical calcineurin inhibitors (“TCI”) are an additional non-steroidal option for the topical treatment of atopic dermatitis, but their use is limited by safety concerns, including boxed warnings of malignancy reported in patients treated with TCIs. Oral and biologic therapies have become increasingly available but are often limited to moderate-to-severe psoriasis and atopic dermatitis patients which comprise the smallest percentage of the affected populations. While biologics have proven to be very effective, their use has also been limited by concerns with systemic side effects, high cost, and reimbursement and access restrictions. Oral therapies are functionally limited to moderate-to-severe psoriasis patients. Oral therapies also have significant side effects and have not achieved the same level of efficacy as biologics. Additionally, recent FDA action regarding Janus kinase inhibitors (“JAKs”) have resulted in restrictive labeling and black box warnings relating to safety concerns with the product class, including oral and topical forms, and including for the topical treatment of atopic dermatitis.</w:t>
      </w:r>
    </w:p>
    <w:p>
      <w:pPr>
        <w:spacing w:after="0" w:line="122" w:lineRule="exact"/>
        <w:rPr>
          <w:sz w:val="20"/>
          <w:szCs w:val="20"/>
          <w:color w:val="auto"/>
        </w:rPr>
      </w:pPr>
    </w:p>
    <w:p>
      <w:pPr>
        <w:jc w:val="both"/>
        <w:ind w:left="1980" w:right="979" w:firstLine="294"/>
        <w:spacing w:after="0" w:line="276" w:lineRule="auto"/>
        <w:rPr>
          <w:sz w:val="20"/>
          <w:szCs w:val="20"/>
          <w:color w:val="auto"/>
        </w:rPr>
      </w:pPr>
      <w:r>
        <w:rPr>
          <w:rFonts w:ascii="Arial" w:cs="Arial" w:eastAsia="Arial" w:hAnsi="Arial"/>
          <w:sz w:val="12"/>
          <w:szCs w:val="12"/>
          <w:color w:val="auto"/>
        </w:rPr>
        <w:t>Given the limitations associated with TCS, other topicals, orals, and biologics therapies, patients with inflammatory skin conditions often report dissatisfaction with their current treatment options.</w:t>
      </w:r>
    </w:p>
    <w:p>
      <w:pPr>
        <w:spacing w:after="0" w:line="115" w:lineRule="exact"/>
        <w:rPr>
          <w:sz w:val="20"/>
          <w:szCs w:val="20"/>
          <w:color w:val="auto"/>
        </w:rPr>
      </w:pPr>
    </w:p>
    <w:p>
      <w:pPr>
        <w:jc w:val="both"/>
        <w:ind w:left="1980" w:right="979" w:firstLine="294"/>
        <w:spacing w:after="0" w:line="289" w:lineRule="auto"/>
        <w:rPr>
          <w:sz w:val="20"/>
          <w:szCs w:val="20"/>
          <w:color w:val="auto"/>
        </w:rPr>
      </w:pPr>
      <w:r>
        <w:rPr>
          <w:rFonts w:ascii="Arial" w:cs="Arial" w:eastAsia="Arial" w:hAnsi="Arial"/>
          <w:sz w:val="11"/>
          <w:szCs w:val="11"/>
          <w:color w:val="auto"/>
        </w:rPr>
        <w:t>Psoriasis and atopic dermatitis represent the two largest markets in immuno-dermatology and are expected to reach total sales of approximately $31 billion in the U.S. and $44 billion globally by 2026. Topical treatments serve as the foundation of dermatologic treatment, representing 83% of all U.S. prescriptions written by dermatologists in 2020. Additionally, we believe that tapinarof has the potential to be prescribed alongside biologics and oral therapies. Annual U.S. prescriptions for both psoriasis and atopic dermatitis are outlined below:</w:t>
      </w:r>
    </w:p>
    <w:p>
      <w:pPr>
        <w:spacing w:after="0" w:line="10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Vitamin D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Combos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3"/>
        </w:trPr>
        <w:tc>
          <w:tcPr>
            <w:tcW w:w="25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0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TCS</w:t>
            </w:r>
          </w:p>
        </w:tc>
        <w:tc>
          <w:tcPr>
            <w:tcW w:w="66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 Retinoids</w:t>
            </w:r>
          </w:p>
        </w:tc>
        <w:tc>
          <w:tcPr>
            <w:tcW w:w="600" w:type="dxa"/>
            <w:vAlign w:val="bottom"/>
            <w:gridSpan w:val="5"/>
          </w:tcPr>
          <w:p>
            <w:pPr>
              <w:ind w:left="20"/>
              <w:spacing w:after="0" w:line="114" w:lineRule="exact"/>
              <w:rPr>
                <w:sz w:val="20"/>
                <w:szCs w:val="20"/>
                <w:color w:val="auto"/>
              </w:rPr>
            </w:pPr>
            <w:r>
              <w:rPr>
                <w:rFonts w:ascii="Arial" w:cs="Arial" w:eastAsia="Arial" w:hAnsi="Arial"/>
                <w:sz w:val="10"/>
                <w:szCs w:val="10"/>
                <w:b w:val="1"/>
                <w:bCs w:val="1"/>
                <w:color w:val="auto"/>
              </w:rPr>
              <w:t>Biologics</w:t>
            </w:r>
          </w:p>
        </w:tc>
        <w:tc>
          <w:tcPr>
            <w:tcW w:w="560" w:type="dxa"/>
            <w:vAlign w:val="bottom"/>
            <w:gridSpan w:val="4"/>
          </w:tcPr>
          <w:p>
            <w:pPr>
              <w:ind w:left="60"/>
              <w:spacing w:after="0" w:line="114" w:lineRule="exact"/>
              <w:rPr>
                <w:sz w:val="20"/>
                <w:szCs w:val="20"/>
                <w:color w:val="auto"/>
              </w:rPr>
            </w:pPr>
            <w:r>
              <w:rPr>
                <w:rFonts w:ascii="Arial" w:cs="Arial" w:eastAsia="Arial" w:hAnsi="Arial"/>
                <w:sz w:val="10"/>
                <w:szCs w:val="10"/>
                <w:b w:val="1"/>
                <w:bCs w:val="1"/>
                <w:color w:val="auto"/>
              </w:rPr>
              <w:t>Otezla</w:t>
            </w:r>
          </w:p>
        </w:tc>
        <w:tc>
          <w:tcPr>
            <w:tcW w:w="5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Other Oral</w:t>
            </w:r>
          </w:p>
        </w:tc>
      </w:tr>
      <w:tr>
        <w:trPr>
          <w:trHeight w:val="133"/>
        </w:trPr>
        <w:tc>
          <w:tcPr>
            <w:tcW w:w="2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Annual Scripts for PsO (2020)</w:t>
            </w:r>
          </w:p>
        </w:tc>
        <w:tc>
          <w:tcPr>
            <w:tcW w:w="18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w w:val="89"/>
              </w:rPr>
              <w:t>~2.35M</w:t>
            </w: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w w:val="91"/>
              </w:rPr>
              <w:t>~508K</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3"/>
            <w:shd w:val="clear" w:color="auto" w:fill="CCEEFF"/>
          </w:tcPr>
          <w:p>
            <w:pPr>
              <w:ind w:left="40"/>
              <w:spacing w:after="0" w:line="133" w:lineRule="exact"/>
              <w:rPr>
                <w:sz w:val="20"/>
                <w:szCs w:val="20"/>
                <w:color w:val="auto"/>
              </w:rPr>
            </w:pPr>
            <w:r>
              <w:rPr>
                <w:rFonts w:ascii="Arial" w:cs="Arial" w:eastAsia="Arial" w:hAnsi="Arial"/>
                <w:sz w:val="12"/>
                <w:szCs w:val="12"/>
                <w:color w:val="auto"/>
                <w:w w:val="89"/>
              </w:rPr>
              <w:t>~1.05M</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ind w:left="40"/>
              <w:spacing w:after="0" w:line="133" w:lineRule="exact"/>
              <w:rPr>
                <w:sz w:val="20"/>
                <w:szCs w:val="20"/>
                <w:color w:val="auto"/>
              </w:rPr>
            </w:pPr>
            <w:r>
              <w:rPr>
                <w:rFonts w:ascii="Arial" w:cs="Arial" w:eastAsia="Arial" w:hAnsi="Arial"/>
                <w:sz w:val="12"/>
                <w:szCs w:val="12"/>
                <w:color w:val="auto"/>
                <w:w w:val="91"/>
              </w:rPr>
              <w:t>~258K</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w w:val="91"/>
              </w:rPr>
              <w:t>~241K</w:t>
            </w:r>
          </w:p>
        </w:tc>
        <w:tc>
          <w:tcPr>
            <w:tcW w:w="40" w:type="dxa"/>
            <w:vAlign w:val="bottom"/>
            <w:tcBorders>
              <w:top w:val="single" w:sz="8" w:color="CCEEFF"/>
            </w:tcBorders>
            <w:shd w:val="clear" w:color="auto" w:fill="CCEEFF"/>
          </w:tcPr>
          <w:p>
            <w:pPr>
              <w:spacing w:after="0"/>
              <w:rPr>
                <w:sz w:val="11"/>
                <w:szCs w:val="11"/>
                <w:color w:val="auto"/>
              </w:rPr>
            </w:pPr>
          </w:p>
        </w:tc>
      </w:tr>
      <w:tr>
        <w:trPr>
          <w:trHeight w:val="270"/>
        </w:trPr>
        <w:tc>
          <w:tcPr>
            <w:tcW w:w="25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gridSpan w:val="2"/>
          </w:tcPr>
          <w:p>
            <w:pPr>
              <w:ind w:left="120"/>
              <w:spacing w:after="0"/>
              <w:rPr>
                <w:sz w:val="20"/>
                <w:szCs w:val="20"/>
                <w:color w:val="auto"/>
              </w:rPr>
            </w:pPr>
            <w:r>
              <w:rPr>
                <w:rFonts w:ascii="Arial" w:cs="Arial" w:eastAsia="Arial" w:hAnsi="Arial"/>
                <w:sz w:val="10"/>
                <w:szCs w:val="10"/>
                <w:b w:val="1"/>
                <w:bCs w:val="1"/>
                <w:color w:val="auto"/>
              </w:rPr>
              <w:t>TCS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gridSpan w:val="3"/>
          </w:tcPr>
          <w:p>
            <w:pPr>
              <w:ind w:left="100"/>
              <w:spacing w:after="0"/>
              <w:rPr>
                <w:sz w:val="20"/>
                <w:szCs w:val="20"/>
                <w:color w:val="auto"/>
              </w:rPr>
            </w:pPr>
            <w:r>
              <w:rPr>
                <w:rFonts w:ascii="Arial" w:cs="Arial" w:eastAsia="Arial" w:hAnsi="Arial"/>
                <w:sz w:val="10"/>
                <w:szCs w:val="10"/>
                <w:b w:val="1"/>
                <w:bCs w:val="1"/>
                <w:color w:val="auto"/>
              </w:rPr>
              <w:t>TCI</w:t>
            </w:r>
          </w:p>
        </w:tc>
        <w:tc>
          <w:tcPr>
            <w:tcW w:w="80" w:type="dxa"/>
            <w:vAlign w:val="bottom"/>
          </w:tcPr>
          <w:p>
            <w:pPr>
              <w:spacing w:after="0"/>
              <w:rPr>
                <w:sz w:val="23"/>
                <w:szCs w:val="23"/>
                <w:color w:val="auto"/>
              </w:rPr>
            </w:pPr>
          </w:p>
        </w:tc>
        <w:tc>
          <w:tcPr>
            <w:tcW w:w="480" w:type="dxa"/>
            <w:vAlign w:val="bottom"/>
            <w:gridSpan w:val="3"/>
          </w:tcPr>
          <w:p>
            <w:pPr>
              <w:ind w:left="40"/>
              <w:spacing w:after="0"/>
              <w:rPr>
                <w:sz w:val="20"/>
                <w:szCs w:val="20"/>
                <w:color w:val="auto"/>
              </w:rPr>
            </w:pPr>
            <w:r>
              <w:rPr>
                <w:rFonts w:ascii="Arial" w:cs="Arial" w:eastAsia="Arial" w:hAnsi="Arial"/>
                <w:sz w:val="10"/>
                <w:szCs w:val="10"/>
                <w:b w:val="1"/>
                <w:bCs w:val="1"/>
                <w:color w:val="auto"/>
              </w:rPr>
              <w:t>Eucrisa</w:t>
            </w:r>
          </w:p>
        </w:tc>
        <w:tc>
          <w:tcPr>
            <w:tcW w:w="20" w:type="dxa"/>
            <w:vAlign w:val="bottom"/>
          </w:tcPr>
          <w:p>
            <w:pPr>
              <w:spacing w:after="0"/>
              <w:rPr>
                <w:sz w:val="23"/>
                <w:szCs w:val="23"/>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Dupixent</w:t>
            </w:r>
          </w:p>
        </w:tc>
      </w:tr>
      <w:tr>
        <w:trPr>
          <w:trHeight w:val="133"/>
        </w:trPr>
        <w:tc>
          <w:tcPr>
            <w:tcW w:w="2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Annual Scripts for AD (2020)</w:t>
            </w:r>
          </w:p>
        </w:tc>
        <w:tc>
          <w:tcPr>
            <w:tcW w:w="18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w w:val="89"/>
              </w:rPr>
              <w:t>~16.4M</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w w:val="85"/>
              </w:rPr>
              <w:t>~996K</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ind w:left="80"/>
              <w:spacing w:after="0" w:line="133" w:lineRule="exact"/>
              <w:rPr>
                <w:sz w:val="20"/>
                <w:szCs w:val="20"/>
                <w:color w:val="auto"/>
              </w:rPr>
            </w:pPr>
            <w:r>
              <w:rPr>
                <w:rFonts w:ascii="Arial" w:cs="Arial" w:eastAsia="Arial" w:hAnsi="Arial"/>
                <w:sz w:val="12"/>
                <w:szCs w:val="12"/>
                <w:color w:val="auto"/>
                <w:w w:val="85"/>
              </w:rPr>
              <w:t>~352K</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w w:val="91"/>
              </w:rPr>
              <w:t>~344K</w:t>
            </w:r>
          </w:p>
        </w:tc>
        <w:tc>
          <w:tcPr>
            <w:tcW w:w="40" w:type="dxa"/>
            <w:vAlign w:val="bottom"/>
            <w:tcBorders>
              <w:top w:val="single" w:sz="8" w:color="CCEEFF"/>
            </w:tcBorders>
            <w:shd w:val="clear" w:color="auto" w:fill="CCEEFF"/>
          </w:tcPr>
          <w:p>
            <w:pPr>
              <w:spacing w:after="0"/>
              <w:rPr>
                <w:sz w:val="11"/>
                <w:szCs w:val="11"/>
                <w:color w:val="auto"/>
              </w:rPr>
            </w:pPr>
          </w:p>
        </w:tc>
      </w:tr>
      <w:tr>
        <w:trPr>
          <w:trHeight w:val="243"/>
        </w:trPr>
        <w:tc>
          <w:tcPr>
            <w:tcW w:w="2560" w:type="dxa"/>
            <w:vAlign w:val="bottom"/>
          </w:tcPr>
          <w:p>
            <w:pPr>
              <w:spacing w:after="0"/>
              <w:rPr>
                <w:sz w:val="21"/>
                <w:szCs w:val="21"/>
                <w:color w:val="auto"/>
              </w:rPr>
            </w:pPr>
          </w:p>
        </w:tc>
        <w:tc>
          <w:tcPr>
            <w:tcW w:w="1840" w:type="dxa"/>
            <w:vAlign w:val="bottom"/>
          </w:tcPr>
          <w:p>
            <w:pPr>
              <w:jc w:val="right"/>
              <w:ind w:right="580"/>
              <w:spacing w:after="0"/>
              <w:rPr>
                <w:sz w:val="20"/>
                <w:szCs w:val="20"/>
                <w:color w:val="auto"/>
              </w:rPr>
            </w:pPr>
            <w:r>
              <w:rPr>
                <w:rFonts w:ascii="Arial" w:cs="Arial" w:eastAsia="Arial" w:hAnsi="Arial"/>
                <w:sz w:val="12"/>
                <w:szCs w:val="12"/>
                <w:color w:val="auto"/>
              </w:rPr>
              <w:t>147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16173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57575"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2"/>
          <w:szCs w:val="12"/>
          <w:color w:val="auto"/>
        </w:rPr>
        <w:t>Source: EvaluatePharma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Tapinarof for the Treatment of Psoriasis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completed two pivotal Phase 3 clinical trials, PSOARING 1 and PSOARING 2, evaluating the use of tapinarof in treating mild, moderate and severe plaque psoriasis in adults. In both of these trials, which enrolled over 500 patients each, tapinarof met its primary endpoint and all secondary endpoints with clinically meaningful and statistically significant responses as well as favorable safety and tolerability findings. At week 12, 35.4% and 40.2% of patients treated with tapinarof in PSOARING 1 and PSOARING 2, respectively, achieved the primary efficacy endpoint of a Physician Global Assessment (PGA) score of clear (0) or almost clear (1) with a minimum 2-grade improvement from baseline as compared to 6.0% and 6.3% of patients treated with vehicle cream (p&lt;0.0001; p&lt;0.0001). When this endpoint was evaluated over time, rapid onset of activity was observed with separation emerging by the first evaluation trial visit (week 2) and statistically significant differences between tapinarof and vehicle cream at week 4 and continuing at all measured time points thereafter.</w:t>
      </w:r>
    </w:p>
    <w:p>
      <w:pPr>
        <w:spacing w:after="0" w:line="115" w:lineRule="exact"/>
        <w:rPr>
          <w:sz w:val="20"/>
          <w:szCs w:val="20"/>
          <w:color w:val="auto"/>
        </w:rPr>
      </w:pPr>
    </w:p>
    <w:p>
      <w:pPr>
        <w:ind w:left="1980" w:right="979" w:firstLine="294"/>
        <w:spacing w:after="0" w:line="316" w:lineRule="auto"/>
        <w:rPr>
          <w:sz w:val="20"/>
          <w:szCs w:val="20"/>
          <w:color w:val="auto"/>
        </w:rPr>
      </w:pPr>
      <w:r>
        <w:rPr>
          <w:rFonts w:ascii="Arial" w:cs="Arial" w:eastAsia="Arial" w:hAnsi="Arial"/>
          <w:sz w:val="10"/>
          <w:szCs w:val="10"/>
          <w:color w:val="auto"/>
        </w:rPr>
        <w:t>Tapinarof met all secondary endpoints with statistical significance in PSOARING 1 and PSOARING 2, including a key secondary endpoint, the proportion of subjects with ³75% improvement in Psoriasis Area and Severity Index (PASI75). In PSOARING 1 and 2, 36.1% and 47.6% of patients achieved PASI75 at Week 12 with tapinarof 1% cream QD vs 10.2% and 6.9% for vehicle, respectively. The PASI assessment is a more quantitative assessment of disease activity relative to the PGA and provides additional insight into a drug’s impact on disease modification. Similar to what was observed with PGA, evaluating reduction in the burden of disease via a PASI assessment confirms rapid onset of action with separation of tapinarof from vehicle cream control at week 2, and statistically significant differences were noted as early as week 4 and each evaluation thereafter.</w:t>
      </w:r>
    </w:p>
    <w:p>
      <w:pPr>
        <w:spacing w:after="0" w:line="10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Additionally, tapinarof was observed to be well-tolerated, consistent with previous trials, and had low discontinuation rates due to adverse events (“AEs”), no treatment related serious adverse events (“SAEs”), and minimal severe application site reactions.</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Tapinarof was observed to be well-tolerated in both trials, with AEs generally mild to moderate in nature and the majority consisting of localized skin reactions. Overall trial discontinuations due to adverse events were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72"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5.6% in PSOARING 1 and 5.8% in PSOARING 2. Trial discontinuation rates due to folliculitis were 1.8% in PSOARING 1 and 0.9% in PSOARING 2. No tapinarof-related severe adverse events were observed, and over 90% of eligible patients enrolled in the long-term extension study. To date, over 2,200 subjects have been enrolled in 18 clinical trials of tapinarof and predecessor formulations of tapinarof cream.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83820</wp:posOffset>
            </wp:positionV>
            <wp:extent cx="3457575" cy="1331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57575"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120" w:right="1139" w:hanging="148"/>
        <w:spacing w:after="0" w:line="283" w:lineRule="auto"/>
        <w:tabs>
          <w:tab w:leader="none" w:pos="2120" w:val="left"/>
        </w:tabs>
        <w:numPr>
          <w:ilvl w:val="0"/>
          <w:numId w:val="82"/>
        </w:numPr>
        <w:rPr>
          <w:rFonts w:ascii="Arial" w:cs="Arial" w:eastAsia="Arial" w:hAnsi="Arial"/>
          <w:sz w:val="8"/>
          <w:szCs w:val="8"/>
          <w:color w:val="auto"/>
        </w:rPr>
      </w:pPr>
      <w:r>
        <w:rPr>
          <w:rFonts w:ascii="Arial" w:cs="Arial" w:eastAsia="Arial" w:hAnsi="Arial"/>
          <w:sz w:val="8"/>
          <w:szCs w:val="8"/>
          <w:color w:val="auto"/>
        </w:rPr>
        <w:t>Patients with PGA of 2 (mild) and PGA of 4 (severe) limited to ~10% each of the total randomized population;~80% of the total randomized population with PGA of 3 (moderate); †Patients electing not to participate in LTE had follow-up visit 4 weeks after completion of treatment period. BSA, body surface area; LTE, long-term extension; PASI75, ³ 75% improvement in Psoriasis Area and Severity Index; PASI90, ³ 90% improvement in Psoriasis Area and Severity Index; PGA, Physician Global Assessment; QD, once daily. 1. Clinicaltrials.gov; NCT03956355. 2. Clinicaltrials.gov; NCT03983980. 3. Clinicaltrials.gov; NCT04053387.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86360</wp:posOffset>
            </wp:positionV>
            <wp:extent cx="3114675" cy="2165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14675"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72"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23285" cy="3971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3285" cy="397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below figure shows rapid and complete clearance of plaque psoriasis in a patient achieving the defined trial endpoint. At baseline, this patient’s PGA score was 3, indicative of moderate disease, and the PASI score was 17.6. The baseline image demonstrates classic plaque psoriasis with well demarcated erythematous scaling plaques. At week 4, the PGA had decreased from 3 to 2 and the PASI from 17.6 to 4, the latter having passed the threshold 75% reduction in PASI (PASI75). The target plaques on the forearm are completely resolved. At week 12, both the PGA and PASI scores were 0, indicating complete clearance of disease. PGA and PASI are global efficacy assessments.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72"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135890</wp:posOffset>
            </wp:positionV>
            <wp:extent cx="3406140" cy="1748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061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In September 2021, we reported the final results from our long-term open-label study, PSOARING 3, which showed that 58.2% of subjects who entered the PSOARING 3 study with a PGA score of ³ 2 achieved a PGA score of 0 or 1 at least once during the study. Although PSOARING 3 was not a vehicle-controlled study unlike the prior two PSOARING studies, we believe these data provide supportive evidence regarding tapinarof’s potential therapeutic effect beyond the 12-week doubleblind treatment periods utilized in PSOARING 1 and PSOARING 2. In addition, 312 out of 763 subjects (40.9%) achieved complete disease clearance (PGA score of 0) at least once during the study. We observed no evidence of tachyphylaxis, or a diminishing response to treatment, throughout the study, which we believe suggests treatment durability over time.</w:t>
      </w:r>
    </w:p>
    <w:p>
      <w:pPr>
        <w:spacing w:after="0" w:line="113" w:lineRule="exact"/>
        <w:rPr>
          <w:sz w:val="20"/>
          <w:szCs w:val="20"/>
          <w:color w:val="auto"/>
        </w:rPr>
      </w:pPr>
    </w:p>
    <w:p>
      <w:pPr>
        <w:ind w:left="1980" w:right="1019" w:firstLine="294"/>
        <w:spacing w:after="0" w:line="285" w:lineRule="auto"/>
        <w:rPr>
          <w:sz w:val="20"/>
          <w:szCs w:val="20"/>
          <w:color w:val="auto"/>
        </w:rPr>
      </w:pPr>
      <w:r>
        <w:rPr>
          <w:rFonts w:ascii="Arial" w:cs="Arial" w:eastAsia="Arial" w:hAnsi="Arial"/>
          <w:sz w:val="11"/>
          <w:szCs w:val="11"/>
          <w:color w:val="auto"/>
        </w:rPr>
        <w:t>At the time of an interim analysis of PSOARING 3 open-label study results in February 2021, we completed an integrated summary of efficacy (ISE) that included data from PSOARING 1, PSOARING 2 and the PSOARING 3 interim analysis summary from subjects with a PGA score of ³ 2 prior to tapinarof administration. In the integrated analysis, we identified a PGA response of clear (0) or almost clear (1), plus at least a 2-grade improvement from baseline, at any time point, in 57% of subjects, PASI75, at any time point, in 63.5% of subjects, and PASI90, at any time point, in 44.2% of subjects, providing evidence of improvement beyond the 12 week double-blind treatment period.</w:t>
      </w:r>
    </w:p>
    <w:p>
      <w:pPr>
        <w:spacing w:after="0" w:line="113"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In our pivotal Phase 3 clinical trials, we observed that tapinarof’s treatment effect did not decline with continued use over the duration of the trials, which we refer to as durability on therapy. While statistically significant differences in favor of tapinarof were observed in the 12-week, double-blind studies, in our open-label, single-arm PSOARING 3 long-term study, continued improvement was observed in both PGA and PASI beyond 12 weeks with continued use of tapinarof. This observation of continued improvement in reducing disease burden (durability on therapy) was evidenced by the number of patients who achieved complete disease clearance at 12 weeks (n=79) and with continued use beyond 12 weeks, an additional 233 patients achieved complete disease clearance, indicating no evidence of loss of treatment effect over time.</w:t>
      </w:r>
    </w:p>
    <w:p>
      <w:pPr>
        <w:spacing w:after="0" w:line="11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Relatedly, in our clinical trials we have also observed, including data from our PSOARING 3 long-term open-label study, that some patients treated with tapinarof maintained clinically meaningful disease control for an extended period of time after therapy had been discontinued. In PSOARING 3, subjects discontinued applying tapinarof when they achieved complete clearance of their disease (PGA=0). These subjects were then followed, and the time to first worsening (defined as PGA ³ 2) was utilized to determine the maintenance of clinical benefit off therapy, and we refer to maintenance of clear/almost clear (PGA 0/1) while off therapy as remittive effect. At</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72"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298" w:lineRule="auto"/>
        <w:rPr>
          <w:sz w:val="20"/>
          <w:szCs w:val="20"/>
          <w:color w:val="auto"/>
        </w:rPr>
      </w:pPr>
      <w:r>
        <w:rPr>
          <w:rFonts w:ascii="Arial" w:cs="Arial" w:eastAsia="Arial" w:hAnsi="Arial"/>
          <w:sz w:val="11"/>
          <w:szCs w:val="11"/>
          <w:color w:val="auto"/>
        </w:rPr>
        <w:t>the completion of the Week 12 visit of the PSOARING 1 and PSOARING 2 trials, subjects were offered enrollment in the PSOARING 3 long-term open-label study. Subjects with a PGA ³ 1 began treatment with tapinarof cream applied QD until they achieved a PGA score of 0. Treatment was discontinued when a subject achieved a PGA score of 0 and re-initiated for subsequent worsening disease (PGA ³ 2).</w:t>
      </w:r>
    </w:p>
    <w:p>
      <w:pPr>
        <w:spacing w:after="0" w:line="10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In PSOARING 3, for subjects entering the study with a PGA score of 0 (79/763), the median time to disease worsening (defined as a PGA score of ³ 2) following complete disease clearance and treatment discontinuation was approximately 115 days. In addition, among patients entering PSOARING 3 with or achieving a PGA score of 0 (312/763), the mean total duration of time to disease worsening following treatment discontinuation was approximately 130 days.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We have filed an NDA with the FDA for tapinarof cream for the treatment of adults with plaque psoriasis and are expecting a decision on tapinarof’s approval in the second quarter of calendar year 2022. Tapinarof has the potential to be the first novel topical therapy approved by the FDA for plaque psoriasis in over 20 years.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Tapinarof for the Treatment of Atopic Dermatitis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In 2017, GSK completed a multicenter randomized, double-blind, vehicle cream-controlled Phase 2b clinical trial of tapinarof for the treatment of atopic dermatitis in 247 adult (aged 18 to 65 years) and adolescent (aged 12 to 17 years) patients. Patients were randomized equally to six treatment groups: tapinarof cream 0.5%, tapinarof cream 1% or vehicle cream, each applied to atopic dermatitis lesions either QD or BID. The primary endpoint was the percentage of patients who achieved a minimum two-point improvement in IGA score and resulted in an assessment of “clear” or “almost clear” skin at week 12. These cases were considered a “treatment success.” Secondary endpoints included the percentage of patients with at least 75% improvement in Eczema Area and Severity Index (EASI) from baseline. Efficacy was evaluated in the intent to treat (ITT) population.</w:t>
      </w:r>
    </w:p>
    <w:p>
      <w:pPr>
        <w:spacing w:after="0" w:line="113"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Overall, the percentage of patients achieving treatment success at week 12 was much higher than vehicle cream for both tapinarof concentrations, with a robust dose response. Treatment success at week 12 was higher for both tapinarof concentrations when compared with vehicle cream. 53% of patients who applied tapinarof cream 1% BID and 46% of those who applied it QD were considered a treatment success at week 12. This compares favorably to the 24% and 28% levels for vehicle cream BID and QD, respectively. At week 12, 60% and 51% of patients treated with tapinarof cream 1% BID and QD, respectively, achieved EASI75. The treatment effect across adults and adolescents was observed to be consistent. Patient-reported outcome data was collected during the Phase 2b clinical trial, including data on reduction in severity of pruritus. At week 12, most patients treated with tapinarof cream 1% (78% of patients treated BID and 87% of patients treated QD) reported “moderately improved” to “very improved” pruritus, compared to patients treated with vehicle cream (47% of patients treated BID and 64% of patients treated QD).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72"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 xml:space="preserve">IGA score 0 or 1 and </w:t>
      </w:r>
      <w:r>
        <w:rPr>
          <w:rFonts w:ascii="Arial" w:cs="Arial" w:eastAsia="Arial" w:hAnsi="Arial"/>
          <w:sz w:val="12"/>
          <w:szCs w:val="12"/>
          <w:color w:val="auto"/>
        </w:rPr>
        <w:t>³</w:t>
      </w:r>
      <w:r>
        <w:rPr>
          <w:rFonts w:ascii="Arial" w:cs="Arial" w:eastAsia="Arial" w:hAnsi="Arial"/>
          <w:sz w:val="12"/>
          <w:szCs w:val="12"/>
          <w:b w:val="1"/>
          <w:bCs w:val="1"/>
          <w:color w:val="auto"/>
        </w:rPr>
        <w:t>2-grade improvement at Week 8</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Primary Endpoint was at 12 Weeks: Assessed in ITT Population (NRI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106680</wp:posOffset>
            </wp:positionV>
            <wp:extent cx="3457575" cy="1891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57575" cy="189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IGA response: IGA score of 0 or 1 and a ³2-grade improvement from baseline.</w:t>
      </w:r>
    </w:p>
    <w:p>
      <w:pPr>
        <w:spacing w:after="0" w:line="146" w:lineRule="exact"/>
        <w:rPr>
          <w:sz w:val="20"/>
          <w:szCs w:val="20"/>
          <w:color w:val="auto"/>
        </w:rPr>
      </w:pPr>
    </w:p>
    <w:p>
      <w:pPr>
        <w:ind w:left="2120" w:hanging="148"/>
        <w:spacing w:after="0"/>
        <w:tabs>
          <w:tab w:leader="none" w:pos="2120" w:val="left"/>
        </w:tabs>
        <w:numPr>
          <w:ilvl w:val="0"/>
          <w:numId w:val="83"/>
        </w:numPr>
        <w:rPr>
          <w:rFonts w:ascii="Arial" w:cs="Arial" w:eastAsia="Arial" w:hAnsi="Arial"/>
          <w:sz w:val="10"/>
          <w:szCs w:val="10"/>
          <w:i w:val="1"/>
          <w:iCs w:val="1"/>
          <w:color w:val="auto"/>
        </w:rPr>
      </w:pPr>
      <w:r>
        <w:rPr>
          <w:rFonts w:ascii="Arial" w:cs="Arial" w:eastAsia="Arial" w:hAnsi="Arial"/>
          <w:sz w:val="10"/>
          <w:szCs w:val="10"/>
          <w:i w:val="1"/>
          <w:iCs w:val="1"/>
          <w:color w:val="auto"/>
        </w:rPr>
        <w:t>Difference versus vehicle cream is statistically significant at p=0.05 level (the 95% confidence interval excludes 0).</w:t>
      </w:r>
    </w:p>
    <w:p>
      <w:pPr>
        <w:spacing w:after="0" w:line="13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Tapinarof was observed to be well-tolerated in this Phase 2b trial for atopic dermatitis, with the majority of AEs reported as mild or moderate in intensity. In the trial, TEAEs were considered treatment-related in 10% to 19% of dosed patients across the treatment arms. The most commonly reported TEAEs were folliculitis, application-site pain and atopic dermatitis. TEAEs led to permanent discontinuation of trial treatment in 4% of dosed patients (seven patients from treatment groups total) compared to 7% of patients receiving vehicle cream (six patients total). Only one patient (tapinarof 1% BID) experienced a SAE of anxiety and hyperactive disorder, which was not considered to be related to treatment.</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firstLine="294"/>
        <w:spacing w:after="0" w:line="287" w:lineRule="auto"/>
        <w:rPr>
          <w:sz w:val="20"/>
          <w:szCs w:val="20"/>
          <w:color w:val="auto"/>
        </w:rPr>
      </w:pPr>
      <w:r>
        <w:rPr>
          <w:rFonts w:ascii="Arial" w:cs="Arial" w:eastAsia="Arial" w:hAnsi="Arial"/>
          <w:sz w:val="11"/>
          <w:szCs w:val="11"/>
          <w:color w:val="auto"/>
        </w:rPr>
        <w:t>We recently initiated ADORING 1 and ADORING 2, two identically designed, multi-center, randomized, vehicle-controlled, double-blind parallel Phase 3 clinical trials of tapinarof for the treatment of atopic dermatitis, and we dosed the first patient in September 2021. We expect to release topline data from ADORING 1 and ADORING 2 in the first half of calendar year 2023. The two trials will enroll up to 800 patients across both trials to evaluate the safety and efficacy of tapinarof cream, 1% dosed once daily (QD) for 8 weeks versus vehicle cream QD in patients aged 2 years and older diagnosed with moderate to severe atopic dermatitis. The primary endpoint of both studies will be the percentage of patients achieving a Validated Investigator Global Assessment for Atopic Dermatitis (vIGA-AD</w:t>
      </w:r>
      <w:r>
        <w:rPr>
          <w:rFonts w:ascii="Arial" w:cs="Arial" w:eastAsia="Arial" w:hAnsi="Arial"/>
          <w:sz w:val="15"/>
          <w:szCs w:val="15"/>
          <w:color w:val="auto"/>
          <w:vertAlign w:val="superscript"/>
        </w:rPr>
        <w:t>™</w:t>
      </w:r>
      <w:r>
        <w:rPr>
          <w:rFonts w:ascii="Arial" w:cs="Arial" w:eastAsia="Arial" w:hAnsi="Arial"/>
          <w:sz w:val="11"/>
          <w:szCs w:val="11"/>
          <w:color w:val="auto"/>
        </w:rPr>
        <w:t>), of 0 or 1 with at least a 2-grade improvement from baseline at week 8.</w:t>
      </w:r>
    </w:p>
    <w:p>
      <w:pPr>
        <w:spacing w:after="0" w:line="45"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Additionally, we are planning ADORING 3, a long-term, open-label, extension study to evaluate the safety and efficacy of tapinarof cream, 1% in patients with atopic dermatitis. Subjects in the study will include those who have previously completed treatment with tapinarof or vehicle in ADORING 1 or ADORING 2. ADORING 3 will consist of up to 48 weeks of tapinarof cream, 1%, and a 7-day safety follow-up period.</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72"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Potential Benefits of Tapinarof—Limitations of Current Treatments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Tapinarof’s potential in psoriasis</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While TCS, especially high potency TCS, are the most commonly prescribed first line topical agents for plaque psoriasis treatment, continual and long-term TCS treatment carries the risk of a variety of significant side effects, as well as the inability to utilize them in sensitive skin areas (e.g., areas such as the face, groin, or axillae), and is associated with HPA axis suppression, skin atrophy (thinning), striae (stretch marks), and telangiectasia (spider veins), among other side effects. Furthermore, some of these side effects are irreversible, persisting even after therapy is discontinued. Consequently, high-potency TCS are not recommended for chronic use, and physicians generally will not prescribe them for treatment on the face or in the intertriginous regions where skin opposes skin, such as skin folds. For example, the label for clobetasol propionate, the most commonly used high-potency steroid, limits use to two consecutive weeks, and use on the face or intertriginous regions is contraindicated. Facial psoriasis affects 33%-50% of psoriasis patients, and between 21%-30% of people living with psoriasis develop intertriginous psoriasis.</w:t>
      </w:r>
    </w:p>
    <w:p>
      <w:pPr>
        <w:spacing w:after="0" w:line="11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Oral and biologic therapies are also available but are only indicated for a small percentage of the affected population, are expensive and often face access and reimbursement restrictions. While highly efficacious, biologic therapies may require frequent injections and regular physician appointments, have potential systemic toxicities and often require laboratory monitoring. As a result, use of biologics remains limited to patients with significant disease burden. Patients on biologics often continue to use TCS on resistant patches and plaques. Oral therapies have not yet achieved the same level of efficacy as biologics, but also have potential systemic side-effects, often requiring dose titration to mitigate adverse reactions. Systemic exposure to PDE4 inhibitors has been linked to depression and suicidal ideation. For example, the FDA labeling for both Otezla, the leading branded oral PDE4 inhibitor, and roflumilast, recommends advising patients to be alert for the emergence or worsening of suicidal thoughts or other mood changes, and indicates that instances of suicidal ideation and behavior were observed in clinical trials. In addition, Otezla requires dosing twice daily (BID), which can compromise adherence to the treatment regimen. Despite inferior efficacy compared to biologics, oral therapies comprise significant market share. Otezla generated over $2 billion in worldwide sales in psoriasis and psoriatic arthritis in 2020, indicating a need for more convenient treatment options with efficacy across the disease spectrum of mild to severe. In two Phase 3 trials in psoriasis patients, 20% and 22% of patients on oral Otezla achieved a PGA response at week 16, vs. 4% and 4% for placebo, respectively.</w:t>
      </w:r>
    </w:p>
    <w:p>
      <w:pPr>
        <w:spacing w:after="0" w:line="12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tapinarof’s differentiated clinical profile has five key attributes that will position it favorably over current standard of care treatments in psoriasis, including TCS therapies,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89535</wp:posOffset>
            </wp:positionV>
            <wp:extent cx="3463290" cy="1594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6329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72"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have commissioned robust qualitative and quantitative prescriber, payor and patient third party market research, involving more than 500 health care providers, more than 300 patients and 65 payors. Based on this market research, we believe that an unmet need exists in psoriasis for a safe and conveniently administered non-steroidal topical therapy that can be applied without interruption or long-term safety concerns and has potential efficacy similar to that of TCS and some systemically administered products. If approved, such a treatment could provide a significant improvement for those patients who do not receive adequate relief from current topical therapies or who have reservations about the safety and cost of oral medications or biologics or are unable to access these therapies. Our market research indicates that payors perceive tapinarof as a novel therapy that, if approved, could provide the potential to arrest the increasing cost trend of the psoriasis category, based on a survey of 15 payors. If approved, tapinarof could give national payors the opportunity to reduce spend in the overall psoriasis therapeutic class while allowing physicians and patients access to a potentially highly potent, safe, and tolerable treatment option for plaque psoriasis before moving to more costly oral and biologic therapies. TCS, due to their FDA label safety limitations, do not allow payors the versatility to aggressively manage a chronic condition in a manner that can effectively control the psoriasis therapeutic category cost trend.</w:t>
      </w:r>
    </w:p>
    <w:p>
      <w:pPr>
        <w:spacing w:after="0" w:line="116"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Based the clinically meaningful and statistically significant reduction in psoriasis symptoms tapinarof demonstrated in both Phase 3 trials, coupled with safety data, we believe tapinarof could be used broadly without restriction on skin application sites, or duration of use if approved. We believe the Phase 3 data we have generated and the data observed in our open-label, long-term extension study support the chronic use of tapinarof, potentially in place of other topical and oral treatments, for the treatment of mild, moderate and severe plaque psoriasis, if approved.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Tapinarof’s potential in atopic dermatitis</w:t>
      </w:r>
    </w:p>
    <w:p>
      <w:pPr>
        <w:spacing w:after="0" w:line="78"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TCS, especially low-to-mid potency TCS, represent the standard-of-care for atopic dermatitis treatment. Although they are used commonly, TCS pose a specific concern in pediatric patients due to the risk of systemic absorption, HPA axis suppression, skin thinning and other potential side effects. The increased body surface area to mass ratio in children results in increased absorption and systemic exposure. The American Academy of Dermatology guidelines suggest limiting long-term use of TCS in children to avoid the risk of systemic side effects. As such, 86% of U.S. patients report dissatisfaction with current treatment options for atopic dermatitis according to the National Eczema Association. There is also considerable concern among many parents about treating their children with steroids, which can be an obstacle to treatment for physicians. Due to these risks and patient dissatisfaction, health care providers are less likely to use them long-term in children and also in sensitive skin areas such as the face or diaper/groin area. In addition, topical PDE4 inhibitors developed to treat atopic dermatitis have been associated with side effects including application site burning and stinging. Topical calcineurin inhibitors are an additional non-steroidal option for the topical treatment of atopic dermatitis; however, their use has been limited by safety including boxed warnings of malignancy (e.g., skin and lymphoma) having been reported in patients treated with topical calcineurin inhibitors.</w:t>
      </w:r>
    </w:p>
    <w:p>
      <w:pPr>
        <w:spacing w:after="0" w:line="11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Patients whose disease flares despite topical treatments may be prescribed systemic agents such as oral corticosteroids or oral cyclosporine to rapidly relieve severe signs and symptoms of the disease. While these are effective as temporary treatments of flare-ups, extended use has been associated with many potential side effects or adverse events. Systemic steroids, such as prednisone, can lead to symptom relief, but their use is not recommended to induce stable remission due to numerous side effects associated with steroids and the propensity of severe disease flares upon abrupt treatment cessation. Cyclosporine is also generally not recommended for use lasting longer than one to two years, as it has been associated with renal toxicity, hirsutism, nausea and lymphoma. Based on data from the 2014 Adelphi U.S. AD Disease Specific Program, over 58% of adults with moderate-to-severe atopic dermatitis have disease which physicians consider to be inadequately controlled by these therapeutic modalities. While biologic therapies are more efficacious, as is the case in psoriasis, use of therapies such as the recently approved Dupixent is limited to patients with significant disease burden as they are expensive, necessitate frequent injections, entail regular physician appointments, have potential systemic toxicities and often require laboratory monitoring. Additionally, recent</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72"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FDA action regarding JAKs have resulted in restrictive labeling and black box warnings relating to safety concerns with the product class, including oral and topical forms, and including for the topical treatment of atopic dermatitis.</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tapinarof has the potential to fill the need for a long-term treatment option for atopic dermatitis. We also believe that tapinarof has the potential to offer significant clinical advancement to address the incessant flare cycle experienced by atopic dermatitis patients that is the result of the short-term use limitation of standard-of-care TCS.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Since acquiring tapinarof in 2018, we have expanded our intellectual property with multiple patents, which are expected to expire beginning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2036.</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Tapinarof sales and marketing</w:t>
      </w:r>
    </w:p>
    <w:p>
      <w:pPr>
        <w:spacing w:after="0" w:line="78"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If tapinarof is approved by the FDA for the treatment of mild, moderate or severe plaque psoriasis, we intend to commercialize it in the United States by building a highly specialized commercial sales organization focused on high value dermatology healthcare providers and their patients and implementing a “best-in-class” payor reimbursement and patient point of sale access strategy, which we believe will ensure broad patient access at launch.</w:t>
      </w:r>
    </w:p>
    <w:p>
      <w:pPr>
        <w:spacing w:after="0" w:line="12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As psoriasis patients are predominantly managed by dermatologists, we intend to deploy a specialty sales team focused on a core target base of top-decile dermatologists who write more than 80% of all commercial prescriptions in the psoriasis market. We believe a scientifically oriented, customer-focused team of approximately 75 to 100 sales representatives will allow us to reach the approximately 6,000 highest value dermatology healthcare providers. For markets outside of the U.S., we may opportunistically seek strategic collaborations to maximize the commercial opportunities for tapinarof.</w:t>
      </w:r>
    </w:p>
    <w:p>
      <w:pPr>
        <w:spacing w:after="0" w:line="12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tapinarof or topical cerdulatinib are approved by the FDA for the treatment of atopic dermatitis, we plan to expand our psoriasis sales team to be able to reach additional specialists who see a significant amount of atopic dermatitis patients, such as pediatric dermatologists and allergists. Based on our commercial team’s experience developing and launching dermatology products in U.S., we believe we can effectively reach the psoriasis and atopic dermatitis core target base with a highly specialized sales team of 125 to 150 total sales representatives.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Earlier-Stage Pipeline</w:t>
      </w:r>
    </w:p>
    <w:p>
      <w:pPr>
        <w:spacing w:after="0" w:line="82"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Beyond tapinarof, Dermavant’s pipeline consists of three novel product candidates targeting an array of significant unmet medical needs in the field of dermatology.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Cerdulatinib (DMVT-502)</w:t>
      </w:r>
    </w:p>
    <w:p>
      <w:pPr>
        <w:spacing w:after="0" w:line="78"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We are evaluating topical cerdulatinib as a differentiated dual inhibitor of the JAK and Syk pathways. Given its unique mechanism of action, we believe that topical cerdulatinib, if approved, could provide a differentiated treatment option for vitiligo, a condition for which there are no FDA approved treatments that suppress vitiligo disease activity, as well as other inflammatory skin conditions that have already been validated for JAK inhibition, such as atopic dermatitis. We initiated a Phase 2a clinical trial of topical cerdulatinib for the treatment of vitiligo in 2019 and received top-line results in the first half of 2021 that met the primary endpoints of safety and tolerability.</w:t>
      </w:r>
    </w:p>
    <w:p>
      <w:pPr>
        <w:spacing w:after="0" w:line="12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Vitiligo is an inflammatory skin condition characterized by skin depigmentation resulting from the loss of skin melanocytes. It usually involves the face, digits, arms, inguinal area, anogenital area, umbilicus and nipples, and can also affect the hair. Affected patches of skin are sharply demarcated and noticeable, particularly among</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72"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patients with a darker natural skin color. Vitiligo is the most common skin depigmentation (color loss) disorder, affecting up to 1% of people of all ages, sexes, and ethnicities, worldwide. Vitiligo can severely impact patients’ quality of life and psychological well-being due to its appearance and visibility, which can each persist for the duration of a patient’s life.</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Based on preclinical data observed to date, we believe topical cerdulatinib’s dual JAK/Syk inhibition has the potential to be a powerful combination for the treatment of vitiligo. In a mouse model of vitiligo, the effect of topical cerdulatinib (dosed orally QD) on epidermal depigmentation and melanocyte-specific immunity was evaluated versus placebo over a five-week span. We observed a significant decrease in vitiligo scores compared with vehicle gel at doses of 30 mg/kg (</w:t>
      </w:r>
      <w:r>
        <w:rPr>
          <w:rFonts w:ascii="Arial" w:cs="Arial" w:eastAsia="Arial" w:hAnsi="Arial"/>
          <w:sz w:val="12"/>
          <w:szCs w:val="12"/>
          <w:i w:val="1"/>
          <w:iCs w:val="1"/>
          <w:color w:val="auto"/>
        </w:rPr>
        <w:t>p</w:t>
      </w:r>
      <w:r>
        <w:rPr>
          <w:rFonts w:ascii="Arial" w:cs="Arial" w:eastAsia="Arial" w:hAnsi="Arial"/>
          <w:sz w:val="12"/>
          <w:szCs w:val="12"/>
          <w:color w:val="auto"/>
        </w:rPr>
        <w:t>=0.0003) and 60 mg/kg (</w:t>
      </w:r>
      <w:r>
        <w:rPr>
          <w:rFonts w:ascii="Arial" w:cs="Arial" w:eastAsia="Arial" w:hAnsi="Arial"/>
          <w:sz w:val="12"/>
          <w:szCs w:val="12"/>
          <w:i w:val="1"/>
          <w:iCs w:val="1"/>
          <w:color w:val="auto"/>
        </w:rPr>
        <w:t>p</w:t>
      </w:r>
      <w:r>
        <w:rPr>
          <w:rFonts w:ascii="Arial" w:cs="Arial" w:eastAsia="Arial" w:hAnsi="Arial"/>
          <w:sz w:val="12"/>
          <w:szCs w:val="12"/>
          <w:color w:val="auto"/>
        </w:rPr>
        <w:t>=0.0001). The drug prevented epidermal depigmentation in the mice and was associated with a significant reduction of melanocyte-specific T cells in skin tissues. Topical administration has the potential to avoid systemic toxicities that are often associated with oral JAK inhibitors.</w:t>
      </w:r>
    </w:p>
    <w:p>
      <w:pPr>
        <w:spacing w:after="0" w:line="12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Given topical cerdulatinib’s unique dual JAK/Syk inhibitor mechanism of action, we believe it also has the potential to offer particular advantages for the treatment of atopic dermatitis. In a preclinical mouse model of atopic dermatitis, contact sensitization is experimentally induced via the application of dinitrochlorobenzene. Syk knockout mice are resistant to this chemically-induced contact dermatitis. By blocking Syk activity, topical cerdulatinib may suppress the role that exogenous contact antigens play in the activity and flares associated with atopic dermatitis. Inhibiting both pathways simultaneously has the potential to not only control inflammatory disease activity but also to reduce flare frequency.</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conducted a Phase 1 trial to investigate the safety, tolerability and PK profile of topical cerdulatinib over a 14-day trial period in healthy volunteers and adults with atopic dermatitis. The results showed reductions in atopic dermatitis disease activity and evidence of drug-target engagement via biomarkers. Measures of epidermal hyperplasia showed improvements from treatment with topical cerdulatinib. Gene expression of immune markers was also reduced, which correlated with improvement in clinical response. Topical cerdulatinib gel 0.37% was generally observed to be well-tolerated among patients in this trial, with no serious AEs reported or trial discontinuations.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DMVT-504</w:t>
      </w:r>
    </w:p>
    <w:p>
      <w:pPr>
        <w:spacing w:after="0" w:line="78"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DMVT-504 is an investigational oral candidate that we are developing for the treatment of primary focal hyperhidrosis (PFH). DMVT-504 combines an immediate-release muscarinic antagonist, oxybutynin, with a delayed-release muscarinic agonist, pilocarpine, designed to mitigate dry mouth typically observed with anticholinergic therapies for better long-term tolerability.</w:t>
      </w:r>
    </w:p>
    <w:p>
      <w:pPr>
        <w:spacing w:after="0" w:line="12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Primary focal hyperhidrosis is a condition characterized by excessive sweating—beyond what is physiologically required by the body or what is expected given the local environment and temperature. The most common focal areas affected by the disease are the underarms, palms of hands, soles of feet, and face. Approximately 80% of patients experience symptoms in multiple areas of the body, with 70% of patients reporting excessive sweating in multiple areas. Hyperhidrosis results in substantial impairments for patients; excessive sweating, which can range from mild to “dripping,” can severely limit social interactions, work productivity and physical activity. Hyperhidrosis has an estimated prevalence in the United States of 4.8%, representing approximately 15.3 million people, half of whom are reportedly undiagnosed.</w:t>
      </w:r>
    </w:p>
    <w:p>
      <w:pPr>
        <w:spacing w:after="0" w:line="113"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In a Phase 2a proof-of-concept clinical trial conducted by TheraVida, Inc. (TheraVida) in patients with PFH, THVD-102 (a predecessor formulation of DMVT-504) significantly reduced Hyperhidrosis Disease Severity Score (HDSS) compared with placebo (p=0.04) and was also able to provide a statistically significant reduction (p=0.027) in dry mouth symptoms. In connection with additional formulation work, we have completed a Phase 1 clinical trial to investigate the safety, tolerability and PK profile of multiple formulations of DMVT-504. All formulations of DMVT-504 assessed in the study were observed to be generally well-tolerated, and mean PK results showed a relationship between formulation and delayed-release characteristics.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72"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firstLine="294"/>
        <w:spacing w:after="0" w:line="263" w:lineRule="auto"/>
        <w:rPr>
          <w:sz w:val="20"/>
          <w:szCs w:val="20"/>
          <w:color w:val="auto"/>
        </w:rPr>
      </w:pPr>
      <w:r>
        <w:rPr>
          <w:rFonts w:ascii="Arial" w:cs="Arial" w:eastAsia="Arial" w:hAnsi="Arial"/>
          <w:sz w:val="12"/>
          <w:szCs w:val="12"/>
          <w:color w:val="auto"/>
        </w:rPr>
        <w:t>Given the site-specific nature of treating hyperhidrosis, we believe patients would benefit from an oral therapy that provides a non-invasive treatment approach with a simple dosing regimen, efficacy across multiple focal sites of excessive sweating, and limited side effects commonly associated with oral and biologic anti-cholinergic therapies.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DMVT-503</w:t>
      </w:r>
    </w:p>
    <w:p>
      <w:pPr>
        <w:spacing w:after="0" w:line="78"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addition to its clinical pipeline, Dermavant is developing DMVT-503, a topical DGAT1 inhibitor, as a treatment for acne vulgaris. We are conducting a pre-clinical mouse model study to explore the potential for DMVT-503 to induce dose-dependent atrophy of sebum-producing sebaceous glands, a similar effect to and potential biomarker of isotretinoin efficacy.</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72"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40"/>
        <w:spacing w:after="0"/>
        <w:rPr>
          <w:sz w:val="20"/>
          <w:szCs w:val="20"/>
          <w:color w:val="auto"/>
        </w:rPr>
      </w:pPr>
      <w:r>
        <w:rPr>
          <w:rFonts w:ascii="Arial" w:cs="Arial" w:eastAsia="Arial" w:hAnsi="Arial"/>
          <w:sz w:val="12"/>
          <w:szCs w:val="12"/>
          <w:b w:val="1"/>
          <w:bCs w:val="1"/>
          <w:u w:val="single" w:color="auto"/>
          <w:color w:val="auto"/>
        </w:rPr>
        <w:t>Immunovant Overview</w:t>
      </w:r>
    </w:p>
    <w:p>
      <w:pPr>
        <w:spacing w:after="0" w:line="87" w:lineRule="exact"/>
        <w:rPr>
          <w:sz w:val="20"/>
          <w:szCs w:val="20"/>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right="137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Immunovant is developing IMVT-1401 for the treatment of Myasthenia Gravis (“MG”), Warm Autoimmune Hemolytic Anemia (“WAIHA”) and Thyroid Eye Disease (“TED”).</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ind w:left="2620" w:right="85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IMVT-1401 is a novel, fully human monoclonal antibody that selectively binds to and inhibits the neonatal fragment crystallizable receptor (“FcRn”).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84"/>
        </w:numPr>
        <w:rPr>
          <w:rFonts w:ascii="Arial" w:cs="Arial" w:eastAsia="Arial" w:hAnsi="Arial"/>
          <w:sz w:val="11"/>
          <w:szCs w:val="11"/>
          <w:color w:val="auto"/>
        </w:rPr>
      </w:pPr>
      <w:r>
        <w:rPr>
          <w:rFonts w:ascii="Arial" w:cs="Arial" w:eastAsia="Arial" w:hAnsi="Arial"/>
          <w:sz w:val="11"/>
          <w:szCs w:val="11"/>
          <w:color w:val="auto"/>
        </w:rPr>
        <w:t>Designed to be a fixed-dose, self-administered subcutaneous (“SC”) injection on a convenient weekly, or less frequent, dosing schedule.</w:t>
      </w:r>
    </w:p>
    <w:p>
      <w:pPr>
        <w:spacing w:after="0" w:line="98" w:lineRule="exact"/>
        <w:rPr>
          <w:rFonts w:ascii="Arial" w:cs="Arial" w:eastAsia="Arial" w:hAnsi="Arial"/>
          <w:sz w:val="11"/>
          <w:szCs w:val="11"/>
          <w:color w:val="auto"/>
        </w:rPr>
      </w:pPr>
    </w:p>
    <w:p>
      <w:pPr>
        <w:ind w:left="2620" w:right="939" w:hanging="288"/>
        <w:spacing w:after="0" w:line="263"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In nonclinical studies and in clinical trials conducted to date, IMVT-1401 has been observed to reduce immunoglobulin G (“IgG”) antibody levels. High levels of pathogenic IgG antibodies drive a variety of autoimmune diseases and, as a result, we believe IMVT-1401 has the potential for broad application in related disease areas.</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87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Advanced IgG-mediated autoimmune diseases had an aggregate prevalence of approximately 758,000 patients in 2020 in the United States and Europe.</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MG is a rare autoimmune disorder characterized by weakness of muscles including ocular, head, oropharyngeal, limb and respiratory muscles and affected an estimated 66,000 people in the U.S. in 2020.</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WAIHA is a rare hematologic disease in which autoantibodies mediate hemolysis, or the destruction of red blood cells (“RBCs”), affecting approximately 42,000 patients in the U.S. and 67,000 patients in Europe.</w:t>
      </w:r>
    </w:p>
    <w:p>
      <w:pPr>
        <w:spacing w:after="0" w:line="51" w:lineRule="exact"/>
        <w:rPr>
          <w:rFonts w:ascii="Arial" w:cs="Arial" w:eastAsia="Arial" w:hAnsi="Arial"/>
          <w:sz w:val="12"/>
          <w:szCs w:val="12"/>
          <w:color w:val="auto"/>
        </w:rPr>
      </w:pPr>
    </w:p>
    <w:p>
      <w:pPr>
        <w:jc w:val="both"/>
        <w:ind w:left="2620" w:right="999" w:hanging="288"/>
        <w:spacing w:after="0" w:line="379" w:lineRule="auto"/>
        <w:tabs>
          <w:tab w:leader="none" w:pos="2620" w:val="left"/>
        </w:tabs>
        <w:numPr>
          <w:ilvl w:val="1"/>
          <w:numId w:val="84"/>
        </w:numPr>
        <w:rPr>
          <w:rFonts w:ascii="Arial" w:cs="Arial" w:eastAsia="Arial" w:hAnsi="Arial"/>
          <w:sz w:val="10"/>
          <w:szCs w:val="10"/>
          <w:color w:val="auto"/>
        </w:rPr>
      </w:pPr>
      <w:r>
        <w:rPr>
          <w:rFonts w:ascii="Arial" w:cs="Arial" w:eastAsia="Arial" w:hAnsi="Arial"/>
          <w:sz w:val="10"/>
          <w:szCs w:val="10"/>
          <w:color w:val="auto"/>
        </w:rPr>
        <w:t>TED is most commonly caused by IgG autoantibodies that active cell types present in tissues surrounding the eye and can ultimately be sight-threatening and has an estimated annual incidence of 16 in 100,000 women and 2.9 in 100,000 men in North America and Europe.</w:t>
      </w:r>
    </w:p>
    <w:p>
      <w:pPr>
        <w:spacing w:after="0" w:line="1" w:lineRule="exact"/>
        <w:rPr>
          <w:rFonts w:ascii="Arial" w:cs="Arial" w:eastAsia="Arial" w:hAnsi="Arial"/>
          <w:sz w:val="10"/>
          <w:szCs w:val="10"/>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Early-stage disease: corticosteroids and immunosuppressants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Later-stage disease: intravenous immunoglobulin (“IVIg”), or plasma exchange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Approaches are limited by delayed onset of action, waning therapeutic benefit over time and unfavorable safety profiles</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899" w:hanging="288"/>
        <w:spacing w:after="0" w:line="285" w:lineRule="auto"/>
        <w:tabs>
          <w:tab w:leader="none" w:pos="2620" w:val="left"/>
        </w:tabs>
        <w:numPr>
          <w:ilvl w:val="1"/>
          <w:numId w:val="84"/>
        </w:numPr>
        <w:rPr>
          <w:rFonts w:ascii="Arial" w:cs="Arial" w:eastAsia="Arial" w:hAnsi="Arial"/>
          <w:sz w:val="11"/>
          <w:szCs w:val="11"/>
          <w:color w:val="auto"/>
        </w:rPr>
      </w:pPr>
      <w:r>
        <w:rPr>
          <w:rFonts w:ascii="Arial" w:cs="Arial" w:eastAsia="Arial" w:hAnsi="Arial"/>
          <w:sz w:val="11"/>
          <w:szCs w:val="11"/>
          <w:color w:val="auto"/>
        </w:rPr>
        <w:t>In February 2021, we voluntarily paused dosing in our clinical trials for IMVT-1401 due to elevated total cholesterol and low-density lipoprotein (“LDL”) levels observed in some trial subjects treated with IMVT-1401 and informed regulatory authorities and trial subjects and investigators of this voluntary pause of dosing in our studies that were ongoing at that time. Following a program-wide data review from February 2021 through May 2021 suggesting that lipid elevations are predictable, manageable, and appear to be driven by reductions in albumin, we plan to resume clinical development of IMVT-1401 in MG, TED and WAIHA.</w:t>
      </w:r>
    </w:p>
    <w:p>
      <w:pPr>
        <w:spacing w:after="0" w:line="50" w:lineRule="exact"/>
        <w:rPr>
          <w:rFonts w:ascii="Arial" w:cs="Arial" w:eastAsia="Arial" w:hAnsi="Arial"/>
          <w:sz w:val="11"/>
          <w:szCs w:val="11"/>
          <w:color w:val="auto"/>
        </w:rPr>
      </w:pPr>
    </w:p>
    <w:p>
      <w:pPr>
        <w:ind w:left="2620" w:right="107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Statistically significant improvements on the Myasthenia Gravis Activities of Daily Living (“MG-ADL”) scale and Myasthenia Gravis Composite (“MGC”) scale in ASCEND MG Phase 2a trial of IMVT-1401 in patients with MG.</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In the ASCEND GO-2 Phase 2b trial in TED, treatment with IMVT-1401 reduced both IgG and disease specific pathogenic IgG over the 12-week treatment period. However, the efficacy results, based 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72"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419"/>
        <w:spacing w:after="0" w:line="276" w:lineRule="auto"/>
        <w:rPr>
          <w:sz w:val="20"/>
          <w:szCs w:val="20"/>
          <w:color w:val="auto"/>
        </w:rPr>
      </w:pPr>
      <w:r>
        <w:rPr>
          <w:rFonts w:ascii="Arial" w:cs="Arial" w:eastAsia="Arial" w:hAnsi="Arial"/>
          <w:sz w:val="12"/>
          <w:szCs w:val="12"/>
          <w:color w:val="auto"/>
        </w:rPr>
        <w:t>approximately half the anticipated number of subjects who had reached the week 13 primary efficacy analysis at the time of the termination of the trial, were inconclusive.</w:t>
      </w:r>
    </w:p>
    <w:p>
      <w:pPr>
        <w:spacing w:after="0" w:line="48" w:lineRule="exact"/>
        <w:rPr>
          <w:sz w:val="20"/>
          <w:szCs w:val="20"/>
          <w:color w:val="auto"/>
        </w:rPr>
      </w:pPr>
    </w:p>
    <w:p>
      <w:pPr>
        <w:ind w:left="2260" w:hanging="288"/>
        <w:spacing w:after="0"/>
        <w:tabs>
          <w:tab w:leader="none" w:pos="2260"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right="1139" w:hanging="288"/>
        <w:spacing w:after="0" w:line="276" w:lineRule="auto"/>
        <w:tabs>
          <w:tab w:leader="none" w:pos="26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Following alignment with the regulatory authorities from the Neuro division of the FDA, and contingent on that feedback, we plan to initiate a pivotal trial in MG in the early part of calendar year 2022.</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Contingent upon FDA feedback, we plan to re-initiate our program in TED following initiation of our MG program.</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Contingent upon FDA feedback, we plan to re-initiate our WAIHA program following initiation of our MG program.</w:t>
      </w:r>
    </w:p>
    <w:p>
      <w:pPr>
        <w:spacing w:after="0" w:line="87" w:lineRule="exact"/>
        <w:rPr>
          <w:rFonts w:ascii="Arial" w:cs="Arial" w:eastAsia="Arial" w:hAnsi="Arial"/>
          <w:sz w:val="12"/>
          <w:szCs w:val="12"/>
          <w:color w:val="auto"/>
        </w:rPr>
      </w:pPr>
    </w:p>
    <w:p>
      <w:pPr>
        <w:ind w:left="2620" w:right="979" w:hanging="288"/>
        <w:spacing w:after="0" w:line="276" w:lineRule="auto"/>
        <w:tabs>
          <w:tab w:leader="none" w:pos="26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We plan to announce at least two new indications and submit INDs and our trial designs for those new indications to the FDA by August 2022.</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right="899" w:hanging="288"/>
        <w:spacing w:after="0" w:line="259" w:lineRule="auto"/>
        <w:tabs>
          <w:tab w:leader="none" w:pos="26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As of June 30, 2021, we owned 58% of the issued and outstanding shares of Immunovant common stock and 53% on a fully diluted basis. In August 2021, Roivant purchased from Immunovant 17,021,276 shares of Immunovant common stock at a price of $11.75 per share, for an aggregate purchase price of $200.0 million. Following this transaction, Roivant beneficially owns 73,398,664 shares of Immunovant common stock, representing a basic ownership interest of approximately 63.8%.</w:t>
      </w:r>
    </w:p>
    <w:p>
      <w:pPr>
        <w:spacing w:after="0" w:line="57" w:lineRule="exact"/>
        <w:rPr>
          <w:rFonts w:ascii="Arial" w:cs="Arial" w:eastAsia="Arial" w:hAnsi="Arial"/>
          <w:sz w:val="12"/>
          <w:szCs w:val="12"/>
          <w:color w:val="auto"/>
        </w:rPr>
      </w:pPr>
    </w:p>
    <w:p>
      <w:pPr>
        <w:ind w:left="2260" w:hanging="288"/>
        <w:spacing w:after="0"/>
        <w:tabs>
          <w:tab w:leader="none" w:pos="2260"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114935</wp:posOffset>
            </wp:positionV>
            <wp:extent cx="3463290" cy="777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63290" cy="77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IMVT-1401</w:t>
      </w:r>
    </w:p>
    <w:p>
      <w:pPr>
        <w:spacing w:after="0" w:line="82" w:lineRule="exact"/>
        <w:rPr>
          <w:sz w:val="20"/>
          <w:szCs w:val="20"/>
          <w:color w:val="auto"/>
        </w:rPr>
      </w:pPr>
    </w:p>
    <w:p>
      <w:pPr>
        <w:ind w:left="1980" w:right="1019" w:firstLine="294"/>
        <w:spacing w:after="0" w:line="298" w:lineRule="auto"/>
        <w:rPr>
          <w:sz w:val="20"/>
          <w:szCs w:val="20"/>
          <w:color w:val="auto"/>
        </w:rPr>
      </w:pPr>
      <w:r>
        <w:rPr>
          <w:rFonts w:ascii="Arial" w:cs="Arial" w:eastAsia="Arial" w:hAnsi="Arial"/>
          <w:sz w:val="11"/>
          <w:szCs w:val="11"/>
          <w:color w:val="auto"/>
        </w:rPr>
        <w:t>IMVT-1401 is a novel, fully human monoclonal antibody that selectively binds to and inhibits FcRn. In nonclinical studies and in clinical trials conducted to date, IMVT-1401 has been observed to reduce IgG antibody levels. High levels of pathogenic IgG antibodies drive a variety of autoimmune diseases and, as a result, we believe IMVT-1401 has the potential for broad application in these disease areas.</w:t>
      </w:r>
    </w:p>
    <w:p>
      <w:pPr>
        <w:spacing w:after="0" w:line="10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In addition to generating clinically meaningful IgG reductions, IMVT-1401 has been designed from inception to be a fixed-dose, self-administered SC injection on a convenient weekly, or less frequent, dosing schedule. We believe that IMVT-1401, if developed and approved for commercial sale, would be differentiated from currently available, more invasive treatments for advanced IgG-mediated autoimmune diseases. The patent family directed to the composition of matter of IMVT-1401 has a natural projected expiration date in 2035 in the U.S. and in foreign jurisdictions.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Mechanism of action</w:t>
      </w:r>
    </w:p>
    <w:p>
      <w:pPr>
        <w:spacing w:after="0" w:line="78" w:lineRule="exact"/>
        <w:rPr>
          <w:sz w:val="20"/>
          <w:szCs w:val="20"/>
          <w:color w:val="auto"/>
        </w:rPr>
      </w:pPr>
    </w:p>
    <w:p>
      <w:pPr>
        <w:ind w:left="1980" w:right="1179" w:firstLine="294"/>
        <w:spacing w:after="0" w:line="263" w:lineRule="auto"/>
        <w:rPr>
          <w:sz w:val="20"/>
          <w:szCs w:val="20"/>
          <w:color w:val="auto"/>
        </w:rPr>
      </w:pPr>
      <w:r>
        <w:rPr>
          <w:rFonts w:ascii="Arial" w:cs="Arial" w:eastAsia="Arial" w:hAnsi="Arial"/>
          <w:sz w:val="12"/>
          <w:szCs w:val="12"/>
          <w:color w:val="auto"/>
        </w:rPr>
        <w:t>The neonatal fragment crystallizable receptor, or FcRn plays a pivotal role in preventing the degradation of IgG antibodies. The physiologic function of FcRn is to modulate the catabolism of IgG antibodies. FcRn intercepts IgG, which would otherwise be degraded in lysosomes. The FcRn-IgG complex is then recycled to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72"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cell surface and free IgG is released back into circulation. Anti-FcRn antibodies bind to FcRn, thereby preventing it from recycling IgG antibodies back to circulation. As a result, IgG is increasingly delivered to lysosomes for degradation. The inhibition of FcRn, such as through use of an anti-FcRn antibody, has been shown to reduce levels of pathogenic IgG antibodies, suggesting utility in the many autoimmune diseases associated with high levels of such IgG antibodies.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Autoimmune Diseases</w:t>
      </w:r>
    </w:p>
    <w:p>
      <w:pPr>
        <w:spacing w:after="0" w:line="82"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Autoimmune diseases are conditions where an immune response is inappropriately directed against the body’s own healthy cells and tissues. Many of these diseases are associated with high levels of pathogenic IgG antibodies, which are the most abundant type of antibody produced by the human immune system, accounting for approximately 75% of antibodies in the plasma of healthy people. IgG antibodies are important in the defense against pathogens, such as viruses and bacteria. In many autoimmune diseases, IgG antibodies inappropriately develop against normal proteins found in the body, directing the immune system to attack specific organs or organ systems.</w:t>
      </w:r>
    </w:p>
    <w:p>
      <w:pPr>
        <w:spacing w:after="0" w:line="113"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Unfortunately, safe and effective treatment options for patients suffering from autoimmune diseases are inadequate. Currently available treatments are generally limited in early-stage disease to corticosteroids and immunosuppressants, and in later-stage disease to IVIg or plasma exchange. These approaches often fail to address patients’ needs since they are limited by delayed onset of action, waning therapeutic benefit over time and unfavorable safety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95885</wp:posOffset>
            </wp:positionV>
            <wp:extent cx="3457575" cy="14687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57575"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80"/>
        <w:spacing w:after="0"/>
        <w:rPr>
          <w:sz w:val="20"/>
          <w:szCs w:val="20"/>
          <w:color w:val="auto"/>
        </w:rPr>
      </w:pPr>
      <w:r>
        <w:rPr>
          <w:rFonts w:ascii="Arial" w:cs="Arial" w:eastAsia="Arial" w:hAnsi="Arial"/>
          <w:sz w:val="8"/>
          <w:szCs w:val="8"/>
          <w:color w:val="auto"/>
        </w:rPr>
        <w:t>Europe includes all E.U. countries, the U.K. and Switzerland. MG: Myasthenia Gravis; WAIHA: Warm Autoimmune Hemolytic Anemia; TED: Thyroid Eye Disease; ITP: Idiopathic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8"/>
          <w:szCs w:val="8"/>
          <w:color w:val="auto"/>
        </w:rPr>
        <w:t>Thrombocytopenic Purpura; PV: Pemphigus Vulgaris; CIDP: Chronic Inflammatory Demyelinating Polyneuropathy; BP: Bullous Pemphigoid; NMO: Neuromyelitis Optica; PF: Pemphigus</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Foliaceus; GBS: Guillain-Barré Syndrome; PMN: PLA2R+ Membranous Nephropathy.</w:t>
      </w:r>
    </w:p>
    <w:p>
      <w:pPr>
        <w:spacing w:after="0" w:line="12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of the rational design of IMVT-1401, we believe that IMVT-1401, if approved for use, could provide the following benefits:</w:t>
      </w:r>
    </w:p>
    <w:p>
      <w:pPr>
        <w:spacing w:after="0" w:line="83" w:lineRule="exact"/>
        <w:rPr>
          <w:sz w:val="20"/>
          <w:szCs w:val="20"/>
          <w:color w:val="auto"/>
        </w:rPr>
      </w:pPr>
    </w:p>
    <w:p>
      <w:pPr>
        <w:ind w:left="2620" w:right="999" w:hanging="288"/>
        <w:spacing w:after="0" w:line="26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b w:val="1"/>
          <w:bCs w:val="1"/>
          <w:i w:val="1"/>
          <w:iCs w:val="1"/>
          <w:color w:val="auto"/>
        </w:rPr>
        <w:t>Subcutaneous delivery</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Based on pharmacokinetics (“PK”) and pharmacodynamics (“PD”) and clinical data, we believe that we will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able to obtain therapeutically relevant levels of IgG reduction using 2-mL or lesser volume SC injections. The current formulation is concentrated at 170 mg/mL.</w:t>
      </w:r>
    </w:p>
    <w:p>
      <w:pPr>
        <w:spacing w:after="0" w:line="54" w:lineRule="exact"/>
        <w:rPr>
          <w:rFonts w:ascii="Arial" w:cs="Arial" w:eastAsia="Arial" w:hAnsi="Arial"/>
          <w:sz w:val="12"/>
          <w:szCs w:val="12"/>
          <w:color w:val="auto"/>
        </w:rPr>
      </w:pPr>
    </w:p>
    <w:p>
      <w:pPr>
        <w:ind w:left="2620" w:right="1219" w:hanging="288"/>
        <w:spacing w:after="0" w:line="285" w:lineRule="auto"/>
        <w:tabs>
          <w:tab w:leader="none" w:pos="2620" w:val="left"/>
        </w:tabs>
        <w:numPr>
          <w:ilvl w:val="0"/>
          <w:numId w:val="86"/>
        </w:numPr>
        <w:rPr>
          <w:rFonts w:ascii="Arial" w:cs="Arial" w:eastAsia="Arial" w:hAnsi="Arial"/>
          <w:sz w:val="11"/>
          <w:szCs w:val="11"/>
          <w:color w:val="auto"/>
        </w:rPr>
      </w:pPr>
      <w:r>
        <w:rPr>
          <w:rFonts w:ascii="Arial" w:cs="Arial" w:eastAsia="Arial" w:hAnsi="Arial"/>
          <w:sz w:val="11"/>
          <w:szCs w:val="11"/>
          <w:b w:val="1"/>
          <w:bCs w:val="1"/>
          <w:i w:val="1"/>
          <w:iCs w:val="1"/>
          <w:color w:val="auto"/>
        </w:rPr>
        <w:t>Simple dosing schedule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are developing IMVT-1401 as a fixed-dose subcutaneously administered regimen without the need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preceding intravenous induction doses or lengthy SC infusions. If approved, we intend to market IMVT-1401 as a</w:t>
      </w:r>
    </w:p>
    <w:p>
      <w:pPr>
        <w:ind w:left="2620"/>
        <w:spacing w:after="0"/>
        <w:rPr>
          <w:rFonts w:ascii="Arial" w:cs="Arial" w:eastAsia="Arial" w:hAnsi="Arial"/>
          <w:sz w:val="11"/>
          <w:szCs w:val="11"/>
          <w:color w:val="auto"/>
        </w:rPr>
      </w:pPr>
      <w:r>
        <w:rPr>
          <w:rFonts w:ascii="Arial" w:cs="Arial" w:eastAsia="Arial" w:hAnsi="Arial"/>
          <w:sz w:val="12"/>
          <w:szCs w:val="12"/>
          <w:color w:val="auto"/>
        </w:rPr>
        <w:t>fixed-dose pre-filled syringe or auto-injector, which</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72"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76" w:lineRule="auto"/>
        <w:rPr>
          <w:sz w:val="20"/>
          <w:szCs w:val="20"/>
          <w:color w:val="auto"/>
        </w:rPr>
      </w:pPr>
      <w:r>
        <w:rPr>
          <w:rFonts w:ascii="Arial" w:cs="Arial" w:eastAsia="Arial" w:hAnsi="Arial"/>
          <w:sz w:val="12"/>
          <w:szCs w:val="12"/>
          <w:color w:val="auto"/>
        </w:rPr>
        <w:t>would allow for convenient self-administration, eliminating the need for frequent and costly clinic visits, and reduce complexity and errors associated with calculating individual doses.</w:t>
      </w:r>
    </w:p>
    <w:p>
      <w:pPr>
        <w:spacing w:after="0" w:line="52" w:lineRule="exact"/>
        <w:rPr>
          <w:sz w:val="20"/>
          <w:szCs w:val="20"/>
          <w:color w:val="auto"/>
        </w:rPr>
      </w:pPr>
    </w:p>
    <w:p>
      <w:pPr>
        <w:ind w:left="2620" w:right="899" w:hanging="288"/>
        <w:spacing w:after="0" w:line="276"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b w:val="1"/>
          <w:bCs w:val="1"/>
          <w:i w:val="1"/>
          <w:iCs w:val="1"/>
          <w:color w:val="auto"/>
        </w:rPr>
        <w:t>Low immunogenicity risk</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IMVT-1401 is a fully human monoclonal antibody, and therefore contains only amino acid sequences native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humans, hypothesizing a lower risk of immunogenicity development.</w:t>
      </w:r>
    </w:p>
    <w:p>
      <w:pPr>
        <w:spacing w:after="0" w:line="51"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Low effector function. </w:t>
      </w:r>
      <w:r>
        <w:rPr>
          <w:rFonts w:ascii="Arial" w:cs="Arial" w:eastAsia="Arial" w:hAnsi="Arial"/>
          <w:sz w:val="12"/>
          <w:szCs w:val="12"/>
          <w:color w:val="auto"/>
        </w:rPr>
        <w:t>IMVT-1401 has been engineered to prevent activation of other components of the immune system, and, as a result,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unintended immune response to IMVT-1401 is not expected. Specifically, well-characterized and validated mutations introduced into the fragment crystallizable domain of IMVT-1401 have reduced its ability to cause antibody-dependent cell-mediated cytotoxicity (“ADCC”) and complement-dependent cytotoxicity (“CDC”).</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 Developments in Our Clinical Programs</w:t>
      </w:r>
    </w:p>
    <w:p>
      <w:pPr>
        <w:spacing w:after="0" w:line="8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February 2021, we voluntarily paused dosing in our clinical trials for IMVT-1401 due to elevated total cholesterol and LDL levels observed in some trial subjects treated with IMVT-1401. We have informed regulatory authorities and trial subjects and investigators of this voluntary pause of dosing in our studies that were ongoing at that time, ASCEND GO-2, a Phase 2b trial in Thyroid Eye Disease and ASCEND-WAIHA, a Phase 2 trial in Warm Autoimmune Hemolytic Anemia.</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Program-Wide Review</w:t>
      </w:r>
    </w:p>
    <w:p>
      <w:pPr>
        <w:spacing w:after="0" w:line="78"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In order to better characterize the observed lipid findings, we conducted from February 2021 through May 2021 a program-wide data review (including both clinical and nonclinical data) with input from external scientific and medical experts.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our ASCEND GO-2 trial, lipid parameters were assessed at baseline, at week 12, and at week 20 following eight weeks off drug. Based on preliminary, unblinded data, median LDL cholesterol at week 12 was increased by approximately 12 mg/dL in the 255 mg dose group (corresponding to an increase from baseline of approximately 15%), by approximately 33 mg/dL in the 340 mg dose group (corresponding to an increase from baseline of approximately 37%), by approximately 62 mg/dL in the 680 mg dose group (corresponding to an increase from baseline of approximately 52%) and did not increase in the control group. The data analysis indicates a dose-dependent increase in lipids. Average high-density lipoprotein (“HDL”) and triglyceride levels also increased but to a much lesser degree. We also observed correlated decreases in albumin levels and the rate and extent of albumin reductions were dose-dependent. Subjects receiving the 255 mg weekly dose (“QW”) experienced the smallest reductions in albumin through week 12, with a median reduction of about 16% from baseline, while subjects receiving the 340 mg or 680 mg QW dose experienced median reductions of albumin of 26% or 40%, respectively. At week 20, both lipids and albumin returned to baseline.</w:t>
      </w:r>
    </w:p>
    <w:p>
      <w:pPr>
        <w:spacing w:after="0" w:line="117"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our open label ASCEND WAIHA trial, only two subjects completed 12 weeks of dosing prior to the program-wide pause in dosing, with three additional subjects partially completing the dosing period. Pre-specified and post-hoc lipid test results from these five subjects were analyzed along with post-hoc lipid test results performed on frozen samples from ASCEND MG subjects (where available) and post-hoc lipid test results from our Phase 1 Injection Site study. LDL elevations observed in the ASCEND WAIHA and ASCEND MG subject populations and in healthy subjects in the Phase 1 Injection Site Study also appeared to be dose-dependent and were generally consistent in magnitude with the elevations observed in ASCEND GO-2 subjects.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major adverse cardiovascular events have been reported to date in IMVT-1401 clinical trials.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Integrated Safety Assessment and Regulatory Interactions</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It is our intent to resume development across multiple indications for IMVT-1401. We are in the process of drafting multiple study protocols and updating our program-wide safety strategy for discussions with regulatory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72"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agencies. The elements of our development program will include extensive PK and PD modeling to select dosing regimens for IMVT-1401 which optimize reductions in total IgG levels while minimizing the impact on albumin and LDL levels, particularly for clinical studies containing long-term treatment extensions. These protocols will likely include protocol-directed guidelines for the management of any observed lipid abnormalities. While increases in LDL over a short-term treatment duration would not be expected to pose a safety concern for patients, the risk-benefit profile of long-term administration of IMVT-1401 will need to incorporate any unfavorable effects on lipid profiles. We have initiated discussions with the FDA and expect to continue to engage with the FDA and other regulatory agencies during the second half of calendar year 2021.</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Phase 1 Clinical Trials of IMVT-1401 in Healthy Volunteers</w:t>
      </w:r>
    </w:p>
    <w:p>
      <w:pPr>
        <w:spacing w:after="0" w:line="82"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have completed a multi-part, placebo-controlled Phase 1 clinical trial involving 99 healthy volunteers in Australia and Canada, administering IMVT-1401 both as an intravenous infusion and as a SC injection. In this trial, 77 subjects received at least one dose of IMVT-1401 and 22 subjects received placebo.</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Program-Wide Data Review</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Pharmacokinetics and Pharmacodynamics</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 PK and PD (including serum concentrations of total IgG, albumin, and lipids) of IMVT-1401 were evaluated in healthy subjects in our Phase 1 clinical trial and Phase 1 Injection Site Study, and in patients with MG, TED and WAIHA in our ASCEND MG, ASCEND GO-1, ASCEND GO-2 and ASCEND WAIHA trials. To date, single doses of IMVT-1401 ranged from 100 mg to 1530 mg IV and 1.5 mg/kg to 765 mg SC and were administered to healthy subjects. Multiple doses of 255 mg, 340 mg and 680 mg SC QW have been studied in healthy subjects (up to 4 weeks of dosing) and patients with TED, MG or WAIHA (up to 12 weeks of dosing).</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Pharmacokinetics</w:t>
      </w:r>
    </w:p>
    <w:p>
      <w:pPr>
        <w:spacing w:after="0" w:line="78" w:lineRule="exact"/>
        <w:rPr>
          <w:sz w:val="20"/>
          <w:szCs w:val="20"/>
          <w:color w:val="auto"/>
        </w:rPr>
      </w:pPr>
    </w:p>
    <w:p>
      <w:pPr>
        <w:ind w:left="1980" w:right="919" w:firstLine="294"/>
        <w:spacing w:after="0" w:line="279" w:lineRule="auto"/>
        <w:rPr>
          <w:sz w:val="20"/>
          <w:szCs w:val="20"/>
          <w:color w:val="auto"/>
        </w:rPr>
      </w:pPr>
      <w:r>
        <w:rPr>
          <w:rFonts w:ascii="Arial" w:cs="Arial" w:eastAsia="Arial" w:hAnsi="Arial"/>
          <w:sz w:val="11"/>
          <w:szCs w:val="11"/>
          <w:color w:val="auto"/>
        </w:rPr>
        <w:t>IMVT-1401 exhibited a non-linear PK profile which was typical of that characterized by target-mediated drug disposition (“TMDD”). The elimination of IMVT-1401 can be divided into three phases according to the concentrations. The first phase shows linear elimination; when drug concentrations are high enough to saturate targets, drug elimination is governed by linear non-target-related routes, together with a fixed rate of target-mediated elimination, which is negligible in this phase. At the second phase, the drug concentrations become lower, the targets are not all saturated and both non-target-mediated and target-mediated elimination routes are important, resulting in nonlinear PK. At the last phase, the drug concentrations are so low that targets are not saturated, the target mediated elimination becomes the main route of elimination, and the PK becomes linear again. The drug concentrations achieved after 680 mg SC QW dose were mainly in the linear elimination phase of the PK profile, may maintain target saturation during the dosing intervals for most of the subjects. However, the drug concentrations achieved after the 340 mg or 255 mg SC QW dose may not always maintain target saturation during the dosing intervals for majority of the subjects.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Pharmacodynamics</w:t>
      </w:r>
    </w:p>
    <w:p>
      <w:pPr>
        <w:spacing w:after="0" w:line="78"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Currently, ASCEND GO-2 in TED is the largest study (total of 65 subjects, including 18 subjects on placebo) which evaluated placebo and 3-dose levels of IMVT-1401 at 255 mg, 340 mg and 680 mg administered SC weekly for 12 weeks (“QW*12”). The preliminary PD results of total IgG by time and treatment group is presented in the below figure. The baseline serum levels of total IgG, albumin, LDL, and HDL were comparable across all treatment groups. After active treatment, the levels of total IgG and albumin started to decrease, but the levels of LDL and HDL started to increase; both the rate and extent of reductions in total IgG and albumin or elevations of LDL and HDL were dose dependent. After 255 mg, 340 mg or 680 mg QW*12, the median Emax of total IgG reduction was 62%, 69% or 80%, respectively. For Groups 255 mg and 340 mg, total IgG levels continued to decrease as of week 12 (the last injection). For Group 680 mg, total IgG reached maximum reduction around week 7, and maintained in a plateau-like manner between weeks 7 to 12. The median Emax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72"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albumin reduction was 16%, 26% or 40% for the 255 mg, 340 mg or 680 mg QW*12 doses, respectively. For Groups 340 mg and 680 mg, albumin levels continued to decrease as of week 12 (the last injection). For Group 255 mg, albumin reduction reached maximum around week 8, and maintained in a plateau-like manner between weeks 8 to 12. After 255 mg, 340 mg or 680 mg QW*12, the median elevation at Week 12 was 15%, 37% or 52%, respectively for LDL, and 14%, 10% or 25%, respectively for HDL. For all three active dose groups, the levels of total IgG, albumin, LDL and HDL returned to baseline within 8 weeks after the last dose of the 12-week treatment.</w:t>
      </w:r>
    </w:p>
    <w:p>
      <w:pPr>
        <w:spacing w:after="0" w:line="268" w:lineRule="exact"/>
        <w:rPr>
          <w:sz w:val="20"/>
          <w:szCs w:val="20"/>
          <w:color w:val="auto"/>
        </w:rPr>
      </w:pPr>
    </w:p>
    <w:p>
      <w:pPr>
        <w:ind w:left="2120"/>
        <w:spacing w:after="0"/>
        <w:rPr>
          <w:sz w:val="20"/>
          <w:szCs w:val="20"/>
          <w:color w:val="auto"/>
        </w:rPr>
      </w:pPr>
      <w:r>
        <w:rPr>
          <w:rFonts w:ascii="Arial" w:cs="Arial" w:eastAsia="Arial" w:hAnsi="Arial"/>
          <w:sz w:val="11"/>
          <w:szCs w:val="11"/>
          <w:b w:val="1"/>
          <w:bCs w:val="1"/>
          <w:color w:val="auto"/>
        </w:rPr>
        <w:t>Mean (±SD) Percentage Change from Baseline of Serum Concentrations of Total IgG in Subjects in ASCEND GO-2 (Preliminary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121920</wp:posOffset>
            </wp:positionV>
            <wp:extent cx="2251710" cy="16173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5171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980" w:right="959" w:firstLine="294"/>
        <w:spacing w:after="0" w:line="234" w:lineRule="auto"/>
        <w:rPr>
          <w:sz w:val="20"/>
          <w:szCs w:val="20"/>
          <w:color w:val="auto"/>
        </w:rPr>
      </w:pPr>
      <w:r>
        <w:rPr>
          <w:rFonts w:ascii="Arial" w:cs="Arial" w:eastAsia="Arial" w:hAnsi="Arial"/>
          <w:sz w:val="12"/>
          <w:szCs w:val="12"/>
          <w:color w:val="auto"/>
        </w:rPr>
        <w:t>The relationships of the PD effects in total LDL vs. albumin indicate that the time course and extent of LDL elevations were highly correlated with albumin reductions. The reductions in both IgG and albumin were also highly correlated, with a coefficient of determination of R</w:t>
      </w:r>
      <w:r>
        <w:rPr>
          <w:rFonts w:ascii="Arial" w:cs="Arial" w:eastAsia="Arial" w:hAnsi="Arial"/>
          <w:sz w:val="16"/>
          <w:szCs w:val="16"/>
          <w:color w:val="auto"/>
          <w:vertAlign w:val="superscript"/>
        </w:rPr>
        <w:t>2</w:t>
      </w:r>
      <w:r>
        <w:rPr>
          <w:rFonts w:ascii="Arial" w:cs="Arial" w:eastAsia="Arial" w:hAnsi="Arial"/>
          <w:sz w:val="12"/>
          <w:szCs w:val="12"/>
          <w:color w:val="auto"/>
        </w:rPr>
        <w:t xml:space="preserve"> = 0.793. It was also noted that the lipid elevations were not correlated with changes in thyroid hormone levels (no correlations to changes in T3, T4 or TSH were observed).</w:t>
      </w:r>
    </w:p>
    <w:p>
      <w:pPr>
        <w:spacing w:after="0" w:line="137" w:lineRule="exact"/>
        <w:rPr>
          <w:sz w:val="20"/>
          <w:szCs w:val="20"/>
          <w:color w:val="auto"/>
        </w:rPr>
      </w:pPr>
    </w:p>
    <w:p>
      <w:pPr>
        <w:ind w:left="1980" w:right="1059" w:firstLine="294"/>
        <w:spacing w:after="0" w:line="259" w:lineRule="auto"/>
        <w:rPr>
          <w:sz w:val="20"/>
          <w:szCs w:val="20"/>
          <w:color w:val="auto"/>
        </w:rPr>
      </w:pPr>
      <w:r>
        <w:rPr>
          <w:rFonts w:ascii="Arial" w:cs="Arial" w:eastAsia="Arial" w:hAnsi="Arial"/>
          <w:sz w:val="12"/>
          <w:szCs w:val="12"/>
          <w:color w:val="auto"/>
        </w:rPr>
        <w:t>Within the dose range studied, the rate and extent of total IgG reductions, albumin reductions and lipid elevations were dose dependent across different populations and the shoulder region of the dose-response curve for total IgG reductions was covered and observed. However, the shoulder region of the dose-response curve for albumin reductions or lipid elevations was not clearly observed. The extent of PD response was much larger in reductions of total IgG than reductions of albumin or elevations of lipids.</w:t>
      </w:r>
    </w:p>
    <w:p>
      <w:pPr>
        <w:spacing w:after="0" w:line="124" w:lineRule="exact"/>
        <w:rPr>
          <w:sz w:val="20"/>
          <w:szCs w:val="20"/>
          <w:color w:val="auto"/>
        </w:rPr>
      </w:pPr>
    </w:p>
    <w:p>
      <w:pPr>
        <w:jc w:val="both"/>
        <w:ind w:left="1980" w:right="859" w:firstLine="294"/>
        <w:spacing w:after="0" w:line="256" w:lineRule="auto"/>
        <w:rPr>
          <w:sz w:val="20"/>
          <w:szCs w:val="20"/>
          <w:color w:val="auto"/>
        </w:rPr>
      </w:pPr>
      <w:r>
        <w:rPr>
          <w:rFonts w:ascii="Arial" w:cs="Arial" w:eastAsia="Arial" w:hAnsi="Arial"/>
          <w:sz w:val="12"/>
          <w:szCs w:val="12"/>
          <w:color w:val="auto"/>
        </w:rPr>
        <w:t>Comprehensive understanding of the PK and PD characteristics of IMVT-1401 has enabled creation of robust mathematical models to support the selection of future dosing regimens. The discordance between the PK/PD response relationship for IgG and that of albumin or LDL suggests options for dosing regimens that provide potentially effective reductions in total IgG (and pathologic autoantibodies) while minimizing effects on albumin and LDL levels. Optimized dosing regimens, if shown to be effective, could improve the risk/benefit profile of IMVT-1401 while the ease of administration of our current formulation could enhance the overall patient experience.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72"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Safety data</w:t>
      </w:r>
    </w:p>
    <w:p>
      <w:pPr>
        <w:spacing w:after="0" w:line="78"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We conducted, from February 2021 through May 2021, a program-wide data review, including safety data review, with input from external scientific and medical experts. The safety data review for each of the studies is described below.</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our multi-part, placebo-controlled Phase 1 clinical trial, IMVT-1401 was observed to be generally well-tolerated with no Grade 3 or Grade 4 treatment-emergent AEs and no discontinuations due to AEs. The most commonly reported AEs were mild erythema and swelling at the injection site, which typically resolved within hours and had a similar incidence between subjects receiving IMVT-1401 and placebo. These reactions at the injection site were not considered dose-related and did not increase with multiple administrations of IMVT-1401 in the multiple-dose cohorts. As previously disclosed, two serious AEs were reported, both of which were assessed as unrelated to IMVT-1401 by the study investigator. There were no treatment-related serious AEs reported.</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 summary of the most commonly reported AEs, defined as the AE reported occurred in more than one subject, is set forth in the table below:</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Most Common Adverse Events Reported in Phase 1 Clinical Trial of IMVT-1401</w:t>
      </w:r>
    </w:p>
    <w:p>
      <w:pPr>
        <w:spacing w:after="0" w:line="179" w:lineRule="exact"/>
        <w:rPr>
          <w:sz w:val="20"/>
          <w:szCs w:val="20"/>
          <w:color w:val="auto"/>
        </w:rPr>
      </w:pPr>
    </w:p>
    <w:tbl>
      <w:tblPr>
        <w:tblLayout w:type="fixed"/>
        <w:tblInd w:w="1980" w:type="dxa"/>
        <w:tblCellMar>
          <w:top w:w="0" w:type="dxa"/>
          <w:left w:w="0" w:type="dxa"/>
          <w:bottom w:w="0" w:type="dxa"/>
          <w:right w:w="0" w:type="dxa"/>
        </w:tblCellMar>
      </w:tblPr>
      <w:tr>
        <w:trPr>
          <w:trHeight w:val="101"/>
        </w:trPr>
        <w:tc>
          <w:tcPr>
            <w:tcW w:w="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8"/>
                <w:szCs w:val="8"/>
                <w:b w:val="1"/>
                <w:bCs w:val="1"/>
                <w:color w:val="auto"/>
              </w:rPr>
              <w:t>Single Ascending Dose</w:t>
            </w: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6"/>
            <w:vMerge w:val="restart"/>
          </w:tcPr>
          <w:p>
            <w:pPr>
              <w:ind w:left="40"/>
              <w:spacing w:after="0"/>
              <w:rPr>
                <w:sz w:val="20"/>
                <w:szCs w:val="20"/>
                <w:color w:val="auto"/>
              </w:rPr>
            </w:pPr>
            <w:r>
              <w:rPr>
                <w:rFonts w:ascii="Arial" w:cs="Arial" w:eastAsia="Arial" w:hAnsi="Arial"/>
                <w:sz w:val="8"/>
                <w:szCs w:val="8"/>
                <w:b w:val="1"/>
                <w:bCs w:val="1"/>
                <w:color w:val="auto"/>
                <w:w w:val="96"/>
              </w:rPr>
              <w:t>Multiple Ascending Dose</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8"/>
          </w:tcPr>
          <w:p>
            <w:pPr>
              <w:jc w:val="right"/>
              <w:ind w:right="60"/>
              <w:spacing w:after="0"/>
              <w:rPr>
                <w:sz w:val="20"/>
                <w:szCs w:val="20"/>
                <w:color w:val="auto"/>
              </w:rPr>
            </w:pPr>
            <w:r>
              <w:rPr>
                <w:rFonts w:ascii="Arial" w:cs="Arial" w:eastAsia="Arial" w:hAnsi="Arial"/>
                <w:sz w:val="8"/>
                <w:szCs w:val="8"/>
                <w:b w:val="1"/>
                <w:bCs w:val="1"/>
                <w:color w:val="auto"/>
              </w:rPr>
              <w:t>Intravenous Infusion</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8"/>
          </w:tcPr>
          <w:p>
            <w:pPr>
              <w:jc w:val="right"/>
              <w:ind w:right="80"/>
              <w:spacing w:after="0"/>
              <w:rPr>
                <w:sz w:val="20"/>
                <w:szCs w:val="20"/>
                <w:color w:val="auto"/>
              </w:rPr>
            </w:pPr>
            <w:r>
              <w:rPr>
                <w:rFonts w:ascii="Arial" w:cs="Arial" w:eastAsia="Arial" w:hAnsi="Arial"/>
                <w:sz w:val="8"/>
                <w:szCs w:val="8"/>
                <w:b w:val="1"/>
                <w:bCs w:val="1"/>
                <w:color w:val="auto"/>
              </w:rPr>
              <w:t>Subcutaneous Injection</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6"/>
          </w:tcPr>
          <w:p>
            <w:pPr>
              <w:jc w:val="right"/>
              <w:ind w:right="80"/>
              <w:spacing w:after="0"/>
              <w:rPr>
                <w:sz w:val="20"/>
                <w:szCs w:val="20"/>
                <w:color w:val="auto"/>
              </w:rPr>
            </w:pPr>
            <w:r>
              <w:rPr>
                <w:rFonts w:ascii="Arial" w:cs="Arial" w:eastAsia="Arial" w:hAnsi="Arial"/>
                <w:sz w:val="8"/>
                <w:szCs w:val="8"/>
                <w:b w:val="1"/>
                <w:bCs w:val="1"/>
                <w:color w:val="auto"/>
                <w:w w:val="97"/>
              </w:rPr>
              <w:t>Subcutaneous Injection</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Borders>
              <w:top w:val="single" w:sz="8" w:color="auto"/>
            </w:tcBorders>
          </w:tcPr>
          <w:p>
            <w:pPr>
              <w:jc w:val="right"/>
              <w:ind w:right="1"/>
              <w:spacing w:after="0" w:line="69" w:lineRule="exact"/>
              <w:rPr>
                <w:sz w:val="20"/>
                <w:szCs w:val="20"/>
                <w:color w:val="auto"/>
              </w:rPr>
            </w:pPr>
            <w:r>
              <w:rPr>
                <w:rFonts w:ascii="Arial" w:cs="Arial" w:eastAsia="Arial" w:hAnsi="Arial"/>
                <w:sz w:val="7"/>
                <w:szCs w:val="7"/>
                <w:b w:val="1"/>
                <w:bCs w:val="1"/>
                <w:color w:val="auto"/>
              </w:rPr>
              <w:t>0.1</w:t>
            </w:r>
          </w:p>
        </w:tc>
        <w:tc>
          <w:tcPr>
            <w:tcW w:w="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jc w:val="right"/>
              <w:ind w:right="1"/>
              <w:spacing w:after="0" w:line="69" w:lineRule="exact"/>
              <w:rPr>
                <w:sz w:val="20"/>
                <w:szCs w:val="20"/>
                <w:color w:val="auto"/>
              </w:rPr>
            </w:pPr>
            <w:r>
              <w:rPr>
                <w:rFonts w:ascii="Arial" w:cs="Arial" w:eastAsia="Arial" w:hAnsi="Arial"/>
                <w:sz w:val="7"/>
                <w:szCs w:val="7"/>
                <w:b w:val="1"/>
                <w:bCs w:val="1"/>
                <w:color w:val="auto"/>
              </w:rPr>
              <w:t>0.5</w:t>
            </w:r>
          </w:p>
        </w:tc>
        <w:tc>
          <w:tcPr>
            <w:tcW w:w="400" w:type="dxa"/>
            <w:vAlign w:val="bottom"/>
            <w:tcBorders>
              <w:top w:val="single" w:sz="8" w:color="auto"/>
            </w:tcBorders>
            <w:gridSpan w:val="3"/>
          </w:tcPr>
          <w:p>
            <w:pPr>
              <w:jc w:val="right"/>
              <w:ind w:right="39"/>
              <w:spacing w:after="0" w:line="69" w:lineRule="exact"/>
              <w:rPr>
                <w:sz w:val="20"/>
                <w:szCs w:val="20"/>
                <w:color w:val="auto"/>
              </w:rPr>
            </w:pPr>
            <w:r>
              <w:rPr>
                <w:rFonts w:ascii="Arial" w:cs="Arial" w:eastAsia="Arial" w:hAnsi="Arial"/>
                <w:sz w:val="7"/>
                <w:szCs w:val="7"/>
                <w:b w:val="1"/>
                <w:bCs w:val="1"/>
                <w:color w:val="auto"/>
              </w:rPr>
              <w:t>1.5</w:t>
            </w:r>
          </w:p>
        </w:tc>
        <w:tc>
          <w:tcPr>
            <w:tcW w:w="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jc w:val="right"/>
              <w:ind w:right="74"/>
              <w:spacing w:after="0" w:line="69" w:lineRule="exact"/>
              <w:rPr>
                <w:sz w:val="20"/>
                <w:szCs w:val="20"/>
                <w:color w:val="auto"/>
              </w:rPr>
            </w:pPr>
            <w:r>
              <w:rPr>
                <w:rFonts w:ascii="Arial" w:cs="Arial" w:eastAsia="Arial" w:hAnsi="Arial"/>
                <w:sz w:val="7"/>
                <w:szCs w:val="7"/>
                <w:b w:val="1"/>
                <w:bCs w:val="1"/>
                <w:color w:val="auto"/>
              </w:rPr>
              <w:t>5</w:t>
            </w:r>
          </w:p>
        </w:tc>
        <w:tc>
          <w:tcPr>
            <w:tcW w:w="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20" w:type="dxa"/>
            <w:vAlign w:val="bottom"/>
          </w:tcPr>
          <w:p>
            <w:pPr>
              <w:jc w:val="center"/>
              <w:ind w:left="21"/>
              <w:spacing w:after="0" w:line="90" w:lineRule="exact"/>
              <w:rPr>
                <w:sz w:val="20"/>
                <w:szCs w:val="20"/>
                <w:color w:val="auto"/>
              </w:rPr>
            </w:pPr>
            <w:r>
              <w:rPr>
                <w:rFonts w:ascii="Arial" w:cs="Arial" w:eastAsia="Arial" w:hAnsi="Arial"/>
                <w:sz w:val="8"/>
                <w:szCs w:val="8"/>
                <w:b w:val="1"/>
                <w:bCs w:val="1"/>
                <w:color w:val="auto"/>
              </w:rPr>
              <w:t>MG/</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line="90" w:lineRule="exact"/>
              <w:rPr>
                <w:sz w:val="20"/>
                <w:szCs w:val="20"/>
                <w:color w:val="auto"/>
              </w:rPr>
            </w:pPr>
            <w:r>
              <w:rPr>
                <w:rFonts w:ascii="Arial" w:cs="Arial" w:eastAsia="Arial" w:hAnsi="Arial"/>
                <w:sz w:val="8"/>
                <w:szCs w:val="8"/>
                <w:b w:val="1"/>
                <w:bCs w:val="1"/>
                <w:color w:val="auto"/>
                <w:w w:val="89"/>
              </w:rPr>
              <w:t>100</w:t>
            </w: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b w:val="1"/>
                <w:bCs w:val="1"/>
                <w:color w:val="auto"/>
                <w:w w:val="89"/>
              </w:rPr>
              <w:t>340</w:t>
            </w: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b w:val="1"/>
                <w:bCs w:val="1"/>
                <w:color w:val="auto"/>
                <w:w w:val="89"/>
              </w:rPr>
              <w:t>765</w:t>
            </w: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b w:val="1"/>
                <w:bCs w:val="1"/>
                <w:color w:val="auto"/>
                <w:w w:val="78"/>
              </w:rPr>
              <w:t>1530</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jc w:val="center"/>
              <w:ind w:left="21"/>
              <w:spacing w:after="0" w:line="90" w:lineRule="exact"/>
              <w:rPr>
                <w:sz w:val="20"/>
                <w:szCs w:val="20"/>
                <w:color w:val="auto"/>
              </w:rPr>
            </w:pPr>
            <w:r>
              <w:rPr>
                <w:rFonts w:ascii="Arial" w:cs="Arial" w:eastAsia="Arial" w:hAnsi="Arial"/>
                <w:sz w:val="8"/>
                <w:szCs w:val="8"/>
                <w:b w:val="1"/>
                <w:bCs w:val="1"/>
                <w:color w:val="auto"/>
              </w:rPr>
              <w:t>MG/</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MG/</w:t>
            </w:r>
          </w:p>
        </w:tc>
        <w:tc>
          <w:tcPr>
            <w:tcW w:w="360" w:type="dxa"/>
            <w:vAlign w:val="bottom"/>
            <w:gridSpan w:val="2"/>
          </w:tcPr>
          <w:p>
            <w:pPr>
              <w:jc w:val="center"/>
              <w:ind w:right="80"/>
              <w:spacing w:after="0" w:line="90" w:lineRule="exact"/>
              <w:rPr>
                <w:sz w:val="20"/>
                <w:szCs w:val="20"/>
                <w:color w:val="auto"/>
              </w:rPr>
            </w:pPr>
            <w:r>
              <w:rPr>
                <w:rFonts w:ascii="Arial" w:cs="Arial" w:eastAsia="Arial" w:hAnsi="Arial"/>
                <w:sz w:val="8"/>
                <w:szCs w:val="8"/>
                <w:b w:val="1"/>
                <w:bCs w:val="1"/>
                <w:color w:val="auto"/>
              </w:rPr>
              <w:t>MG/</w:t>
            </w:r>
          </w:p>
        </w:tc>
        <w:tc>
          <w:tcPr>
            <w:tcW w:w="140" w:type="dxa"/>
            <w:vAlign w:val="bottom"/>
          </w:tcPr>
          <w:p>
            <w:pPr>
              <w:spacing w:after="0" w:line="90" w:lineRule="exact"/>
              <w:rPr>
                <w:sz w:val="20"/>
                <w:szCs w:val="20"/>
                <w:color w:val="auto"/>
              </w:rPr>
            </w:pPr>
            <w:r>
              <w:rPr>
                <w:rFonts w:ascii="Arial" w:cs="Arial" w:eastAsia="Arial" w:hAnsi="Arial"/>
                <w:sz w:val="8"/>
                <w:szCs w:val="8"/>
                <w:b w:val="1"/>
                <w:bCs w:val="1"/>
                <w:color w:val="auto"/>
                <w:w w:val="89"/>
              </w:rPr>
              <w:t>340</w:t>
            </w: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b w:val="1"/>
                <w:bCs w:val="1"/>
                <w:color w:val="auto"/>
                <w:w w:val="89"/>
              </w:rPr>
              <w:t>500</w:t>
            </w:r>
          </w:p>
        </w:tc>
        <w:tc>
          <w:tcPr>
            <w:tcW w:w="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Arial" w:cs="Arial" w:eastAsia="Arial" w:hAnsi="Arial"/>
                <w:sz w:val="8"/>
                <w:szCs w:val="8"/>
                <w:b w:val="1"/>
                <w:bCs w:val="1"/>
                <w:color w:val="auto"/>
                <w:w w:val="89"/>
              </w:rPr>
              <w:t>765</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340</w:t>
            </w:r>
          </w:p>
        </w:tc>
        <w:tc>
          <w:tcPr>
            <w:tcW w:w="80" w:type="dxa"/>
            <w:vAlign w:val="bottom"/>
          </w:tcPr>
          <w:p>
            <w:pPr>
              <w:spacing w:after="0"/>
              <w:rPr>
                <w:sz w:val="7"/>
                <w:szCs w:val="7"/>
                <w:color w:val="auto"/>
              </w:rPr>
            </w:pPr>
          </w:p>
        </w:tc>
        <w:tc>
          <w:tcPr>
            <w:tcW w:w="1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680</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20" w:type="dxa"/>
            <w:vAlign w:val="bottom"/>
            <w:vMerge w:val="restart"/>
          </w:tcPr>
          <w:p>
            <w:pPr>
              <w:spacing w:after="0"/>
              <w:rPr>
                <w:sz w:val="20"/>
                <w:szCs w:val="20"/>
                <w:color w:val="auto"/>
              </w:rPr>
            </w:pPr>
            <w:r>
              <w:rPr>
                <w:rFonts w:ascii="Arial" w:cs="Arial" w:eastAsia="Arial" w:hAnsi="Arial"/>
                <w:sz w:val="8"/>
                <w:szCs w:val="8"/>
                <w:b w:val="1"/>
                <w:bCs w:val="1"/>
                <w:color w:val="auto"/>
                <w:w w:val="92"/>
              </w:rPr>
              <w:t>Number of Subjects</w:t>
            </w:r>
          </w:p>
        </w:tc>
        <w:tc>
          <w:tcPr>
            <w:tcW w:w="1720" w:type="dxa"/>
            <w:vAlign w:val="bottom"/>
            <w:vMerge w:val="restart"/>
          </w:tcPr>
          <w:p>
            <w:pPr>
              <w:spacing w:after="0"/>
              <w:rPr>
                <w:sz w:val="7"/>
                <w:szCs w:val="7"/>
                <w:color w:val="auto"/>
              </w:rPr>
            </w:pPr>
          </w:p>
        </w:tc>
        <w:tc>
          <w:tcPr>
            <w:tcW w:w="220" w:type="dxa"/>
            <w:vAlign w:val="bottom"/>
          </w:tcPr>
          <w:p>
            <w:pPr>
              <w:jc w:val="center"/>
              <w:ind w:left="1"/>
              <w:spacing w:after="0" w:line="90" w:lineRule="exact"/>
              <w:rPr>
                <w:sz w:val="20"/>
                <w:szCs w:val="20"/>
                <w:color w:val="auto"/>
              </w:rPr>
            </w:pPr>
            <w:r>
              <w:rPr>
                <w:rFonts w:ascii="Arial" w:cs="Arial" w:eastAsia="Arial" w:hAnsi="Arial"/>
                <w:sz w:val="8"/>
                <w:szCs w:val="8"/>
                <w:b w:val="1"/>
                <w:bCs w:val="1"/>
                <w:color w:val="auto"/>
              </w:rPr>
              <w:t>KG</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MG</w:t>
            </w:r>
          </w:p>
        </w:tc>
        <w:tc>
          <w:tcPr>
            <w:tcW w:w="2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MG</w:t>
            </w:r>
          </w:p>
        </w:tc>
        <w:tc>
          <w:tcPr>
            <w:tcW w:w="2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MG</w:t>
            </w:r>
          </w:p>
        </w:tc>
        <w:tc>
          <w:tcPr>
            <w:tcW w:w="240" w:type="dxa"/>
            <w:vAlign w:val="bottom"/>
            <w:gridSpan w:val="2"/>
          </w:tcPr>
          <w:p>
            <w:pPr>
              <w:jc w:val="right"/>
              <w:ind w:right="80"/>
              <w:spacing w:after="0" w:line="90" w:lineRule="exact"/>
              <w:rPr>
                <w:sz w:val="20"/>
                <w:szCs w:val="20"/>
                <w:color w:val="auto"/>
              </w:rPr>
            </w:pPr>
            <w:r>
              <w:rPr>
                <w:rFonts w:ascii="Arial" w:cs="Arial" w:eastAsia="Arial" w:hAnsi="Arial"/>
                <w:sz w:val="8"/>
                <w:szCs w:val="8"/>
                <w:b w:val="1"/>
                <w:bCs w:val="1"/>
                <w:color w:val="auto"/>
              </w:rPr>
              <w:t>MG</w:t>
            </w:r>
          </w:p>
        </w:tc>
        <w:tc>
          <w:tcPr>
            <w:tcW w:w="360" w:type="dxa"/>
            <w:vAlign w:val="bottom"/>
          </w:tcPr>
          <w:p>
            <w:pPr>
              <w:jc w:val="center"/>
              <w:ind w:left="40"/>
              <w:spacing w:after="0" w:line="90" w:lineRule="exact"/>
              <w:rPr>
                <w:sz w:val="20"/>
                <w:szCs w:val="20"/>
                <w:color w:val="auto"/>
              </w:rPr>
            </w:pPr>
            <w:r>
              <w:rPr>
                <w:rFonts w:ascii="Arial" w:cs="Arial" w:eastAsia="Arial" w:hAnsi="Arial"/>
                <w:sz w:val="8"/>
                <w:szCs w:val="8"/>
                <w:b w:val="1"/>
                <w:bCs w:val="1"/>
                <w:color w:val="auto"/>
                <w:w w:val="91"/>
              </w:rPr>
              <w:t>Placebo</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jc w:val="center"/>
              <w:ind w:left="1"/>
              <w:spacing w:after="0" w:line="90" w:lineRule="exact"/>
              <w:rPr>
                <w:sz w:val="20"/>
                <w:szCs w:val="20"/>
                <w:color w:val="auto"/>
              </w:rPr>
            </w:pPr>
            <w:r>
              <w:rPr>
                <w:rFonts w:ascii="Arial" w:cs="Arial" w:eastAsia="Arial" w:hAnsi="Arial"/>
                <w:sz w:val="8"/>
                <w:szCs w:val="8"/>
                <w:b w:val="1"/>
                <w:bCs w:val="1"/>
                <w:color w:val="auto"/>
              </w:rPr>
              <w:t>KG</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gridSpan w:val="2"/>
          </w:tcPr>
          <w:p>
            <w:pPr>
              <w:jc w:val="right"/>
              <w:ind w:right="140"/>
              <w:spacing w:after="0" w:line="90" w:lineRule="exact"/>
              <w:rPr>
                <w:sz w:val="20"/>
                <w:szCs w:val="20"/>
                <w:color w:val="auto"/>
              </w:rPr>
            </w:pPr>
            <w:r>
              <w:rPr>
                <w:rFonts w:ascii="Arial" w:cs="Arial" w:eastAsia="Arial" w:hAnsi="Arial"/>
                <w:sz w:val="8"/>
                <w:szCs w:val="8"/>
                <w:b w:val="1"/>
                <w:bCs w:val="1"/>
                <w:color w:val="auto"/>
              </w:rPr>
              <w:t>KG</w:t>
            </w:r>
          </w:p>
        </w:tc>
        <w:tc>
          <w:tcPr>
            <w:tcW w:w="360" w:type="dxa"/>
            <w:vAlign w:val="bottom"/>
            <w:gridSpan w:val="2"/>
          </w:tcPr>
          <w:p>
            <w:pPr>
              <w:jc w:val="center"/>
              <w:ind w:right="80"/>
              <w:spacing w:after="0" w:line="90" w:lineRule="exact"/>
              <w:rPr>
                <w:sz w:val="20"/>
                <w:szCs w:val="20"/>
                <w:color w:val="auto"/>
              </w:rPr>
            </w:pPr>
            <w:r>
              <w:rPr>
                <w:rFonts w:ascii="Arial" w:cs="Arial" w:eastAsia="Arial" w:hAnsi="Arial"/>
                <w:sz w:val="8"/>
                <w:szCs w:val="8"/>
                <w:b w:val="1"/>
                <w:bCs w:val="1"/>
                <w:color w:val="auto"/>
                <w:w w:val="99"/>
              </w:rPr>
              <w:t>KG</w:t>
            </w:r>
          </w:p>
        </w:tc>
        <w:tc>
          <w:tcPr>
            <w:tcW w:w="22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MG</w:t>
            </w:r>
          </w:p>
        </w:tc>
        <w:tc>
          <w:tcPr>
            <w:tcW w:w="240" w:type="dxa"/>
            <w:vAlign w:val="bottom"/>
            <w:gridSpan w:val="2"/>
          </w:tcPr>
          <w:p>
            <w:pPr>
              <w:jc w:val="right"/>
              <w:ind w:right="80"/>
              <w:spacing w:after="0" w:line="90" w:lineRule="exact"/>
              <w:rPr>
                <w:sz w:val="20"/>
                <w:szCs w:val="20"/>
                <w:color w:val="auto"/>
              </w:rPr>
            </w:pPr>
            <w:r>
              <w:rPr>
                <w:rFonts w:ascii="Arial" w:cs="Arial" w:eastAsia="Arial" w:hAnsi="Arial"/>
                <w:sz w:val="8"/>
                <w:szCs w:val="8"/>
                <w:b w:val="1"/>
                <w:bCs w:val="1"/>
                <w:color w:val="auto"/>
              </w:rPr>
              <w:t>MG</w:t>
            </w:r>
          </w:p>
        </w:tc>
        <w:tc>
          <w:tcPr>
            <w:tcW w:w="2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MG</w:t>
            </w:r>
          </w:p>
        </w:tc>
        <w:tc>
          <w:tcPr>
            <w:tcW w:w="360" w:type="dxa"/>
            <w:vAlign w:val="bottom"/>
            <w:gridSpan w:val="2"/>
          </w:tcPr>
          <w:p>
            <w:pPr>
              <w:jc w:val="right"/>
              <w:ind w:right="80"/>
              <w:spacing w:after="0" w:line="90" w:lineRule="exact"/>
              <w:rPr>
                <w:sz w:val="20"/>
                <w:szCs w:val="20"/>
                <w:color w:val="auto"/>
              </w:rPr>
            </w:pPr>
            <w:r>
              <w:rPr>
                <w:rFonts w:ascii="Arial" w:cs="Arial" w:eastAsia="Arial" w:hAnsi="Arial"/>
                <w:sz w:val="8"/>
                <w:szCs w:val="8"/>
                <w:b w:val="1"/>
                <w:bCs w:val="1"/>
                <w:color w:val="auto"/>
                <w:w w:val="84"/>
              </w:rPr>
              <w:t>Placebo</w:t>
            </w:r>
          </w:p>
        </w:tc>
        <w:tc>
          <w:tcPr>
            <w:tcW w:w="28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MG</w:t>
            </w:r>
          </w:p>
        </w:tc>
        <w:tc>
          <w:tcPr>
            <w:tcW w:w="28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MG</w:t>
            </w:r>
          </w:p>
        </w:tc>
        <w:tc>
          <w:tcPr>
            <w:tcW w:w="420" w:type="dxa"/>
            <w:vAlign w:val="bottom"/>
            <w:gridSpan w:val="2"/>
          </w:tcPr>
          <w:p>
            <w:pPr>
              <w:jc w:val="right"/>
              <w:ind w:right="80"/>
              <w:spacing w:after="0" w:line="90" w:lineRule="exact"/>
              <w:rPr>
                <w:sz w:val="20"/>
                <w:szCs w:val="20"/>
                <w:color w:val="auto"/>
              </w:rPr>
            </w:pPr>
            <w:r>
              <w:rPr>
                <w:rFonts w:ascii="Arial" w:cs="Arial" w:eastAsia="Arial" w:hAnsi="Arial"/>
                <w:sz w:val="8"/>
                <w:szCs w:val="8"/>
                <w:b w:val="1"/>
                <w:bCs w:val="1"/>
                <w:color w:val="auto"/>
              </w:rPr>
              <w:t>Placebo</w:t>
            </w:r>
          </w:p>
        </w:tc>
        <w:tc>
          <w:tcPr>
            <w:tcW w:w="0" w:type="dxa"/>
            <w:vAlign w:val="bottom"/>
          </w:tcPr>
          <w:p>
            <w:pPr>
              <w:spacing w:after="0"/>
              <w:rPr>
                <w:sz w:val="1"/>
                <w:szCs w:val="1"/>
                <w:color w:val="auto"/>
              </w:rPr>
            </w:pPr>
          </w:p>
        </w:tc>
      </w:tr>
      <w:tr>
        <w:trPr>
          <w:trHeight w:val="103"/>
        </w:trPr>
        <w:tc>
          <w:tcPr>
            <w:tcW w:w="720" w:type="dxa"/>
            <w:vAlign w:val="bottom"/>
            <w:tcBorders>
              <w:bottom w:val="single" w:sz="8" w:color="auto"/>
            </w:tcBorders>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20" w:type="dxa"/>
            <w:vAlign w:val="bottom"/>
          </w:tcPr>
          <w:p>
            <w:pPr>
              <w:jc w:val="center"/>
              <w:ind w:left="21"/>
              <w:spacing w:after="0" w:line="63" w:lineRule="exact"/>
              <w:rPr>
                <w:sz w:val="20"/>
                <w:szCs w:val="20"/>
                <w:color w:val="auto"/>
              </w:rPr>
            </w:pPr>
            <w:r>
              <w:rPr>
                <w:rFonts w:ascii="Arial" w:cs="Arial" w:eastAsia="Arial" w:hAnsi="Arial"/>
                <w:sz w:val="7"/>
                <w:szCs w:val="7"/>
                <w:b w:val="1"/>
                <w:bCs w:val="1"/>
                <w:color w:val="auto"/>
              </w:rPr>
              <w:t>N=4</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w w:val="91"/>
              </w:rPr>
              <w:t>N=6</w:t>
            </w:r>
          </w:p>
        </w:tc>
        <w:tc>
          <w:tcPr>
            <w:tcW w:w="24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N=6</w:t>
            </w:r>
          </w:p>
        </w:tc>
        <w:tc>
          <w:tcPr>
            <w:tcW w:w="24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N=6</w:t>
            </w:r>
          </w:p>
        </w:tc>
        <w:tc>
          <w:tcPr>
            <w:tcW w:w="24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N=6</w:t>
            </w:r>
          </w:p>
        </w:tc>
        <w:tc>
          <w:tcPr>
            <w:tcW w:w="360" w:type="dxa"/>
            <w:vAlign w:val="bottom"/>
          </w:tcPr>
          <w:p>
            <w:pPr>
              <w:jc w:val="center"/>
              <w:ind w:left="20"/>
              <w:spacing w:after="0" w:line="63" w:lineRule="exact"/>
              <w:rPr>
                <w:sz w:val="20"/>
                <w:szCs w:val="20"/>
                <w:color w:val="auto"/>
              </w:rPr>
            </w:pPr>
            <w:r>
              <w:rPr>
                <w:rFonts w:ascii="Arial" w:cs="Arial" w:eastAsia="Arial" w:hAnsi="Arial"/>
                <w:sz w:val="7"/>
                <w:szCs w:val="7"/>
                <w:b w:val="1"/>
                <w:bCs w:val="1"/>
                <w:color w:val="auto"/>
              </w:rPr>
              <w:t>N=8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center"/>
              <w:ind w:left="21"/>
              <w:spacing w:after="0" w:line="63" w:lineRule="exact"/>
              <w:rPr>
                <w:sz w:val="20"/>
                <w:szCs w:val="20"/>
                <w:color w:val="auto"/>
              </w:rPr>
            </w:pPr>
            <w:r>
              <w:rPr>
                <w:rFonts w:ascii="Arial" w:cs="Arial" w:eastAsia="Arial" w:hAnsi="Arial"/>
                <w:sz w:val="7"/>
                <w:szCs w:val="7"/>
                <w:b w:val="1"/>
                <w:bCs w:val="1"/>
                <w:color w:val="auto"/>
              </w:rPr>
              <w:t>N=3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center"/>
              <w:ind w:right="80"/>
              <w:spacing w:after="0" w:line="63" w:lineRule="exact"/>
              <w:rPr>
                <w:sz w:val="20"/>
                <w:szCs w:val="20"/>
                <w:color w:val="auto"/>
              </w:rPr>
            </w:pPr>
            <w:r>
              <w:rPr>
                <w:rFonts w:ascii="Arial" w:cs="Arial" w:eastAsia="Arial" w:hAnsi="Arial"/>
                <w:sz w:val="7"/>
                <w:szCs w:val="7"/>
                <w:b w:val="1"/>
                <w:bCs w:val="1"/>
                <w:color w:val="auto"/>
              </w:rPr>
              <w:t>N=6</w:t>
            </w:r>
          </w:p>
        </w:tc>
        <w:tc>
          <w:tcPr>
            <w:tcW w:w="360" w:type="dxa"/>
            <w:vAlign w:val="bottom"/>
            <w:gridSpan w:val="2"/>
          </w:tcPr>
          <w:p>
            <w:pPr>
              <w:jc w:val="center"/>
              <w:ind w:right="80"/>
              <w:spacing w:after="0" w:line="63" w:lineRule="exact"/>
              <w:rPr>
                <w:sz w:val="20"/>
                <w:szCs w:val="20"/>
                <w:color w:val="auto"/>
              </w:rPr>
            </w:pPr>
            <w:r>
              <w:rPr>
                <w:rFonts w:ascii="Arial" w:cs="Arial" w:eastAsia="Arial" w:hAnsi="Arial"/>
                <w:sz w:val="7"/>
                <w:szCs w:val="7"/>
                <w:b w:val="1"/>
                <w:bCs w:val="1"/>
                <w:color w:val="auto"/>
              </w:rPr>
              <w:t>N=6</w:t>
            </w:r>
          </w:p>
        </w:tc>
        <w:tc>
          <w:tcPr>
            <w:tcW w:w="22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w w:val="91"/>
              </w:rPr>
              <w:t>N=6</w:t>
            </w:r>
          </w:p>
        </w:tc>
        <w:tc>
          <w:tcPr>
            <w:tcW w:w="24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N=6</w:t>
            </w:r>
          </w:p>
        </w:tc>
        <w:tc>
          <w:tcPr>
            <w:tcW w:w="240" w:type="dxa"/>
            <w:vAlign w:val="bottom"/>
            <w:gridSpan w:val="2"/>
          </w:tcPr>
          <w:p>
            <w:pPr>
              <w:jc w:val="right"/>
              <w:ind w:right="80"/>
              <w:spacing w:after="0" w:line="63" w:lineRule="exact"/>
              <w:rPr>
                <w:sz w:val="20"/>
                <w:szCs w:val="20"/>
                <w:color w:val="auto"/>
              </w:rPr>
            </w:pPr>
            <w:r>
              <w:rPr>
                <w:rFonts w:ascii="Arial" w:cs="Arial" w:eastAsia="Arial" w:hAnsi="Arial"/>
                <w:sz w:val="7"/>
                <w:szCs w:val="7"/>
                <w:b w:val="1"/>
                <w:bCs w:val="1"/>
                <w:color w:val="auto"/>
              </w:rPr>
              <w:t>N=6</w:t>
            </w:r>
          </w:p>
        </w:tc>
        <w:tc>
          <w:tcPr>
            <w:tcW w:w="360" w:type="dxa"/>
            <w:vAlign w:val="bottom"/>
            <w:gridSpan w:val="2"/>
          </w:tcPr>
          <w:p>
            <w:pPr>
              <w:jc w:val="right"/>
              <w:ind w:right="120"/>
              <w:spacing w:after="0" w:line="63" w:lineRule="exact"/>
              <w:rPr>
                <w:sz w:val="20"/>
                <w:szCs w:val="20"/>
                <w:color w:val="auto"/>
              </w:rPr>
            </w:pPr>
            <w:r>
              <w:rPr>
                <w:rFonts w:ascii="Arial" w:cs="Arial" w:eastAsia="Arial" w:hAnsi="Arial"/>
                <w:sz w:val="7"/>
                <w:szCs w:val="7"/>
                <w:b w:val="1"/>
                <w:bCs w:val="1"/>
                <w:color w:val="auto"/>
              </w:rPr>
              <w:t>N=10</w:t>
            </w:r>
          </w:p>
        </w:tc>
        <w:tc>
          <w:tcPr>
            <w:tcW w:w="280" w:type="dxa"/>
            <w:vAlign w:val="bottom"/>
            <w:gridSpan w:val="2"/>
          </w:tcPr>
          <w:p>
            <w:pPr>
              <w:jc w:val="center"/>
              <w:ind w:right="80"/>
              <w:spacing w:after="0" w:line="63" w:lineRule="exact"/>
              <w:rPr>
                <w:sz w:val="20"/>
                <w:szCs w:val="20"/>
                <w:color w:val="auto"/>
              </w:rPr>
            </w:pPr>
            <w:r>
              <w:rPr>
                <w:rFonts w:ascii="Arial" w:cs="Arial" w:eastAsia="Arial" w:hAnsi="Arial"/>
                <w:sz w:val="7"/>
                <w:szCs w:val="7"/>
                <w:b w:val="1"/>
                <w:bCs w:val="1"/>
                <w:color w:val="auto"/>
              </w:rPr>
              <w:t>N=8</w:t>
            </w:r>
          </w:p>
        </w:tc>
        <w:tc>
          <w:tcPr>
            <w:tcW w:w="280" w:type="dxa"/>
            <w:vAlign w:val="bottom"/>
            <w:gridSpan w:val="2"/>
          </w:tcPr>
          <w:p>
            <w:pPr>
              <w:jc w:val="center"/>
              <w:ind w:right="100"/>
              <w:spacing w:after="0" w:line="63" w:lineRule="exact"/>
              <w:rPr>
                <w:sz w:val="20"/>
                <w:szCs w:val="20"/>
                <w:color w:val="auto"/>
              </w:rPr>
            </w:pPr>
            <w:r>
              <w:rPr>
                <w:rFonts w:ascii="Arial" w:cs="Arial" w:eastAsia="Arial" w:hAnsi="Arial"/>
                <w:sz w:val="7"/>
                <w:szCs w:val="7"/>
                <w:b w:val="1"/>
                <w:bCs w:val="1"/>
                <w:color w:val="auto"/>
              </w:rPr>
              <w:t>N=8</w:t>
            </w:r>
          </w:p>
        </w:tc>
        <w:tc>
          <w:tcPr>
            <w:tcW w:w="420" w:type="dxa"/>
            <w:vAlign w:val="bottom"/>
            <w:gridSpan w:val="2"/>
          </w:tcPr>
          <w:p>
            <w:pPr>
              <w:jc w:val="right"/>
              <w:ind w:right="140"/>
              <w:spacing w:after="0" w:line="63" w:lineRule="exact"/>
              <w:rPr>
                <w:sz w:val="20"/>
                <w:szCs w:val="20"/>
                <w:color w:val="auto"/>
              </w:rPr>
            </w:pPr>
            <w:r>
              <w:rPr>
                <w:rFonts w:ascii="Arial" w:cs="Arial" w:eastAsia="Arial" w:hAnsi="Arial"/>
                <w:sz w:val="7"/>
                <w:szCs w:val="7"/>
                <w:b w:val="1"/>
                <w:bCs w:val="1"/>
                <w:color w:val="auto"/>
              </w:rPr>
              <w:t>N=4</w:t>
            </w:r>
          </w:p>
        </w:tc>
        <w:tc>
          <w:tcPr>
            <w:tcW w:w="0" w:type="dxa"/>
            <w:vAlign w:val="bottom"/>
          </w:tcPr>
          <w:p>
            <w:pPr>
              <w:spacing w:after="0"/>
              <w:rPr>
                <w:sz w:val="1"/>
                <w:szCs w:val="1"/>
                <w:color w:val="auto"/>
              </w:rPr>
            </w:pPr>
          </w:p>
        </w:tc>
      </w:tr>
      <w:tr>
        <w:trPr>
          <w:trHeight w:val="86"/>
        </w:trPr>
        <w:tc>
          <w:tcPr>
            <w:tcW w:w="2440" w:type="dxa"/>
            <w:vAlign w:val="bottom"/>
            <w:tcBorders>
              <w:top w:val="single" w:sz="8" w:color="CCEEFF"/>
            </w:tcBorders>
            <w:gridSpan w:val="2"/>
            <w:shd w:val="clear" w:color="auto" w:fill="CCEEFF"/>
          </w:tcPr>
          <w:p>
            <w:pPr>
              <w:spacing w:after="0" w:line="86" w:lineRule="exact"/>
              <w:rPr>
                <w:sz w:val="20"/>
                <w:szCs w:val="20"/>
                <w:color w:val="auto"/>
              </w:rPr>
            </w:pPr>
            <w:r>
              <w:rPr>
                <w:rFonts w:ascii="Arial" w:cs="Arial" w:eastAsia="Arial" w:hAnsi="Arial"/>
                <w:sz w:val="8"/>
                <w:szCs w:val="8"/>
                <w:b w:val="1"/>
                <w:bCs w:val="1"/>
                <w:color w:val="auto"/>
              </w:rPr>
              <w:t>MedDRA Preferred Term</w:t>
            </w:r>
          </w:p>
        </w:tc>
        <w:tc>
          <w:tcPr>
            <w:tcW w:w="2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Abdominal pain</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Abdominal pain upper</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Abnormal sensation in eye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Back pain</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2</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Constipation</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Cough</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Diarrhea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Dizziness</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Dry skin</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Erythema</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Fatigue</w:t>
            </w:r>
          </w:p>
        </w:tc>
        <w:tc>
          <w:tcPr>
            <w:tcW w:w="220" w:type="dxa"/>
            <w:vAlign w:val="bottom"/>
          </w:tcPr>
          <w:p>
            <w:pPr>
              <w:spacing w:after="0"/>
              <w:rPr>
                <w:sz w:val="8"/>
                <w:szCs w:val="8"/>
                <w:color w:val="auto"/>
              </w:rPr>
            </w:pPr>
          </w:p>
        </w:tc>
        <w:tc>
          <w:tcPr>
            <w:tcW w:w="1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360" w:type="dxa"/>
            <w:vAlign w:val="bottom"/>
          </w:tcPr>
          <w:p>
            <w:pPr>
              <w:spacing w:after="0"/>
              <w:rPr>
                <w:sz w:val="8"/>
                <w:szCs w:val="8"/>
                <w:color w:val="auto"/>
              </w:rPr>
            </w:pPr>
          </w:p>
        </w:tc>
        <w:tc>
          <w:tcPr>
            <w:tcW w:w="1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tcPr>
          <w:p>
            <w:pPr>
              <w:spacing w:after="0"/>
              <w:rPr>
                <w:sz w:val="8"/>
                <w:szCs w:val="8"/>
                <w:color w:val="auto"/>
              </w:rPr>
            </w:pPr>
          </w:p>
        </w:tc>
        <w:tc>
          <w:tcPr>
            <w:tcW w:w="1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Headache</w:t>
            </w:r>
          </w:p>
        </w:tc>
        <w:tc>
          <w:tcPr>
            <w:tcW w:w="2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gridSpan w:val="4"/>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4</w:t>
            </w: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Injection site erythema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5</w:t>
            </w: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5</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6</w:t>
            </w: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7</w:t>
            </w: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8</w:t>
            </w:r>
          </w:p>
        </w:tc>
        <w:tc>
          <w:tcPr>
            <w:tcW w:w="2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7</w:t>
            </w:r>
          </w:p>
        </w:tc>
        <w:tc>
          <w:tcPr>
            <w:tcW w:w="42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Injection site pain</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Injection site swelling</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4</w:t>
            </w: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3</w:t>
            </w: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7</w:t>
            </w:r>
          </w:p>
        </w:tc>
        <w:tc>
          <w:tcPr>
            <w:tcW w:w="2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w:t>
            </w:r>
          </w:p>
        </w:tc>
        <w:tc>
          <w:tcPr>
            <w:tcW w:w="42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Insomnia</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Myalgia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Nasal congestion</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Nausea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42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Ocular hyperaemia</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Oropharyngeal pain</w:t>
            </w:r>
          </w:p>
        </w:tc>
        <w:tc>
          <w:tcPr>
            <w:tcW w:w="220" w:type="dxa"/>
            <w:vAlign w:val="bottom"/>
          </w:tcPr>
          <w:p>
            <w:pPr>
              <w:spacing w:after="0"/>
              <w:rPr>
                <w:sz w:val="8"/>
                <w:szCs w:val="8"/>
                <w:color w:val="auto"/>
              </w:rPr>
            </w:pPr>
          </w:p>
        </w:tc>
        <w:tc>
          <w:tcPr>
            <w:tcW w:w="1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Pain in extremity</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Procedural complication</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4"/>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Procedural dizziness</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Pyrexia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Rash</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Rhinorrhoea</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Sinusitis</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tcPr>
          <w:p>
            <w:pPr>
              <w:spacing w:after="0" w:line="99" w:lineRule="exact"/>
              <w:rPr>
                <w:sz w:val="20"/>
                <w:szCs w:val="20"/>
                <w:color w:val="auto"/>
              </w:rPr>
            </w:pPr>
            <w:r>
              <w:rPr>
                <w:rFonts w:ascii="Arial" w:cs="Arial" w:eastAsia="Arial" w:hAnsi="Arial"/>
                <w:sz w:val="10"/>
                <w:szCs w:val="10"/>
                <w:color w:val="auto"/>
              </w:rPr>
              <w:t>Somnolence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Upper respiratory tract infection</w:t>
            </w:r>
          </w:p>
        </w:tc>
        <w:tc>
          <w:tcPr>
            <w:tcW w:w="2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1</w:t>
            </w:r>
          </w:p>
        </w:tc>
        <w:tc>
          <w:tcPr>
            <w:tcW w:w="2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w w:val="71"/>
              </w:rPr>
              <w:t>3</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2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40" w:type="dxa"/>
            <w:vAlign w:val="bottom"/>
            <w:gridSpan w:val="2"/>
          </w:tcPr>
          <w:p>
            <w:pPr>
              <w:spacing w:after="0"/>
              <w:rPr>
                <w:sz w:val="20"/>
                <w:szCs w:val="20"/>
                <w:color w:val="auto"/>
              </w:rPr>
            </w:pPr>
            <w:r>
              <w:rPr>
                <w:rFonts w:ascii="Arial" w:cs="Arial" w:eastAsia="Arial" w:hAnsi="Arial"/>
                <w:sz w:val="10"/>
                <w:szCs w:val="10"/>
                <w:color w:val="auto"/>
              </w:rPr>
              <w:t>Vision blurred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1</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In November 2018, one serious AE (malpighian carcinoma) occurred in a 51-year-old subject who had received a single 765 mg subcutaneous administration of IMVT-1401. Fifty-five days after study drug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72"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administration, the subject presented to his personal physician with a left-sided neck mass. Biopsy results determined the mass to be a poorly differentiated malpighian carcinoma, which was assessed as unrelated to IMVT-1401 by the study investigator. In February 2019, a 25-year-old subject who received a single dose 1530 mg of IMVT-1401 by intravenous infusion presented five days later with uncomplicated acute appendicitis and the presence of an appendiceal stone. The subject underwent laparoscopic appendectomy and recovered with an uneventful post-operative course. The event was considered unrelated to study drug by the study investigator.</w:t>
      </w:r>
    </w:p>
    <w:p>
      <w:pPr>
        <w:spacing w:after="0" w:line="128"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Dose-dependent and reversible albumin reductions were observed in the single-ascending and multiple-ascending dose cohorts. In the 680 mg multiple-ascending dose cohort, most subjects appeared to reach nadir before administration of the final dose. Mean reduction in albumin levels at day 28 were 20% in the 340 mg multiple-dose cohort, and 31% in the 680 mg multiple-dose cohort. For subjects in the 340 mg and 680 mg cohorts, the mean albumin levels at day 28 were 37.5 g/L and 32.4 g/L, respectively (normal range 36-51 g/L). These reductions were not associated with any AEs or clinical symptoms and did not lead to any study discontinuations.</w:t>
      </w:r>
    </w:p>
    <w:p>
      <w:pPr>
        <w:spacing w:after="0" w:line="128"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Our Phase 1 Injection Site study, a randomized, double-blinded, placebo-controlled, crossover study to characterize the PK, PD, safety and tolerability of IMVT-1401 was administered as single subcutaneous doses in three different injection sites in healthy participants (N = 21). In this trial, IMVT-1401 was generally well tolerated with no serious AEs reported and there were no discontinuations due to AEs. All AEs were assessed to be unrelated to IMVT-1401 by the study investigator. Mild headache was reported in 33% of the overall group as compared with 25% of the placebo group.</w:t>
      </w:r>
    </w:p>
    <w:p>
      <w:pPr>
        <w:spacing w:after="0" w:line="9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our ASCEND GO-1 clinical trial, where seven participants completed the treatment period of the study and five of those participants completed the follow-up, off treatment period (the two discontinuations were not related to the study), the safety and tolerability profile observed was consistent with the Phase 1 clinical trials. In this trial, no serious AEs were observed and there were no discontinuations due to AEs. IMVT-1401 was generally well-tolerated, with the reported AEs, ranging from mild to moderate, being increase in weight, cough, fatigue, palpitations, light-headedness, and low blood pressure. One participant had a pre-existing condition of hypertension with borderline low platelets at baseline and a low platelet count after week 18.</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In our ASCEND MG clinical trial, which included five participants in the 340 mg dose group, six participants in the 680 mg dose group and six participants in the placebo group, two serious AEs were reported but determined to be unrelated to IMVT-1401 by the study investigator.</w:t>
      </w:r>
    </w:p>
    <w:p>
      <w:pPr>
        <w:spacing w:after="0" w:line="92"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In our ASCEND GO-2 clinical trial, five out of 18 participants in the 680 mg dose group reported peripheral edema with no such events noted in the other treatment groups. The events were Grade 1 or 2 (on a scale of 1 to 5), were limited in duration, and did not require permanent discontinuation of study drug. There were no reported cardiac events and injection site erythema was more common in the treated groups as compared with the placebo group. In the 255 mg dose group, one AE, optic neuropathy, was considered serious due to hospitalization, but was ultimately determined to be unrelated to the study and the participant later recovered. Triglycerides were elevated in the 340 mg and 680 mg dose groups with two participants reporting levels above 300 mg/dL and &lt;400 mg/dL. No other serious AEs were reported.</w:t>
      </w:r>
    </w:p>
    <w:p>
      <w:pPr>
        <w:spacing w:after="0" w:line="113"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ASCEND WAIHA study is an open-label trial that has been evaluated with interim results. To date, one of the five trial subjects discontinued therapy after three 680 mg SC QW doses due to a serious AE (Immune thrombocytopenia). In January 2021, a 59-year-old subject presented for the scheduled week 4 study visit and reported gingival bleeding. The week 4 dose was not administered and laboratory results revealed decreases in platelet count. Platelet count was already at a decreased level at the time of enrollment. The subject received multiple platelet transfusions over the following few weeks. In February 2021, the AE was considered as resolved and no further transfusions were needed at that time. The study investigator considered the event related to aggravation of underlying disease activity (hemolytic anemia with immune thrombocytopenia) since the subject had decreased platelet counts at initial diagnosis; however, the study investigator stated that the investigational product’s role in causing or aggravating thrombocytopenia cannot be ruled out. The adverse event was determined to be possibly related to study drug.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72"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As previously disclosed, lipid levels were not measured contemporaneously during these Phase 1, ASCEND MG and ASCEND GO-1 clinical trials of IMVT-1401. See “Recent Developments in Our Clinical Programs” for further discussion about lipid and albumin changes noted in our clinical trials.</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Across all the clinical trial groups to date, we believe the safety profile of IMVT-1401 at the doses studied over a treatment interval of at least 12 weeks is acceptable and supports further development of these dosing regimens. As discussed in “</w:t>
      </w:r>
      <w:r>
        <w:rPr>
          <w:rFonts w:ascii="Arial" w:cs="Arial" w:eastAsia="Arial" w:hAnsi="Arial"/>
          <w:sz w:val="11"/>
          <w:szCs w:val="11"/>
          <w:i w:val="1"/>
          <w:iCs w:val="1"/>
          <w:color w:val="auto"/>
        </w:rPr>
        <w:t>Recent Developments in Our Clinical Programs,</w:t>
      </w:r>
      <w:r>
        <w:rPr>
          <w:rFonts w:ascii="Arial" w:cs="Arial" w:eastAsia="Arial" w:hAnsi="Arial"/>
          <w:sz w:val="11"/>
          <w:szCs w:val="11"/>
          <w:color w:val="auto"/>
        </w:rPr>
        <w:t>” dose-dependent decreases in albumin levels have been observed with IMVT-1401; however, these decreases were generally asymptomatic except for the potentially expected AE of peripheral edema which was observed only in the 680 mg dose group and resolved without permanent discontinuation of IMVT-1401. Dose-related increases in LDL and total cholesterol have also been observed with IMVT-1401. While increases in LDL of this magnitude over a 12-week treatment duration would not be expected to pose a safety concern for patients, the risk-benefit profile of long-term administration of IMVT-1401 will need to incorporate any unfavorable effects on lipid profiles. Future study designs which include long-term treatment extensions will employ extensive PK/PD modeling to select dosing regimens that optimize reductions in total IgG while minimizing effects on albumin and LDL. These protocols will likely include protocol-directed guidelines for the management of any observed lipid abnormalities. The indications that we are pursuing with IMVT-1401 are associated with substantial morbidity and currently available treatments (e.g., high dose intravenous methylprednisolone) associated with significant side effects. Therefore, we believe that, if IMVT-1401 is found to be effective in these diseases, the safety profile observed to date should result in a favorable risk-benefit profile for IMVT-1401.</w:t>
      </w:r>
    </w:p>
    <w:p>
      <w:pPr>
        <w:spacing w:after="0" w:line="12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major adverse cardiovascular events have been reported to date in IMVT clinical trials.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Immunogenicity Data</w:t>
      </w:r>
    </w:p>
    <w:p>
      <w:pPr>
        <w:spacing w:after="0" w:line="78" w:lineRule="exact"/>
        <w:rPr>
          <w:sz w:val="20"/>
          <w:szCs w:val="20"/>
          <w:color w:val="auto"/>
        </w:rPr>
      </w:pPr>
    </w:p>
    <w:p>
      <w:pPr>
        <w:ind w:left="1980" w:right="1039" w:firstLine="294"/>
        <w:spacing w:after="0" w:line="285" w:lineRule="auto"/>
        <w:rPr>
          <w:sz w:val="20"/>
          <w:szCs w:val="20"/>
          <w:color w:val="auto"/>
        </w:rPr>
      </w:pPr>
      <w:r>
        <w:rPr>
          <w:rFonts w:ascii="Arial" w:cs="Arial" w:eastAsia="Arial" w:hAnsi="Arial"/>
          <w:sz w:val="11"/>
          <w:szCs w:val="11"/>
          <w:color w:val="auto"/>
        </w:rPr>
        <w:t>The development of anti-drug antibodies (“ADA”) to IMVT-1401 was assessed across all dosed cohorts following single (IV and SC formulations) and multiple (SC formulation) administrations of IMVT-1401. Preliminary data show a similar frequency of treatment-emergent ADA development among subjects who received at least one administration of IMVT-1401 or placebo (8% and 6%, respectively). The antibody titers were low (£ 1:16) consistent with the high sensitivity of the ADA assay. No subjects in either the 340 mg or 680 mg multiple ascending dose cohorts developed ADAs with treatment. ADAs will continue to be monitored throughout the development program.</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IMVT-1401 for the Treatment of Myasthenia Gravis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MG overview and limitations of current treatments</w:t>
      </w:r>
    </w:p>
    <w:p>
      <w:pPr>
        <w:spacing w:after="0" w:line="7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Myasthenia Gravis is a rare autoimmune disorder, characterized by weakness of muscles including ocular, head, oropharyngeal, limb and respiratory muscles. The prevalence of MG is estimated to be one in 5,000, with up to 66,000 cases expected in the United States. Existing therapies are associated with significant side effects and an unmet medical need persists. Approximately 10% of MG patients are refractory to current treatments, while up to 80% fail to achieve complete stable remission.</w:t>
      </w:r>
    </w:p>
    <w:p>
      <w:pPr>
        <w:spacing w:after="0" w:line="124"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Very early-stage MG is symptomatically treated with acetylcholinesterase inhibitors such as pyridostigmine, which block the breakdown of acetylcholine at the neuromuscular junction, thereby increasing its concentration and capacity to activate the muscle. As the disease progresses, patients are typically treated with immunosuppressive agents such as glucocorticoids, azathioprine, mycophenolate mofetil and cyclosporine. As MG becomes more advanced, patients can be treated during exacerbations with IVIg, which provides therapeutic benefit through multiple potential mechanisms including the saturation of FcRn. However, IVIg requires recurrent, burdensome infusions to obtain significant reductions in symptoms, and the large volumes of intravenous fluid associated with the administration of IVIg can lead to significant side effects, including pulmonary edema and renal complications and treatment can be complicated by events associated with intravascular thrombosis.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72"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Physicians direct patients with more advanced chronic disease and patients in times of crisis to therapies that reduce levels of circulating IgG antibodies. One method of reducing IgG levels is to take blood from a patient and physically remove the patient’s plasma before returning the red blood cells as well as outside obtained albumin or plasma to the patient in a process called plasma exchange. This is a slow process that typically takes several hours and often requires multiple treatment sequences due to limited daily tolerance (a reported mean of 6 treatments in MG) over a number of days in order to achieve a significant reduction in IgG antibody levels. A variant of this procedure is immunoadsorption in which bacterial proteins are used to selectively remove IgG antibodies from serum. The most recent agent approved for MG is eculizumab, a complement C5 inhibitor, the use of which is limited to patients refractory to available therapy with anti-AChR-positive MG. Anti-MuSK antibodies have a low propensity to activate complement proteins, thus C5 inhibition may not be therapeutically relevant in anti-MuSK-positive patients. Studies indicate that patients with MuSK-positive disease are more likely to become treatment refractory thus presenting an additional unmet need.</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Before the voluntary pause of dosing, we had a favorable end of Phase 2 meeting with the FDA on the design of our Phase 3 registrational program in MG and we are planning on advancing our clinical trials for this indication. Based on our integrated safety analysis, we plan to meet with the FDA to propose further development to evaluate additional dosing levels and regimens as well as to include additional safety monitoring and considerations such as lipid and albumin monitoring and incorporating an independent safety monitoring committee. Contingent upon FDA feedback, we plan to initiate a pivotal study in MG in the early part of calendar year 2022.</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IMVT-1401 for the Treatment of Warm Autoimmune Hemolytic Anemia</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WAIHA overview and limitations of current treatments</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WAIHA is a rare hematologic disease in which autoantibodies mediate hemolysis, or the destruction of RBCs. The clinical presentation is variable and most commonly includes non-specific symptoms of anemia such as fatigue, weakness, skin paleness and shortness of breath. Symptoms typically develop chronically over several weeks to months, however, rapid progression over a span of days has also been observed. In severe cases, hemoglobin levels are unable to meet the body’s oxygen demand, which can lead to heart attacks, heart failure and even death. Though the exact causes of WAIHA are unknown, roughly half of cases occur in patients with an underlying lymphoproliferative or autoimmune disease, most commonly chronic lymphocytic leukemia, rheumatoid arthritis or systemic lupus erythematosus.</w:t>
      </w:r>
    </w:p>
    <w:p>
      <w:pPr>
        <w:spacing w:after="0" w:line="113"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WAIHA, autoantibodies react with surface proteins on RBCs at temperatures at or above 37 degrees Celsius, or normal body temperature. These antibodies are of the IgG subtype in the majority of patients. WAIHA is differentiated from cold autoimmune hemolytic anemia, or cold agglutinin disease, which shares a similar clinical presentation but is triggered by autoantibodies that react at temperatures below 37 degrees Celsius. In WAIHA, antibody-coated RBCs are removed from circulation primarily in the spleen, where they are destroyed by macrophages. Studies have suggested the severity of WAIHA correlates with the amount and potency of autoantibodies present. The laboratory evaluation of WAIHA begins with a peripheral blood analysis revealing evidence of extravascular hemolysis (spherocytes, low haptoglobin, elevated bilirubin and elevated LDH). In over 97% of cases, patients have a positive direct antiglobulin test, which detects the presence of IgG or complement proteins bound to the surface of RBCs.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annual incidence of WAIHA in the United States and Europe is estimated at one to three in 100,000 persons. Based on published estimates, we believe that there are approximately 42,000 patients in the United States and 67,000 patients in Europe living with WAIHA. The disease may be more common in females, with some sources suggesting a 2:1 female predominance. Peak incidence occurs during the sixth and seventh decades of life, however, WAIHA can occur in children as well.</w:t>
      </w:r>
    </w:p>
    <w:p>
      <w:pPr>
        <w:spacing w:after="0" w:line="12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High doses of corticosteroids (&gt;1 mg/kg of prednisone) are typically the first-line treatment option for WAIHA and lead to initial disease control in approximately 70-85% of cases. Once initial disease control is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72"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achieved, doses of steroids are tapered. However, only 33% of patients maintain sustained disease control once steroids are discontinued and, as a result, the majority of patients will require either long-term steroid treatment or additional therapies.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There are few studies to guide which treatment options to use in patients failing corticosteroids. Until recently, splenectomy had been a common second-line treatment option for patients not responding adequately to corticosteroids. The therapeutic benefit of splenectomy is thought to be twofold: first, it eliminates the major site of RBC destruction in WAIHA; second, removal of the spleen reduces the total lymphoid tissue capable of producing autoantibodies. However, because of the lack of reliable predictors of the outcome, morbidity and potential operative complications of splenectomy, rituximab has become the default second-line option despite not being approved for use in WAIHA. In case studies looking at patients with relapsed disease after treatment with steroids, single-agent rituximab led to responses in 65% to 90% of patients. In such a course of treatment, maximal therapeutic effect is not immediate.</w:t>
      </w:r>
    </w:p>
    <w:p>
      <w:pPr>
        <w:spacing w:after="0" w:line="13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Patients with persistent disease despite use of corticosteroids and rituximab may be offered a course of other immunosuppressive drugs, such as cyclophosphamide, mycophenolate mofetil or azathioprine sirolimus. IVIg is not routinely used alone for the treatment of WAIHA, however, small case series have suggested some evidence for a therapeutic effect in patients suffering from life-threatening complications of the disease. In these reports, IVIg has been given at high doses (greater than or equal to 1 g/kg per day), and the results have been inconsistent, requiring repeated courses of treatment in at least one case. RBC transfusions are indicated in patients who require immediate stabilization. Such patients are monitored closely for evidence of a transfusion reaction. In contrast to other treatment modalities that lead to nonspecific suppression of the immune system, IMVT-1401 may offer a more targeted approach for reducing levels of the causative IgG species responsible for most cases of WAIHA. We believe this could provide a favorable therapeutic window and avoid the significant side effects associated with less targeted immunosuppression.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19" w:firstLine="294"/>
        <w:spacing w:after="0" w:line="316" w:lineRule="auto"/>
        <w:rPr>
          <w:sz w:val="20"/>
          <w:szCs w:val="20"/>
          <w:color w:val="auto"/>
        </w:rPr>
      </w:pPr>
      <w:r>
        <w:rPr>
          <w:rFonts w:ascii="Arial" w:cs="Arial" w:eastAsia="Arial" w:hAnsi="Arial"/>
          <w:sz w:val="10"/>
          <w:szCs w:val="10"/>
          <w:color w:val="auto"/>
        </w:rPr>
        <w:t>In November 2019, we submitted our IND to the FDA for WAIHA and, in December 2019, our IND was cleared for Phase 2 trial initiation. Prior to the clinical pause, the ASCEND WAIHA trial explored the potential of IMVT-1401 to increase hemoglobin levels and assess the safety and tolerability of IMVT-1401 in this population. Subjects in this trial were treated with one of two doses of IMVT-1401 (680 mg or 340 mg) administered weekly by subcutaneous injection for 12 weeks. The primary endpoint of this trial is the proportion of responders, defined as subjects achieving a hemoglobin level of at least 10 g/dL and at least a 2 g/dL increase from baseline. Secondary endpoints include change from baseline in other hematologic and chemistry parameters, time to response, patient reported outcome measures, total IgG antibodies and IgG antibodies by subclasses.</w:t>
      </w:r>
    </w:p>
    <w:p>
      <w:pPr>
        <w:spacing w:after="0" w:line="10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For our open lable trial, ASCEN WAIHA, we plan to initiate discussions with the FDA following alignment on our MG program and, based on a favorable outcome from these meetings, we anticipate re-initiating our WAIHA program after re-initiating our MG program.</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IMVT-1401 for the Treatment of Thyroid Eye Disease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TED overview and limitations of current treatments</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TED is an autoimmune inflammatory disorder that affects the muscles and other tissues around the eyes and can ultimately be sight-threatening. TED has an estimated annual incidence of 16 in 100,000 women and 2.9 in 100,000 men in North America and Europe. The natural history of TED begins with an inflammatory phase lasting between six and 24 months. Treatment of patients with immunosuppressive therapies during this active inflammatory phase can lead to reduction in symptoms and can alter the course of the disease. However, once the initial inflammatory phase is over, immunosuppressive therapies are ineffective and levels of fibrosis that have developed as the result of acute inflammation are only reversible by surgery. We estimate that 15,000 to 20,000</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72"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patients in the United States have active inflammatory TED and are eligible for treatment. There are few treatment options currently available for TED patients. As a first option, patients with active TED are treated with immunosuppressive therapy such as high doses of corticosteroids, typically administered intravenously or orally. Corticosteroids are not effective in all patients, and approximately one-third of patients will relapse. This therapy is associated with an increased risk of acute and severe organ damage, bone thinning, weight gain, diabetes, hypertension, osteoporosis and depression. In January 2020, the FDA approved Horizon Therapeutics’ Tepezza (teprotumumab), an anti-IGF-1R antibody, for the treatment of TED. Orbital radiation therapy may reduce the infiltration of lymphocytes and can be used in conjunction with corticosteroids or immunosuppressive therapy. Similar to these anti-inflammatory and immunosuppressive drugs, radiation therapy is most effective in the active stage of TED. Patients with moderate-to-severe active TED which is still in the active stage and who do not respond adequately to corticosteroids can be treated with cyclosporine or mycophenolate mofetil, two broad immunosuppressive drugs. These powerful drugs are associated with numerous general immunosuppressive side effects as well as inherent toxicities, such as hypertension, kidney disease, and gastrointestinal toxicity. Small case studies have identified Roche’s Rituxan (rituximab) as an alternate way of inducing immunosuppression in patients with TED. However, rituximab is associated with the potential for serious side effects, such as infusion-related reactions. Surgery is considered to be a treatment option in patients with a high Clinical Activity Score (“CAS”), a measure of disease activity in TED patients, who have been treated with corticosteroids or immunosuppressive therapy but continue to have progressive disease. The goal of surgery is to reduce the pressure causing proptosis, reduced eye movement and loss of visual acuity. Due to its invasive nature, surgery is typically reserved for inactive disease.</w:t>
      </w:r>
    </w:p>
    <w:p>
      <w:pPr>
        <w:spacing w:after="0" w:line="122"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We believe that a therapy for TED focused on addressing the cause of the disease, namely the presence of autoimmune antibodies, represents an attractive approach that has the potential to avoid many of the serious side effects of current therapies. Because the mode of action of IMVT-1401 is independent of the antigen recognized by the autoimmune antibodies, we believe that IMVT-1401 can address TED that arises through any IgG autoantibody mechanism whether it be anti-TSHR, anti-IGF1R, or any other IgG autoantibodies.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In March 2020, we announced initial results from our ASCEND GO-1 trial, an open label single-arm Phase 2a clinical trial of IMVT-1401 in Canada in patients with TED. Subjects recruited for this trial have moderate-to-severe active TED with confirmed autoantibodies to TSHR. A total of seven subjects were dosed weekly with SC injections for six weeks. Subjects received a 680 mg dose for the first two administrations of the study followed by a 340 mg dose for the final four administrations. The primary endpoints of this trial were safety and tolerability of IMVT-1401 over the six-week treatment period, as well as the change from baseline in levels of anti-TSHR antibodies, total IgG antibodies and IgG antibodies by subclasses. Secondary clinical endpoints included mean changes in proptosis, or protrusion of the eyeball, the proptosis responder rate, defined as the percentage of subjects with a greater than or equal to 2 mm reduction in proptosis in the study eye without deterioration in the fellow eye, PK and anti-drug antibodies.</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72"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Trial Design of ASCEND GO-1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12065</wp:posOffset>
            </wp:positionV>
            <wp:extent cx="3200400" cy="1554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0400" cy="155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All seven subjects completed the six-week treatment phase of the trial and entered the 12-week follow-up phase. Mean reduction in total IgG levels from baseline to end of treatment was 65%. As evaluated at the end of treatment, four of seven subjects (57%) improved by ³2 points on the CAS. Of six subjects with baseline diplopia, four subjects (67%) demonstrated improvement in diplopia. Three of seven subjects (43%) were proptosis responders. The safety and tolerability profile observed was consistent with the prior Phase 1 trial of IMVT-1401 in 99 healthy volunteers; as previously disclosed, lipid levels were not measured contemporaneously during the Phase 1 and ASCEND GO-1 Phase 2a clinical trials of IMVT-1401. Mean albumin reduction from baseline to end of treatment was 24%. All AEs were mild or moderate and there were no headaches reported.</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October 2019, we initiated dosing in our ASCEND GO-2 trial, a randomized, masked, placebo-controlled Phase 2b clinical trial in 77 subjects with moderate-to-severe active TED with confirmed autoantibodies to TSHR. The ASCEND GO-2 trial explored the potential of IMVT-1401 to improve proptosis and assesses the safety and tolerability of IMVT-1401 in this population. Subjects in this trial were treated with one of three doses of IMVT-1401 (680 mg, 340 mg or 255 mg) or placebo administered weekly by subcutaneous injection for 12 weeks. The primary endpoints of this trial were the proptosis responder rate measured at week 13, defined as the percentage of subjects with a greater than or equal to 2 mm reduction in proptosis in the study eye without deterioration in the fellow eye, and safety and tolerability. Secondary endpoints included the proptosis responder rate measured at weeks 2, 3, 4, 5, 6, 8, 10, 12, 14, 16 and 20, the proportion of subjects with a CAS of 0 or 1, the mean change from baseline in proptosis, CAS, diplopia, ophthalmic improvement and GO-QOL and PK, PD, defined as anti-TSHR antibodies and total IgG and IgG antibodies by subclasses, and anti-drug antibodies. Exploratory endpoints included assessment of CT-measured muscle volume, fat volume, total orbital volume and proptosis, as well as multiple biomarkers including gene expression profiles, pro-inflammatory markers and receptor occupancy.</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72"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Trial Design of ASCEND GO-2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12065</wp:posOffset>
            </wp:positionV>
            <wp:extent cx="3194685" cy="16459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9468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voluntary pause in dosing resulted in unblinding the ASCEND GO-2 trial. As a result, following the last patient last visit of the post-treatment follow-up period, the ASCEND GO-2 trial was terminated. Treatment with IMVT-1401 reduced both IgG and disease specific pathogenic IgG over the 12-week treatment period. However, the efficacy results, based on approximately half the anticipated number of subjects who had reached the week 13 primary efficacy analysis at the time of the termination of the trial, were inconclusive. The primary endpoint of the proportion of proptosis responders was not met, and although not tested statistically, post hoc evaluation of other endpoints measured (CAS and diplopia scores) indicated the desired magnitude of treatment effect likely would not have been achieved. However, levels of IgG were reduced across IMVT-1401 dosing groups, and analysis of the receptor occupancy data suggest binding of IMVT-1401 to the Fc receptor.</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1019" w:firstLine="294"/>
        <w:spacing w:after="0" w:line="379" w:lineRule="auto"/>
        <w:rPr>
          <w:sz w:val="20"/>
          <w:szCs w:val="20"/>
          <w:color w:val="auto"/>
        </w:rPr>
      </w:pPr>
      <w:r>
        <w:rPr>
          <w:rFonts w:ascii="Arial" w:cs="Arial" w:eastAsia="Arial" w:hAnsi="Arial"/>
          <w:sz w:val="10"/>
          <w:szCs w:val="10"/>
          <w:color w:val="auto"/>
        </w:rPr>
        <w:t>For TED, efficacy results based on the data at the time of pausing our ASCEND GO-2 trial were inconclusive. We intend to initiate discussions with regulatory authorities following alignment on our MG program and re-initiate our program in TED after re-initiating our MG program.</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72"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60"/>
        <w:spacing w:after="0"/>
        <w:rPr>
          <w:sz w:val="20"/>
          <w:szCs w:val="20"/>
          <w:color w:val="auto"/>
        </w:rPr>
      </w:pPr>
      <w:r>
        <w:rPr>
          <w:rFonts w:ascii="Arial" w:cs="Arial" w:eastAsia="Arial" w:hAnsi="Arial"/>
          <w:sz w:val="12"/>
          <w:szCs w:val="12"/>
          <w:b w:val="1"/>
          <w:bCs w:val="1"/>
          <w:u w:val="single" w:color="auto"/>
          <w:color w:val="auto"/>
        </w:rPr>
        <w:t>Aruvant Overview</w:t>
      </w:r>
    </w:p>
    <w:p>
      <w:pPr>
        <w:spacing w:after="0" w:line="87" w:lineRule="exact"/>
        <w:rPr>
          <w:sz w:val="20"/>
          <w:szCs w:val="20"/>
          <w:color w:val="auto"/>
        </w:rPr>
      </w:pPr>
    </w:p>
    <w:p>
      <w:pPr>
        <w:ind w:left="2260" w:hanging="288"/>
        <w:spacing w:after="0"/>
        <w:tabs>
          <w:tab w:leader="none" w:pos="2260" w:val="left"/>
        </w:tabs>
        <w:numPr>
          <w:ilvl w:val="0"/>
          <w:numId w:val="88"/>
        </w:numPr>
        <w:rPr>
          <w:rFonts w:ascii="Arial" w:cs="Arial" w:eastAsia="Arial" w:hAnsi="Arial"/>
          <w:sz w:val="12"/>
          <w:szCs w:val="12"/>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color w:val="auto"/>
        </w:rPr>
      </w:pPr>
    </w:p>
    <w:p>
      <w:pPr>
        <w:ind w:left="2620" w:right="919" w:hanging="288"/>
        <w:spacing w:after="0" w:line="263"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Aruvant is developing ARU-1801 as a one-time, potentially curative gene therapy for the treatment of sickle cell disease (“SCD”), as well ARU-2801, a gene therapy designed to deliver potentially curative efficacy without the limitations of chronic administration for patients with hypophosphatasia (“HPP”).</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jc w:val="both"/>
        <w:ind w:left="2620" w:right="1019" w:hanging="288"/>
        <w:spacing w:after="0" w:line="323" w:lineRule="auto"/>
        <w:tabs>
          <w:tab w:leader="none" w:pos="2620" w:val="left"/>
        </w:tabs>
        <w:numPr>
          <w:ilvl w:val="1"/>
          <w:numId w:val="88"/>
        </w:numPr>
        <w:rPr>
          <w:rFonts w:ascii="Arial" w:cs="Arial" w:eastAsia="Arial" w:hAnsi="Arial"/>
          <w:sz w:val="11"/>
          <w:szCs w:val="11"/>
          <w:color w:val="auto"/>
        </w:rPr>
      </w:pPr>
      <w:r>
        <w:rPr>
          <w:rFonts w:ascii="Arial" w:cs="Arial" w:eastAsia="Arial" w:hAnsi="Arial"/>
          <w:sz w:val="11"/>
          <w:szCs w:val="11"/>
          <w:color w:val="auto"/>
        </w:rPr>
        <w:t xml:space="preserve">ARU-1801 is an </w:t>
      </w:r>
      <w:r>
        <w:rPr>
          <w:rFonts w:ascii="Arial" w:cs="Arial" w:eastAsia="Arial" w:hAnsi="Arial"/>
          <w:sz w:val="11"/>
          <w:szCs w:val="11"/>
          <w:i w:val="1"/>
          <w:iCs w:val="1"/>
          <w:color w:val="auto"/>
        </w:rPr>
        <w:t>ex vivo</w:t>
      </w:r>
      <w:r>
        <w:rPr>
          <w:rFonts w:ascii="Arial" w:cs="Arial" w:eastAsia="Arial" w:hAnsi="Arial"/>
          <w:sz w:val="11"/>
          <w:szCs w:val="11"/>
          <w:color w:val="auto"/>
        </w:rPr>
        <w:t xml:space="preserve"> lentiviral gene therapy that contains a proprietary gamma-globin gene for a novel, highly potent variant of fetal hemoglobin (“HbF”) and has been observed in preliminary clinical studies to engraft with only reduced intensity conditioning (“RIC”).</w:t>
      </w:r>
    </w:p>
    <w:p>
      <w:pPr>
        <w:spacing w:after="0" w:line="24" w:lineRule="exact"/>
        <w:rPr>
          <w:rFonts w:ascii="Arial" w:cs="Arial" w:eastAsia="Arial" w:hAnsi="Arial"/>
          <w:sz w:val="11"/>
          <w:szCs w:val="11"/>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88"/>
        </w:numPr>
        <w:rPr>
          <w:rFonts w:ascii="Arial" w:cs="Arial" w:eastAsia="Arial" w:hAnsi="Arial"/>
          <w:sz w:val="11"/>
          <w:szCs w:val="11"/>
          <w:color w:val="auto"/>
        </w:rPr>
      </w:pPr>
      <w:r>
        <w:rPr>
          <w:rFonts w:ascii="Arial" w:cs="Arial" w:eastAsia="Arial" w:hAnsi="Arial"/>
          <w:sz w:val="11"/>
          <w:szCs w:val="11"/>
          <w:color w:val="auto"/>
        </w:rPr>
        <w:t>SCD results from a defect in the gene that encodes beta-globin, a component of hemoglobin, the protein that carries oxygen in the blood.</w:t>
      </w:r>
    </w:p>
    <w:p>
      <w:pPr>
        <w:spacing w:after="0" w:line="98" w:lineRule="exact"/>
        <w:rPr>
          <w:rFonts w:ascii="Arial" w:cs="Arial" w:eastAsia="Arial" w:hAnsi="Arial"/>
          <w:sz w:val="11"/>
          <w:szCs w:val="11"/>
          <w:color w:val="auto"/>
        </w:rPr>
      </w:pPr>
    </w:p>
    <w:p>
      <w:pPr>
        <w:ind w:left="2620" w:right="959" w:hanging="288"/>
        <w:spacing w:after="0" w:line="276"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The abnormal sickle beta-globin can cause red blood cells to sickle, leading to obstruction of small blood vessels, resulting in pain crises, progressive damage to bones, joints and major organs, and mortality in the mid-40s.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SCD is predominantly concentrated among individuals of African, Middle Eastern, South American and South Asian descent.</w:t>
      </w:r>
    </w:p>
    <w:p>
      <w:pPr>
        <w:spacing w:after="0" w:line="87" w:lineRule="exact"/>
        <w:rPr>
          <w:rFonts w:ascii="Arial" w:cs="Arial" w:eastAsia="Arial" w:hAnsi="Arial"/>
          <w:sz w:val="12"/>
          <w:szCs w:val="12"/>
          <w:color w:val="auto"/>
        </w:rPr>
      </w:pPr>
    </w:p>
    <w:p>
      <w:pPr>
        <w:ind w:left="2620" w:right="999" w:hanging="288"/>
        <w:spacing w:after="0" w:line="276"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An estimated 100,000 people in the U.S. and 125,000 people in the E.U. suffer from SCD, with approximately 100,000 of these patients experiencing severe disease.</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Common treatment for patients with SCD is the oral cytotoxic agent hydroxyurea which is required to be taken daily.</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For patients experiencing a vaso-occlusive episode (“VOE”), only palliative therapy is currently available; treatment typically consists of hydration, oxygenation and analgesia for pain often requiring oral or intervenous opioids.</w:t>
      </w:r>
    </w:p>
    <w:p>
      <w:pPr>
        <w:spacing w:after="0" w:line="51" w:lineRule="exact"/>
        <w:rPr>
          <w:rFonts w:ascii="Arial" w:cs="Arial" w:eastAsia="Arial" w:hAnsi="Arial"/>
          <w:sz w:val="12"/>
          <w:szCs w:val="12"/>
          <w:color w:val="auto"/>
        </w:rPr>
      </w:pPr>
    </w:p>
    <w:p>
      <w:pPr>
        <w:ind w:left="2620" w:right="859" w:hanging="288"/>
        <w:spacing w:after="0" w:line="259"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One potentially curative treatment available for patients with sickle cell disease is allogeneic hematopoietic stem cell transplant, in which a patient’s own bone marrow is replaced by that of a healthy donor. According to an analysis of data from the National Marrow Donor Program, fewer than 15% of sickle cell patients have a sibling matched donor. Additionally, allogeneic transplant comes with the risk of graft rejection and graft versus host disease.</w:t>
      </w:r>
    </w:p>
    <w:p>
      <w:pPr>
        <w:spacing w:after="0" w:line="61" w:lineRule="exact"/>
        <w:rPr>
          <w:rFonts w:ascii="Arial" w:cs="Arial" w:eastAsia="Arial" w:hAnsi="Arial"/>
          <w:sz w:val="12"/>
          <w:szCs w:val="12"/>
          <w:color w:val="auto"/>
        </w:rPr>
      </w:pPr>
    </w:p>
    <w:p>
      <w:pPr>
        <w:ind w:left="2620" w:right="1459" w:hanging="288"/>
        <w:spacing w:after="0" w:line="276"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Other gene therapies are in development as a potential cure; however, unlike ARU-1801, they require the use of myeloablative chemotherapy.</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899" w:hanging="288"/>
        <w:spacing w:after="0" w:line="276"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All study participants for whom sufficient follow-up has been completed have realized clinically meaningful reductions in disease burden, as seen with significant reductions in hospitalized VOEs and total VOEs.</w:t>
      </w:r>
    </w:p>
    <w:p>
      <w:pPr>
        <w:spacing w:after="0" w:line="51" w:lineRule="exact"/>
        <w:rPr>
          <w:rFonts w:ascii="Arial" w:cs="Arial" w:eastAsia="Arial" w:hAnsi="Arial"/>
          <w:sz w:val="12"/>
          <w:szCs w:val="12"/>
          <w:color w:val="auto"/>
        </w:rPr>
      </w:pPr>
    </w:p>
    <w:p>
      <w:pPr>
        <w:ind w:left="2620" w:right="959" w:hanging="288"/>
        <w:spacing w:after="0" w:line="263" w:lineRule="auto"/>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These participants have experienced durable engraftment and improvement in SCD burden without the use of myeloablative chemotherapy. The two patients who have received product manufactured with an updated process have experienced complete resolution of VOEs out to 18 and 12 months post-treatment.</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We are currently conducting the MOMENTUM Phase 1/2 study of ARU-1801 in patients with severe sickle cell disease.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88"/>
        </w:numPr>
        <w:rPr>
          <w:rFonts w:ascii="Arial" w:cs="Arial" w:eastAsia="Arial" w:hAnsi="Arial"/>
          <w:sz w:val="12"/>
          <w:szCs w:val="12"/>
          <w:color w:val="auto"/>
        </w:rPr>
      </w:pPr>
      <w:r>
        <w:rPr>
          <w:rFonts w:ascii="Arial" w:cs="Arial" w:eastAsia="Arial" w:hAnsi="Arial"/>
          <w:sz w:val="12"/>
          <w:szCs w:val="12"/>
          <w:color w:val="auto"/>
        </w:rPr>
        <w:t>We expect to initiate a pivotal trial in the first half of calendar year 2023.</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72"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89"/>
        </w:numPr>
        <w:rPr>
          <w:rFonts w:ascii="Arial" w:cs="Arial" w:eastAsia="Arial" w:hAnsi="Arial"/>
          <w:sz w:val="11"/>
          <w:szCs w:val="11"/>
          <w:color w:val="auto"/>
        </w:rPr>
      </w:pPr>
      <w:r>
        <w:rPr>
          <w:rFonts w:ascii="Arial" w:cs="Arial" w:eastAsia="Arial" w:hAnsi="Arial"/>
          <w:sz w:val="11"/>
          <w:szCs w:val="11"/>
          <w:color w:val="auto"/>
        </w:rPr>
        <w:t>As of June 30, 2021, we own 88% of the issued and outstanding Common Shares of Aruvant and 79% on a fully diluted basis.</w:t>
      </w:r>
    </w:p>
    <w:p>
      <w:pPr>
        <w:spacing w:after="0" w:line="94" w:lineRule="exact"/>
        <w:rPr>
          <w:rFonts w:ascii="Arial" w:cs="Arial" w:eastAsia="Arial" w:hAnsi="Arial"/>
          <w:sz w:val="11"/>
          <w:szCs w:val="11"/>
          <w:color w:val="auto"/>
        </w:rPr>
      </w:pPr>
    </w:p>
    <w:p>
      <w:pPr>
        <w:ind w:left="2260" w:hanging="288"/>
        <w:spacing w:after="0"/>
        <w:tabs>
          <w:tab w:leader="none" w:pos="226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12065</wp:posOffset>
            </wp:positionV>
            <wp:extent cx="3463290" cy="417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63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ARU-1801</w:t>
      </w:r>
    </w:p>
    <w:p>
      <w:pPr>
        <w:spacing w:after="0" w:line="82"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auto"/>
        </w:rPr>
        <w:t xml:space="preserve">ARU-1801 is an </w:t>
      </w:r>
      <w:r>
        <w:rPr>
          <w:rFonts w:ascii="Arial" w:cs="Arial" w:eastAsia="Arial" w:hAnsi="Arial"/>
          <w:sz w:val="12"/>
          <w:szCs w:val="12"/>
          <w:i w:val="1"/>
          <w:iCs w:val="1"/>
          <w:color w:val="auto"/>
        </w:rPr>
        <w:t>ex vivo</w:t>
      </w:r>
      <w:r>
        <w:rPr>
          <w:rFonts w:ascii="Arial" w:cs="Arial" w:eastAsia="Arial" w:hAnsi="Arial"/>
          <w:sz w:val="12"/>
          <w:szCs w:val="12"/>
          <w:color w:val="auto"/>
        </w:rPr>
        <w:t xml:space="preserve"> gene therapy with the ability to engraft with only reduced intensity conditioning (“RIC”). ARU-1801 uses a self-</w:t>
      </w:r>
    </w:p>
    <w:p>
      <w:pPr>
        <w:spacing w:after="0" w:line="15" w:lineRule="exact"/>
        <w:rPr>
          <w:sz w:val="20"/>
          <w:szCs w:val="20"/>
          <w:color w:val="auto"/>
        </w:rPr>
      </w:pPr>
    </w:p>
    <w:p>
      <w:pPr>
        <w:jc w:val="center"/>
        <w:ind w:right="-940"/>
        <w:spacing w:after="0"/>
        <w:rPr>
          <w:sz w:val="20"/>
          <w:szCs w:val="20"/>
          <w:color w:val="auto"/>
        </w:rPr>
      </w:pPr>
      <w:r>
        <w:rPr>
          <w:rFonts w:ascii="Arial" w:cs="Arial" w:eastAsia="Arial" w:hAnsi="Arial"/>
          <w:sz w:val="11"/>
          <w:szCs w:val="11"/>
          <w:color w:val="auto"/>
        </w:rPr>
        <w:t>inactivating lentiviral vector that contains a proprietary gamma-globin gene for a novel, highly potent variant of fetal hemoglobin (“HbF”): HbF</w:t>
      </w:r>
      <w:r>
        <w:rPr>
          <w:rFonts w:ascii="Arial" w:cs="Arial" w:eastAsia="Arial" w:hAnsi="Arial"/>
          <w:sz w:val="15"/>
          <w:szCs w:val="15"/>
          <w:color w:val="auto"/>
          <w:vertAlign w:val="superscript"/>
        </w:rPr>
        <w:t>G16D</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3040380" cy="811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40380" cy="81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HbF is a more potent anti-sickling globin compared to adult hemoglobin (“HbA”). HbF has mechanistic and clinical benefits observed in SCD, which makes it suitable for the treatment of SCD. HbF disrupts both axial and lateral contacts that cause polymerization of sickle hemoglobin (“HbS”) polymers, and has an approximately 1.5 times higher affinity for oxygen than HbA.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-7620</wp:posOffset>
            </wp:positionV>
            <wp:extent cx="3457575" cy="1491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575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clinical benefits of increasing HbF have been well-described in scientific literature. HbF levels greater than 8.6% improve survival by approximately 16 years in patients with SCD. HbF levels greater than 20% reduce hospitalizations by two to four-fold for vaso-occlusive events and acute chest syndrome. Further, HbF levels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72"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greater than 30% result in asymptomatic disease and patients do not develop sickle cell complications, as demonstrated in patients with SCD who also inherit Hereditary Persistence of Fetal Hemoglobin.</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ARU-1801 originated in the laboratory of Punam Malik, MD, director of the Cincinnati Comprehensive Sickle Cell Center at Cincinnati Children’s Hospital Medical Center (“Cincinnati Children’s”). Dr. Malik previously served as the director of the Cincinnati Children’s Translational Core Services, which developed and manufactured viral vectors for multiple clinical trials. A leading expert in lentiviral gene therapy, stem cell biology and clinical care of hemoglobinopathies, Dr. Malik remains a key scientific advisor to Aruvant.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Potential benefits of ARU-1801</w:t>
      </w:r>
    </w:p>
    <w:p>
      <w:pPr>
        <w:spacing w:after="0" w:line="78"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There are several unique attributes of ARU-1801 that we believe enable the use of reduced intensity conditioning for engraftment, and potential clinical efficacy at lower vector copy number (“VCN”).</w:t>
      </w:r>
    </w:p>
    <w:p>
      <w:pPr>
        <w:spacing w:after="0" w:line="52" w:lineRule="exact"/>
        <w:rPr>
          <w:sz w:val="20"/>
          <w:szCs w:val="20"/>
          <w:color w:val="auto"/>
        </w:rPr>
      </w:pPr>
    </w:p>
    <w:p>
      <w:pPr>
        <w:ind w:left="2260" w:right="919" w:hanging="216"/>
        <w:spacing w:after="0" w:line="234" w:lineRule="auto"/>
        <w:tabs>
          <w:tab w:leader="none" w:pos="2260" w:val="left"/>
        </w:tabs>
        <w:numPr>
          <w:ilvl w:val="0"/>
          <w:numId w:val="90"/>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Proprietary G16D modification drives higher HbF payload per vector copy. </w:t>
      </w:r>
      <w:r>
        <w:rPr>
          <w:rFonts w:ascii="Arial" w:cs="Arial" w:eastAsia="Arial" w:hAnsi="Arial"/>
          <w:sz w:val="11"/>
          <w:szCs w:val="11"/>
          <w:color w:val="auto"/>
        </w:rPr>
        <w:t>A proprietary G16D point mutation that changes glycine (G) 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position 16 to aspartic acid (D) drives higher HbF payload per vector copy. Gamme-globin</w:t>
      </w:r>
      <w:r>
        <w:rPr>
          <w:rFonts w:ascii="Arial" w:cs="Arial" w:eastAsia="Arial" w:hAnsi="Arial"/>
          <w:sz w:val="15"/>
          <w:szCs w:val="15"/>
          <w:color w:val="auto"/>
          <w:vertAlign w:val="superscript"/>
        </w:rPr>
        <w:t>G16D</w:t>
      </w:r>
      <w:r>
        <w:rPr>
          <w:rFonts w:ascii="Arial" w:cs="Arial" w:eastAsia="Arial" w:hAnsi="Arial"/>
          <w:sz w:val="11"/>
          <w:szCs w:val="11"/>
          <w:color w:val="auto"/>
        </w:rPr>
        <w:t xml:space="preserve"> has a higher affinity for alpha-globin and is thus more likely to form HbF, as compared to unmodified gamma-globin. In well-established SCD mouse models, vector encoding gamma-globin</w:t>
      </w:r>
      <w:r>
        <w:rPr>
          <w:rFonts w:ascii="Arial" w:cs="Arial" w:eastAsia="Arial" w:hAnsi="Arial"/>
          <w:sz w:val="15"/>
          <w:szCs w:val="15"/>
          <w:color w:val="auto"/>
          <w:vertAlign w:val="superscript"/>
        </w:rPr>
        <w:t>G16D</w:t>
      </w:r>
      <w:r>
        <w:rPr>
          <w:rFonts w:ascii="Arial" w:cs="Arial" w:eastAsia="Arial" w:hAnsi="Arial"/>
          <w:sz w:val="11"/>
          <w:szCs w:val="11"/>
          <w:color w:val="auto"/>
        </w:rPr>
        <w:t xml:space="preserve"> led to 1.5x to 2x more HbF per vector than vector encoding unmodified gamma-globin.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1270</wp:posOffset>
            </wp:positionV>
            <wp:extent cx="3457575" cy="10915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57575" cy="109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60" w:right="919" w:hanging="216"/>
        <w:spacing w:after="0" w:line="264" w:lineRule="auto"/>
        <w:tabs>
          <w:tab w:leader="none" w:pos="2260" w:val="left"/>
        </w:tabs>
        <w:numPr>
          <w:ilvl w:val="0"/>
          <w:numId w:val="91"/>
        </w:numPr>
        <w:rPr>
          <w:rFonts w:ascii="Arial" w:cs="Arial" w:eastAsia="Arial" w:hAnsi="Arial"/>
          <w:sz w:val="11"/>
          <w:szCs w:val="11"/>
          <w:color w:val="auto"/>
        </w:rPr>
      </w:pPr>
      <w:r>
        <w:rPr>
          <w:rFonts w:ascii="Arial" w:cs="Arial" w:eastAsia="Arial" w:hAnsi="Arial"/>
          <w:sz w:val="11"/>
          <w:szCs w:val="11"/>
          <w:b w:val="1"/>
          <w:bCs w:val="1"/>
          <w:i w:val="1"/>
          <w:iCs w:val="1"/>
          <w:color w:val="auto"/>
        </w:rPr>
        <w:t>High HbF</w:t>
      </w:r>
      <w:r>
        <w:rPr>
          <w:rFonts w:ascii="Arial" w:cs="Arial" w:eastAsia="Arial" w:hAnsi="Arial"/>
          <w:sz w:val="15"/>
          <w:szCs w:val="15"/>
          <w:b w:val="1"/>
          <w:bCs w:val="1"/>
          <w:i w:val="1"/>
          <w:iCs w:val="1"/>
          <w:color w:val="auto"/>
          <w:vertAlign w:val="superscript"/>
        </w:rPr>
        <w:t>G16D</w:t>
      </w:r>
      <w:r>
        <w:rPr>
          <w:rFonts w:ascii="Arial" w:cs="Arial" w:eastAsia="Arial" w:hAnsi="Arial"/>
          <w:sz w:val="11"/>
          <w:szCs w:val="11"/>
          <w:b w:val="1"/>
          <w:bCs w:val="1"/>
          <w:i w:val="1"/>
          <w:iCs w:val="1"/>
          <w:color w:val="auto"/>
        </w:rPr>
        <w:t xml:space="preserve"> payload may have a more potent clinical anti-sickling effect than endogenous HbF. </w:t>
      </w:r>
      <w:r>
        <w:rPr>
          <w:rFonts w:ascii="Arial" w:cs="Arial" w:eastAsia="Arial" w:hAnsi="Arial"/>
          <w:sz w:val="11"/>
          <w:szCs w:val="11"/>
          <w:color w:val="auto"/>
        </w:rPr>
        <w:t>HbF</w:t>
      </w:r>
      <w:r>
        <w:rPr>
          <w:rFonts w:ascii="Arial" w:cs="Arial" w:eastAsia="Arial" w:hAnsi="Arial"/>
          <w:sz w:val="15"/>
          <w:szCs w:val="15"/>
          <w:color w:val="auto"/>
          <w:vertAlign w:val="superscript"/>
        </w:rPr>
        <w:t>G16D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may have a more potent anti-sickling effect than endogenous HbF. In preclinical studies, a lower percentage of reticulocytes indicates less sickling and hemolysis. At the same level percentage of HbF, highlighted below, HbF</w:t>
      </w:r>
      <w:r>
        <w:rPr>
          <w:rFonts w:ascii="Arial" w:cs="Arial" w:eastAsia="Arial" w:hAnsi="Arial"/>
          <w:sz w:val="15"/>
          <w:szCs w:val="15"/>
          <w:color w:val="auto"/>
          <w:vertAlign w:val="superscript"/>
        </w:rPr>
        <w:t>G16D</w:t>
      </w:r>
      <w:r>
        <w:rPr>
          <w:rFonts w:ascii="Arial" w:cs="Arial" w:eastAsia="Arial" w:hAnsi="Arial"/>
          <w:sz w:val="11"/>
          <w:szCs w:val="11"/>
          <w:color w:val="auto"/>
        </w:rPr>
        <w:t xml:space="preserve"> is superior to endogenous HbF at reducing reticulocyte count.</w:t>
      </w:r>
    </w:p>
    <w:p>
      <w:pPr>
        <w:spacing w:after="0" w:line="1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72"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Hemolysis in SCD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12065</wp:posOffset>
            </wp:positionV>
            <wp:extent cx="1943100" cy="17202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43100"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60" w:right="899" w:hanging="216"/>
        <w:spacing w:after="0" w:line="266" w:lineRule="auto"/>
        <w:tabs>
          <w:tab w:leader="none" w:pos="2260" w:val="left"/>
        </w:tabs>
        <w:numPr>
          <w:ilvl w:val="0"/>
          <w:numId w:val="92"/>
        </w:numPr>
        <w:rPr>
          <w:rFonts w:ascii="Arial" w:cs="Arial" w:eastAsia="Arial" w:hAnsi="Arial"/>
          <w:sz w:val="12"/>
          <w:szCs w:val="12"/>
          <w:color w:val="auto"/>
        </w:rPr>
      </w:pPr>
      <w:r>
        <w:rPr>
          <w:rFonts w:ascii="Arial" w:cs="Arial" w:eastAsia="Arial" w:hAnsi="Arial"/>
          <w:sz w:val="12"/>
          <w:szCs w:val="12"/>
          <w:b w:val="1"/>
          <w:bCs w:val="1"/>
          <w:i w:val="1"/>
          <w:iCs w:val="1"/>
          <w:color w:val="auto"/>
        </w:rPr>
        <w:t>Our proprietary stemness enhancer facilitates engraftment</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cellular manufacturing process leverages a proprietary stemness enhancer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facilitate the transduction and engraftment of more true stem cells. Stemness enhancers allow for a higher chance of engraftment for a given VCN compared to engraftment without a stemness enhancer,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-8255</wp:posOffset>
            </wp:positionV>
            <wp:extent cx="3457575" cy="13944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57575"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60" w:right="899" w:hanging="216"/>
        <w:spacing w:after="0" w:line="276" w:lineRule="auto"/>
        <w:tabs>
          <w:tab w:leader="none" w:pos="2260" w:val="left"/>
        </w:tabs>
        <w:numPr>
          <w:ilvl w:val="0"/>
          <w:numId w:val="93"/>
        </w:numPr>
        <w:rPr>
          <w:rFonts w:ascii="Arial" w:cs="Arial" w:eastAsia="Arial" w:hAnsi="Arial"/>
          <w:sz w:val="12"/>
          <w:szCs w:val="12"/>
          <w:color w:val="auto"/>
        </w:rPr>
      </w:pPr>
      <w:r>
        <w:rPr>
          <w:rFonts w:ascii="Arial" w:cs="Arial" w:eastAsia="Arial" w:hAnsi="Arial"/>
          <w:sz w:val="12"/>
          <w:szCs w:val="12"/>
          <w:b w:val="1"/>
          <w:bCs w:val="1"/>
          <w:i w:val="1"/>
          <w:iCs w:val="1"/>
          <w:color w:val="auto"/>
        </w:rPr>
        <w:t>Ability to engraft using only reduced intensity conditioning</w:t>
      </w:r>
      <w:r>
        <w:rPr>
          <w:rFonts w:ascii="Arial" w:cs="Arial" w:eastAsia="Arial" w:hAnsi="Arial"/>
          <w:sz w:val="12"/>
          <w:szCs w:val="12"/>
          <w:color w:val="auto"/>
        </w:rPr>
        <w:t>. In preliminary clinical studies, ARU-1801 demonstrated engraftment and the ability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deliver potentially curative treatment without fully myeloablative chemotherapy.</w:t>
      </w:r>
    </w:p>
    <w:p>
      <w:pPr>
        <w:spacing w:after="0" w:line="42" w:lineRule="exact"/>
        <w:rPr>
          <w:rFonts w:ascii="Arial" w:cs="Arial" w:eastAsia="Arial" w:hAnsi="Arial"/>
          <w:sz w:val="12"/>
          <w:szCs w:val="12"/>
          <w:color w:val="auto"/>
        </w:rPr>
      </w:pPr>
    </w:p>
    <w:p>
      <w:pPr>
        <w:ind w:left="2260" w:right="1119"/>
        <w:spacing w:after="0" w:line="238" w:lineRule="auto"/>
        <w:rPr>
          <w:rFonts w:ascii="Arial" w:cs="Arial" w:eastAsia="Arial" w:hAnsi="Arial"/>
          <w:sz w:val="12"/>
          <w:szCs w:val="12"/>
          <w:color w:val="auto"/>
        </w:rPr>
      </w:pPr>
      <w:r>
        <w:rPr>
          <w:rFonts w:ascii="Arial" w:cs="Arial" w:eastAsia="Arial" w:hAnsi="Arial"/>
          <w:sz w:val="11"/>
          <w:szCs w:val="11"/>
          <w:color w:val="auto"/>
        </w:rPr>
        <w:t>We believe that the RIC regimen used for ARU-1801, melphalan 140mg/m</w:t>
      </w:r>
      <w:r>
        <w:rPr>
          <w:rFonts w:ascii="Arial" w:cs="Arial" w:eastAsia="Arial" w:hAnsi="Arial"/>
          <w:sz w:val="15"/>
          <w:szCs w:val="15"/>
          <w:color w:val="auto"/>
          <w:vertAlign w:val="superscript"/>
        </w:rPr>
        <w:t>2</w:t>
      </w:r>
      <w:r>
        <w:rPr>
          <w:rFonts w:ascii="Arial" w:cs="Arial" w:eastAsia="Arial" w:hAnsi="Arial"/>
          <w:sz w:val="11"/>
          <w:szCs w:val="11"/>
          <w:color w:val="auto"/>
        </w:rPr>
        <w:t>, may provide significant clinical benefits compared to the higher intensity myeloablative busulfan-based regimen used by the other investigational SCD gene therapy candidates, including:</w:t>
      </w:r>
    </w:p>
    <w:p>
      <w:pPr>
        <w:spacing w:after="0" w:line="72" w:lineRule="exact"/>
        <w:rPr>
          <w:rFonts w:ascii="Arial" w:cs="Arial" w:eastAsia="Arial" w:hAnsi="Arial"/>
          <w:sz w:val="12"/>
          <w:szCs w:val="12"/>
          <w:color w:val="auto"/>
        </w:rPr>
      </w:pPr>
    </w:p>
    <w:p>
      <w:pPr>
        <w:ind w:left="2920" w:hanging="219"/>
        <w:spacing w:after="0"/>
        <w:tabs>
          <w:tab w:leader="none" w:pos="2920" w:val="left"/>
        </w:tabs>
        <w:numPr>
          <w:ilvl w:val="1"/>
          <w:numId w:val="93"/>
        </w:numPr>
        <w:rPr>
          <w:rFonts w:ascii="Arial" w:cs="Arial" w:eastAsia="Arial" w:hAnsi="Arial"/>
          <w:sz w:val="12"/>
          <w:szCs w:val="12"/>
          <w:color w:val="auto"/>
        </w:rPr>
      </w:pPr>
      <w:r>
        <w:rPr>
          <w:rFonts w:ascii="Arial" w:cs="Arial" w:eastAsia="Arial" w:hAnsi="Arial"/>
          <w:sz w:val="12"/>
          <w:szCs w:val="12"/>
          <w:color w:val="auto"/>
        </w:rPr>
        <w:t>reduced duration of neutropenia and thrombocytopenia;</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72"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19"/>
        <w:spacing w:after="0"/>
        <w:tabs>
          <w:tab w:leader="none" w:pos="29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potential for outpatient administration, which would significantly reduce resource utilization in the health care setting;</w:t>
      </w:r>
    </w:p>
    <w:p>
      <w:pPr>
        <w:spacing w:after="0" w:line="87" w:lineRule="exact"/>
        <w:rPr>
          <w:rFonts w:ascii="Arial" w:cs="Arial" w:eastAsia="Arial" w:hAnsi="Arial"/>
          <w:sz w:val="12"/>
          <w:szCs w:val="12"/>
          <w:color w:val="auto"/>
        </w:rPr>
      </w:pPr>
    </w:p>
    <w:p>
      <w:pPr>
        <w:ind w:left="3360" w:right="959" w:hanging="362"/>
        <w:spacing w:after="0" w:line="298" w:lineRule="auto"/>
        <w:tabs>
          <w:tab w:leader="none" w:pos="33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reduced intensity conditioning with melphalan for autologous transplants has required a median hospital stay between 0-5 days within 30 days of infusion, which represents a significant improvement in both patient experience and reduction in health care cost compared to myeloablative conditioning regimens that require a median hospital stay of 44 days; and</w:t>
      </w:r>
    </w:p>
    <w:p>
      <w:pPr>
        <w:spacing w:after="0" w:line="41" w:lineRule="exact"/>
        <w:rPr>
          <w:rFonts w:ascii="Arial" w:cs="Arial" w:eastAsia="Arial" w:hAnsi="Arial"/>
          <w:sz w:val="11"/>
          <w:szCs w:val="11"/>
          <w:color w:val="auto"/>
        </w:rPr>
      </w:pPr>
    </w:p>
    <w:p>
      <w:pPr>
        <w:ind w:left="2920" w:right="1139" w:hanging="219"/>
        <w:spacing w:after="0" w:line="276" w:lineRule="auto"/>
        <w:tabs>
          <w:tab w:leader="none" w:pos="29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reduced likelihood to result in infertility, with a risk of ovarian failure around 30-40% compared to 70-80% with myeloablative regimens.</w:t>
      </w:r>
    </w:p>
    <w:p>
      <w:pPr>
        <w:spacing w:after="0" w:line="43" w:lineRule="exact"/>
        <w:rPr>
          <w:sz w:val="20"/>
          <w:szCs w:val="20"/>
          <w:color w:val="auto"/>
        </w:rPr>
      </w:pPr>
    </w:p>
    <w:p>
      <w:pPr>
        <w:ind w:left="2260" w:right="1039"/>
        <w:spacing w:after="0" w:line="263" w:lineRule="auto"/>
        <w:rPr>
          <w:sz w:val="20"/>
          <w:szCs w:val="20"/>
          <w:color w:val="auto"/>
        </w:rPr>
      </w:pPr>
      <w:r>
        <w:rPr>
          <w:rFonts w:ascii="Arial" w:cs="Arial" w:eastAsia="Arial" w:hAnsi="Arial"/>
          <w:sz w:val="12"/>
          <w:szCs w:val="12"/>
          <w:color w:val="auto"/>
        </w:rPr>
        <w:t>High-intensity fully myeloablative conditioning regimens have been associated with increased risk of malignancy. The reduced-intensity melphalan-based conditioning regimens for autologous transplants in the setting of multiple myeloma have been associated with a 0.2% risk of AML and a 1-1.4% combined risk of AML and other secondary hematologic malignancies.</w:t>
      </w:r>
    </w:p>
    <w:p>
      <w:pPr>
        <w:spacing w:after="0" w:line="262" w:lineRule="exact"/>
        <w:rPr>
          <w:sz w:val="20"/>
          <w:szCs w:val="20"/>
          <w:color w:val="auto"/>
        </w:rPr>
      </w:pPr>
    </w:p>
    <w:p>
      <w:pPr>
        <w:ind w:left="2080"/>
        <w:spacing w:after="0"/>
        <w:rPr>
          <w:sz w:val="20"/>
          <w:szCs w:val="20"/>
          <w:color w:val="auto"/>
        </w:rPr>
      </w:pPr>
      <w:r>
        <w:rPr>
          <w:rFonts w:ascii="Arial" w:cs="Arial" w:eastAsia="Arial" w:hAnsi="Arial"/>
          <w:sz w:val="10"/>
          <w:szCs w:val="10"/>
          <w:b w:val="1"/>
          <w:bCs w:val="1"/>
          <w:color w:val="auto"/>
        </w:rPr>
        <w:t>ARU-1801 with reduced intensity conditioning (melphalan 140mg/m2) has the potential to provide benefit to patients, providers and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26670</wp:posOffset>
            </wp:positionV>
            <wp:extent cx="3457575" cy="1183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5757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Arial" w:cs="Arial" w:eastAsia="Arial" w:hAnsi="Arial"/>
          <w:sz w:val="10"/>
          <w:szCs w:val="10"/>
          <w:color w:val="auto"/>
        </w:rPr>
        <w:t>Table reflects combination of gene therapy protocols, reported results from gene therapy trials, and literature on the use of these conditioning agents in other settings.</w:t>
      </w:r>
    </w:p>
    <w:p>
      <w:pPr>
        <w:spacing w:after="0" w:line="65" w:lineRule="exact"/>
        <w:rPr>
          <w:sz w:val="20"/>
          <w:szCs w:val="20"/>
          <w:color w:val="auto"/>
        </w:rPr>
      </w:pPr>
    </w:p>
    <w:p>
      <w:pPr>
        <w:ind w:left="2120" w:right="879" w:hanging="148"/>
        <w:spacing w:after="0" w:line="214" w:lineRule="auto"/>
        <w:tabs>
          <w:tab w:leader="none" w:pos="2120" w:val="left"/>
        </w:tabs>
        <w:numPr>
          <w:ilvl w:val="0"/>
          <w:numId w:val="95"/>
        </w:numPr>
        <w:rPr>
          <w:rFonts w:ascii="Arial" w:cs="Arial" w:eastAsia="Arial" w:hAnsi="Arial"/>
          <w:sz w:val="10"/>
          <w:szCs w:val="10"/>
          <w:color w:val="auto"/>
        </w:rPr>
      </w:pPr>
      <w:r>
        <w:rPr>
          <w:rFonts w:ascii="Arial" w:cs="Arial" w:eastAsia="Arial" w:hAnsi="Arial"/>
          <w:sz w:val="10"/>
          <w:szCs w:val="10"/>
          <w:color w:val="auto"/>
        </w:rPr>
        <w:t>Dose adjusted to a targeted AUC for busulfan of 4200 µM*min. 1. bluebird bio ASGCT 2020. Resolution of Sickle Cell Disease (SCD) Manifestations in Patients Treated with LentiGlobin Gene Therapy: Updated Results of Phase 1/2 HGB-206 Group C Study. 2. Based on data from 3 ARU-1801 patients. 3. Busulfan label; seizure prophylaxis required but not with phenytoin due to PK interaction with busulfan. 4. ALKERAN label. 5. Estimated based on Kaplan-Meier plot in post-pubescent female children based on time to elevated FSH level with up to 8 years follow up (Panasuik et al. BJH 2015). 6. ZYNTEGLO EPAR. 7. Boston Medical Center. B Freeman et al. (2014) Bone Marrow Transplantation and Guru Murthy GS et al. (2019) Biol. Blood Marrow Transplant; outpatient autologous HSCT are already performed for multiple myeloma and AL amyloidosis 8. Rescue cell collection required per bluebird bio protocol. 9. Based on Aruvant protocol.</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ARU-1801 for the Treatment of SCD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Sickle cell disease and limitations of current treatments</w:t>
      </w:r>
    </w:p>
    <w:p>
      <w:pPr>
        <w:spacing w:after="0" w:line="78"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SCD results from a defect in the gene that encodes beta-globin, a component of hemoglobin, the protein that carries oxygen in the blood. A proportion of sickled cells rising relative to non-sickled cells can obstruct small blood vessels and reduce blood flow to bones, joints and major organs. This obstruction can cause intense pain and lasting tissue damage. Patients can suffer additional complications such as stroke and frequent infections because of inadequate oxygen delivery to the brain and spleen. Over time repeated tissue damage leads to a loss of vital organ function and a vastly reduced life expectancy; mean age of death in the US for patients with SCD is 44 years. SCD is predominantly concentrated among individuals of African, Middle Eastern, South American</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72"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and South Asian descent. An estimated 100,000 people in the U.S. and 125,000 people in the E.U. suffer from SCD, with approximately 100,000 patients experiencing severe disease. Market research based on a survey of over 100 physicians conducted in 2020 suggests that use of busulfan conditioning is a major barrier to adoption, restricting patient groups eligible or willing to receive treatment. The same survey of physicians suggests that of the patients with severe SCD, they would consider 49% eligible for myeloablative gene therapy, versus 70% that they would consider eligible for gene therapy with a reduced intensity conditioning regimen.</w:t>
      </w:r>
    </w:p>
    <w:p>
      <w:pPr>
        <w:spacing w:after="0" w:line="128"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The oral cytotoxic agent hydroxyurea is a mainstay in the overall management of individuals with SCD since it reduces the incidence of VOEs, decreases hospitalization rates, and prolongs survival. However, its use is significantly limited by its side effect profile, variable patient response and long-term toxicity. For patients experiencing a VOEs, only palliative therapy is currently available; treatment typically consists of hydration, oxygenation and analgesia for pain, usually using intravenous or oral opioids.</w:t>
      </w:r>
    </w:p>
    <w:p>
      <w:pPr>
        <w:spacing w:after="0" w:line="124"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In November 2019, the FDA approved ADAKVEO to reduce the frequency of VOEs in adults and pediatric patients aged 16 years and older with SCD. In November 2019, the FDA also approved Oxbryta for the treatment of SCD in adults and pediatric patients aged 12 years and older. Oxbryta is a once-daily oral therapy that inhibits sickle hemoglobin polymerization.</w:t>
      </w:r>
    </w:p>
    <w:p>
      <w:pPr>
        <w:spacing w:after="0" w:line="122"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One curative treatment available for some patients with SCD is allogeneic hematopoietic stem cell transplant (“HSCT”), in which a patient’s own bone marrow is replaced by that of a healthy donor. However, it requires identification of a suitable donor and carries significant morbidity and mortality risks, including an approximately 7% mortality rate. Ideal sibling matches are only available to approximately 14% of patients. Furthermore, according to the Center for International Blood and Marrow Transplant Research, only 737 HSCTs were performed for the treatment of SCD in the U.S. between 2013 and 2017, highlighting the need to bring alternative curative therapies to the remainder of the estimated 100,000 patients in the U.S. as well as the millions of patients worldwide.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are currently conducting the MOMENTUM Phase 1/2 study of ARU-1801 in patients with severe SCD. Eligible patients include those</w:t>
      </w:r>
    </w:p>
    <w:p>
      <w:pPr>
        <w:spacing w:after="0" w:line="26" w:lineRule="exact"/>
        <w:rPr>
          <w:sz w:val="20"/>
          <w:szCs w:val="20"/>
          <w:color w:val="auto"/>
        </w:rPr>
      </w:pPr>
    </w:p>
    <w:p>
      <w:pPr>
        <w:ind w:left="1980" w:right="959"/>
        <w:spacing w:after="0" w:line="225" w:lineRule="auto"/>
        <w:rPr>
          <w:sz w:val="20"/>
          <w:szCs w:val="20"/>
          <w:color w:val="auto"/>
        </w:rPr>
      </w:pPr>
      <w:r>
        <w:rPr>
          <w:rFonts w:ascii="Arial" w:cs="Arial" w:eastAsia="Arial" w:hAnsi="Arial"/>
          <w:sz w:val="12"/>
          <w:szCs w:val="12"/>
          <w:color w:val="auto"/>
        </w:rPr>
        <w:t>between the age of 18 and 45 that have failed hydroxyurea and are not candidates for allogeneic transplant. After enrollment, patients are transfused to reduce HbS below 30%, stem cells are collected, and patients receive RIC consisting of a single dose of melphalan 140 mg/m</w:t>
      </w:r>
      <w:r>
        <w:rPr>
          <w:rFonts w:ascii="Arial" w:cs="Arial" w:eastAsia="Arial" w:hAnsi="Arial"/>
          <w:sz w:val="16"/>
          <w:szCs w:val="16"/>
          <w:color w:val="auto"/>
          <w:vertAlign w:val="superscript"/>
        </w:rPr>
        <w:t>2</w:t>
      </w:r>
      <w:r>
        <w:rPr>
          <w:rFonts w:ascii="Arial" w:cs="Arial" w:eastAsia="Arial" w:hAnsi="Arial"/>
          <w:sz w:val="12"/>
          <w:szCs w:val="12"/>
          <w:color w:val="auto"/>
        </w:rPr>
        <w:t>. ARU-1801 is manufactured in a two-day period and administered via intravenous infusion.</w:t>
      </w:r>
    </w:p>
    <w:p>
      <w:pPr>
        <w:spacing w:after="0" w:line="136" w:lineRule="exact"/>
        <w:rPr>
          <w:sz w:val="20"/>
          <w:szCs w:val="20"/>
          <w:color w:val="auto"/>
        </w:rPr>
      </w:pPr>
    </w:p>
    <w:p>
      <w:pPr>
        <w:ind w:left="1980" w:right="1239" w:firstLine="294"/>
        <w:spacing w:after="0" w:line="323" w:lineRule="auto"/>
        <w:rPr>
          <w:sz w:val="20"/>
          <w:szCs w:val="20"/>
          <w:color w:val="auto"/>
        </w:rPr>
      </w:pPr>
      <w:r>
        <w:rPr>
          <w:rFonts w:ascii="Arial" w:cs="Arial" w:eastAsia="Arial" w:hAnsi="Arial"/>
          <w:sz w:val="11"/>
          <w:szCs w:val="11"/>
          <w:color w:val="auto"/>
        </w:rPr>
        <w:t>Prior to treating the patients, we looked at the number of VOEs each participant had for the two years prior. The chart below shows that all patients had significant numbers of VOEs before receiving ARU-1801 and while being treated with the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-27305</wp:posOffset>
            </wp:positionV>
            <wp:extent cx="3457575" cy="13544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5757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72"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first two patients were treated before Aruvant licensed the product and updated ARU-1801’s manufacturing process. We made, and continue to make, major investments in continuously improving our manufacturing process. Patients three and four have received product manufactured with an updated process. The first two patients have had a 93 and 85 percent reduction in their VOEs in the two years post-treatment. The more recently treated patients have seen a 100 percent reduction in their VOEs. Patient three is 18 months from treatment and patient four is 12 months from being treated. Below are the results from all four patients.</w:t>
      </w:r>
    </w:p>
    <w:p>
      <w:pPr>
        <w:spacing w:after="0" w:line="268" w:lineRule="exact"/>
        <w:rPr>
          <w:sz w:val="20"/>
          <w:szCs w:val="20"/>
          <w:color w:val="auto"/>
        </w:rPr>
      </w:pPr>
    </w:p>
    <w:p>
      <w:pPr>
        <w:ind w:left="3520"/>
        <w:spacing w:after="0"/>
        <w:rPr>
          <w:sz w:val="20"/>
          <w:szCs w:val="20"/>
          <w:color w:val="auto"/>
        </w:rPr>
      </w:pPr>
      <w:r>
        <w:rPr>
          <w:rFonts w:ascii="Arial" w:cs="Arial" w:eastAsia="Arial" w:hAnsi="Arial"/>
          <w:sz w:val="12"/>
          <w:szCs w:val="12"/>
          <w:b w:val="1"/>
          <w:bCs w:val="1"/>
          <w:color w:val="auto"/>
        </w:rPr>
        <w:t>Treatment with ARU-1801 has resulted in a clinically significant reduction in VOEs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1297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57575" cy="129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ARU-1801 was generally well tolerated, with no ARU-1801 or chemotherapy related serious adverse events reported to date.</w:t>
      </w: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7658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57575"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We are continuing to screen additional patients who may be eligible for ARU-1801 and gathering follow-up data on our patients dosed to date. We also continue to evolve our manufacturing process in preparation for our pivotal trial of ARU-1801 in SCD, which we expect to initiate in the first half of calendar year 2023.</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ARU-2801 for Hypophosphatasia</w:t>
      </w:r>
    </w:p>
    <w:p>
      <w:pPr>
        <w:spacing w:after="0" w:line="82"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also developing ARU-2801, a preclinical adeno-associated virus (“AAV”) gene therapy designed to deliver potentially curative efficacy without the limitations of chronic administration for patients with HPP. This devastating, ultra-orphan disorder can result in multi-organ damage and high mortality when left untreated. HPP is caused by mutations in the gene encoding the tissue non-specific alkaline phosphatase (“TNAP”) enzyme and is wide-ranging in severity. This genetic and chronic disease is most often characterized by limited hydroxyapatite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72"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326" w:lineRule="auto"/>
        <w:rPr>
          <w:sz w:val="20"/>
          <w:szCs w:val="20"/>
          <w:color w:val="auto"/>
        </w:rPr>
      </w:pPr>
      <w:r>
        <w:rPr>
          <w:rFonts w:ascii="Arial" w:cs="Arial" w:eastAsia="Arial" w:hAnsi="Arial"/>
          <w:sz w:val="10"/>
          <w:szCs w:val="10"/>
          <w:color w:val="auto"/>
        </w:rPr>
        <w:t>formation resulting in limited bone mineralization that can lead to destruction and deformity of bones, profound muscle weakness, seizures, respiratory failure and premature death. There are five types of HPP, including perinatal, infantile, childhood, adult and odontohypophosphatasia. There is currently an approved chronic therapy available for perinatal, infantile and juvenile-onset HPP, the enzyme replacement therapy Strensiq (asfotase alfa). Chronic administration, injection site reactions, and poor durability of Strensiq leave high unmet need that we believe ARU-2801 could potentially address.</w:t>
      </w:r>
    </w:p>
    <w:p>
      <w:pPr>
        <w:spacing w:after="0" w:line="95" w:lineRule="exact"/>
        <w:rPr>
          <w:sz w:val="20"/>
          <w:szCs w:val="20"/>
          <w:color w:val="auto"/>
        </w:rPr>
      </w:pPr>
    </w:p>
    <w:p>
      <w:pPr>
        <w:ind w:left="1980" w:right="1139" w:firstLine="294"/>
        <w:spacing w:after="0" w:line="263" w:lineRule="auto"/>
        <w:rPr>
          <w:sz w:val="20"/>
          <w:szCs w:val="20"/>
          <w:color w:val="auto"/>
        </w:rPr>
      </w:pPr>
      <w:r>
        <w:rPr>
          <w:rFonts w:ascii="Arial" w:cs="Arial" w:eastAsia="Arial" w:hAnsi="Arial"/>
          <w:sz w:val="12"/>
          <w:szCs w:val="12"/>
          <w:color w:val="auto"/>
        </w:rPr>
        <w:t>Preclinical research shows that treatment of HPP disease model mice with ARU-2801 results in sustained elevation of TNAP at levels that ameliorated disease symptoms. In a murine model of HPP, ARU-2801 resulted in durable, high levels of ALP and survival to 18 months, as shown below. There was no evidence of ectopic calcifications at these therapeutic doses.</w:t>
      </w: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High ALP levels in HPP murine model (Akp2-/-)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12065</wp:posOffset>
            </wp:positionV>
            <wp:extent cx="3268980" cy="17659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6898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72"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ind w:right="2919"/>
        <w:spacing w:after="0"/>
        <w:rPr>
          <w:sz w:val="20"/>
          <w:szCs w:val="20"/>
          <w:color w:val="auto"/>
        </w:rPr>
      </w:pPr>
      <w:r>
        <w:rPr>
          <w:rFonts w:ascii="Arial" w:cs="Arial" w:eastAsia="Arial" w:hAnsi="Arial"/>
          <w:sz w:val="12"/>
          <w:szCs w:val="12"/>
          <w:b w:val="1"/>
          <w:bCs w:val="1"/>
          <w:color w:val="auto"/>
        </w:rPr>
        <w:t>Durable 18-month OS of 70% in HPP murine model (Akp2-/-)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12065</wp:posOffset>
            </wp:positionV>
            <wp:extent cx="2617470" cy="16687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17470" cy="166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Investigational new drug application-enabling studies are currently underway.</w:t>
      </w:r>
    </w:p>
    <w:p>
      <w:pPr>
        <w:spacing w:after="0" w:line="105"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72"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u w:val="single" w:color="auto"/>
          <w:color w:val="auto"/>
        </w:rPr>
        <w:t>Proteovant Overview</w:t>
      </w:r>
    </w:p>
    <w:p>
      <w:pPr>
        <w:spacing w:after="0" w:line="150" w:lineRule="exact"/>
        <w:rPr>
          <w:sz w:val="20"/>
          <w:szCs w:val="20"/>
          <w:color w:val="auto"/>
        </w:rPr>
      </w:pPr>
    </w:p>
    <w:p>
      <w:pPr>
        <w:ind w:left="4940"/>
        <w:spacing w:after="0"/>
        <w:rPr>
          <w:sz w:val="20"/>
          <w:szCs w:val="20"/>
          <w:color w:val="auto"/>
        </w:rPr>
      </w:pPr>
      <w:r>
        <w:rPr>
          <w:rFonts w:ascii="Arial" w:cs="Arial" w:eastAsia="Arial" w:hAnsi="Arial"/>
          <w:sz w:val="12"/>
          <w:szCs w:val="12"/>
          <w:b w:val="1"/>
          <w:bCs w:val="1"/>
          <w:color w:val="auto"/>
        </w:rPr>
        <w:t>Selected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948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57575" cy="94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Proteovant is enhancing its pipeline with degraders to new targets and novel E3 ligase discovery work through the capabilities described below.</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June 30, 2021, we own 60% of the issued and outstanding Common Shares of Proteovant and 60% on a fully diluted basis.</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Protein degraders</w:t>
      </w:r>
    </w:p>
    <w:p>
      <w:pPr>
        <w:spacing w:after="0" w:line="7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Protein degraders are a novel class of small molecules that target and destroy cellular proteins, rather than inhibiting them. Degraders are small molecules engineered to induce the degradation of specific disease-causing proteins through the ubiquitin-proteasome system (“UPS”), which ordinarily tags and degrades proteins that have been misfolded or have already fulfilled their biological function. In heterobifunctional degraders, the protein ligand domain, commonly referred to as a “warhead,” targets the specific protein of interest. At the other end of the complex, the ligase ligand recruits a specific E3 ubiquitin ligase. Both ends of the complex are connected by a linker that orients the target protein and E3 ligase in a cooperative ternary complex, driving ubiquitination. Similar to heterobifunctional degraders, molecular-glue-type degraders are small molecules that induce a novel interaction between a substrate receptor of an E3 ubiquitin ligase and a target protein leading to proteolysis of the target via UPS.</w:t>
      </w:r>
    </w:p>
    <w:p>
      <w:pPr>
        <w:spacing w:after="0" w:line="11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degraders represent a promising new approach to drug previously “undruggable” targets and transform the treatment of diseases with significant unmet medical need. Degraders open a new set of opportunities for small molecule drug development, with multiple distinct potential advantages over inhibitors:</w:t>
      </w:r>
    </w:p>
    <w:p>
      <w:pPr>
        <w:spacing w:after="0" w:line="59" w:lineRule="exact"/>
        <w:rPr>
          <w:sz w:val="20"/>
          <w:szCs w:val="20"/>
          <w:color w:val="auto"/>
        </w:rPr>
      </w:pPr>
    </w:p>
    <w:p>
      <w:pPr>
        <w:ind w:left="2620" w:right="979" w:hanging="288"/>
        <w:spacing w:after="0" w:line="276" w:lineRule="auto"/>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Not bound by “active site” requirements, allowing degraders to target historically “undruggable” proteins, including transcription factors and scaffolding proteins that lack a catalytic pocket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1"/>
          <w:szCs w:val="11"/>
          <w:color w:val="auto"/>
        </w:rPr>
      </w:pPr>
      <w:r>
        <w:rPr>
          <w:rFonts w:ascii="Arial" w:cs="Arial" w:eastAsia="Arial" w:hAnsi="Arial"/>
          <w:sz w:val="11"/>
          <w:szCs w:val="11"/>
          <w:color w:val="auto"/>
        </w:rPr>
        <w:t>Achieve efficacy at lower doses to decrease dose-limiting toxicities (which have similar but not identical function to the target protein)</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Efficacy in tumors that are resistant to inhibitors, as a function of protein depletion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degrader strategy</w:t>
      </w:r>
    </w:p>
    <w:p>
      <w:pPr>
        <w:spacing w:after="0" w:line="7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We believe we are positioned for leadership in the field of targeted protein degradation given our long-term partnership with a leading academic lab, our degrader-specific ML capabilities, and our well-established clinical development capabilities.</w:t>
      </w:r>
    </w:p>
    <w:p>
      <w:pPr>
        <w:spacing w:after="0" w:line="115"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have access to leading medicinal chemistry capabilities via our long-term partnership with the lab of Dr. Shaomeng Wang, a world-renowned scientist focused on the discovery of protein degraders, at the University of Michigan. Over 15 years, Dr. Wang and his team have developed an initial pipeline of degraders for over 10 targets and have over 50 U.S. patents and hundreds of international patents related to degrader technology. Through our acquisition of Oncopia Therapeutics, which was co-founded by Dr. Wang, we obtained Oncopia’s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72"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pipeline, ongoing work on new targets, broad patent estate and deep knowledge and experience in the degrader space.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expect to initiate a Phase 1 trial for our first degrader candidate in 2022 and rapidly build upon the early pipeline of degraders.</w:t>
      </w:r>
    </w:p>
    <w:p>
      <w:pPr>
        <w:spacing w:after="0" w:line="15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 xml:space="preserve">Our medicinal chemistry and degrader biology expertise are complemented by our degrader-specific ML capabilities. Proteovant has an exclusive partnership with VantAI, which, through its focus on the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design and optimization of targeted protein degraders, has developed a number of powerful and distinctive tools, including:</w:t>
      </w:r>
    </w:p>
    <w:p>
      <w:pPr>
        <w:spacing w:after="0" w:line="59" w:lineRule="exact"/>
        <w:rPr>
          <w:sz w:val="20"/>
          <w:szCs w:val="20"/>
          <w:color w:val="auto"/>
        </w:rPr>
      </w:pPr>
    </w:p>
    <w:p>
      <w:pPr>
        <w:ind w:left="2620" w:right="979" w:hanging="288"/>
        <w:spacing w:after="0" w:line="276" w:lineRule="auto"/>
        <w:tabs>
          <w:tab w:leader="none" w:pos="26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 novel protein contact-first workflow that utilizes information about known protein-protein interactions to build new degraders that can effectively stabilize target-E3 interfaces</w:t>
      </w:r>
    </w:p>
    <w:p>
      <w:pPr>
        <w:spacing w:after="0" w:line="51" w:lineRule="exact"/>
        <w:rPr>
          <w:rFonts w:ascii="Arial" w:cs="Arial" w:eastAsia="Arial" w:hAnsi="Arial"/>
          <w:sz w:val="12"/>
          <w:szCs w:val="12"/>
          <w:color w:val="auto"/>
        </w:rPr>
      </w:pPr>
    </w:p>
    <w:p>
      <w:pPr>
        <w:ind w:left="2620" w:right="959" w:hanging="288"/>
        <w:spacing w:after="0" w:line="323" w:lineRule="auto"/>
        <w:tabs>
          <w:tab w:leader="none" w:pos="26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A degron knowledge graph, which we believe to be industry-leading, that maps the ubiquitin proteasome system and enables the analysis of interactions between E3 ligases and degrons, the protein components that bind to E3 ligases and regulate degradation</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 unique model for predicting degradation based on millions of carefully curated protein stability datapoints</w:t>
      </w:r>
    </w:p>
    <w:p>
      <w:pPr>
        <w:spacing w:after="0" w:line="150"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These techniques may enable quick and effective generation of degrader candidates and facilitate drugging targets with little or no structural information and recruiting novel E3 ligases with no known ligands. We believe that degrader drug development will uniquely benefit from the application of computational approaches because of the combinatorial nature of target binder, linker, and E3 ligase, as well as the ability to bind to the protein of interest outside the active site. Computational techniques can also help predict protein surface conformation changes in the identification of novel molecular glues. Our first VantAI-designed degraders have generated early-stage preclinical data that suggests our computational approach can generate candidates that achieve real-world degradation against multiple relevant targets.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expect to face competition within a growing class of degrader-focused companies. We believe that our computational capabilities provide critical differentiation in an area that is uniquely suited to the application of computational techniques. The combinatorial nature and modularity of degrader structures allows for computational techniques to provide meaningful acceleration in the identification, design and optimization of protein degraders. To our knowledge, no competitor has a computational platform as advanced or robust as the capabilities we have built through our small molecule discovery engine. Today, our preclinical and clinical development organizations, initial pipeline, and long-term access to a leading academic lab are integrated with our computational capabilities. Further, VantAI algorithms have incorporated over five years of real-world laboratory data generated by Dr. Wang’s lab, in turn informing the identification of targets and discovery of novel degraders to further evaluate in the lab and ultimately advance into the clinic.</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AR Degrader for the Treatment of Prostate Cancer</w:t>
      </w:r>
    </w:p>
    <w:p>
      <w:pPr>
        <w:spacing w:after="0" w:line="82"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 xml:space="preserve">Our lead degrader candidate, ARD-1671, is an orally-administered androgen receptor (“AR”) protein degrader currently undergoing IND-enabling studies. ARD-1671 is designed to shut down the AR pathway by targeting and degrading the AR protein, the primary driver of prostate cancer. Based on its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potency and selectivity, as well as its encouraging safety and tolerability demonstrated to date in canine and rat non-GLP dose range finding studies described below, we believe ARD-1671 has the potential to provide meaningful clinical benefit to prostate cancer patients.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Prostate cancer overview</w:t>
      </w:r>
    </w:p>
    <w:p>
      <w:pPr>
        <w:spacing w:after="0" w:line="78"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Prostate cancer is the second most common form of cancer in men, with nearly 200,000 annual new cases in the US alone. Additionally, with over 30,000 annual U.S. deaths, prostate cancer is the second most common cause of cancer death in the US. Prostate cancer occurs more frequently in older men and is associated with</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72"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various other risk factors, including a family history of prostate, breast, or ovarian cancer, high-fat diets or obesity, smoking and maintenance of a sedentary lifestyle. While prostate cancer can be slow-growing, such that some men die of other causes before their cancer, many patients experience metastases to other parts of the body. Prostate cancer that continues to progress following androgen deprivation therapy (“ADT”) is considered to be castration-resistant. It is estimated that over 40,000 cases of metastatic castration-resistant prostate cancer (“mCRPC”) occur annually in the US, with over 20% of all prostate cancer deaths occurring in men with mCRPC.</w:t>
      </w:r>
    </w:p>
    <w:p>
      <w:pPr>
        <w:spacing w:after="0" w:line="113"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AR signaling axis is critical to the development, function and homeostasis of the normal prostate. After binding androgen, cytoplasmic AR translocates to the nucleus, where it activates transcription of target genes. The AR also plays a role in prostate carcinogenesis and progression to androgen-resistant disease and is expressed in nearly all primary prostate cancers.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Limitations of current treatments</w:t>
      </w:r>
    </w:p>
    <w:p>
      <w:pPr>
        <w:spacing w:after="0" w:line="78"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The current prostate cancer treatment paradigm involves the use of AR-targeted therapies throughout the progression of the disease. For more advanced forms of prostate cancer, ADT is one of the primary treatment options. Among the most common ADTs are AR antagonists such as Xtandi (enzalutamide), which functions by blocking AR, and androgen synthesis inhibitors, including Zytiga (abiraterone acetate). While these treatments have been successful in improving patient outcomes, resistance remains a major concern. At least 10% of patients whose disease has spread beyond the prostate on first-line ADT do not experience suppression of prostate-specific antigen (“PSA”), an AR-regulated gene. Additionally, while dramatic initial responses to ADT are often observed, these responses are often not sustained, with median duration of response of up to 18 months, and virtually all patients treated with ADTs ultimately progressing to castration resistance. For patients who do not respond, chemotherapy is often chosen as the next line of treatment, although its use is often postponed due to its severe side effects.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Of patients with mCRPC, including those whose cancer progresses following treatment with androgen receptor signaling inhibitors, between 40% and 50% have alterations involving the AR, suggesting that their tumors may still be driven by AR signaling. Furthermore, progressive disease experienced by patients while undergoing treatment with Xtandi or Zytiga is often accompanied by increase in serum PSA, further suggesting continued AR-driven cellular proliferation. We believe that AR degraders have the potential to improve the response rates and durability achieved with existing AR antagonists and inhibitors by degrading the AR, thereby fully shutting down the AR pathway, both in refractory and earlier-line prostate cancer patients.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In preclinical testing, ARD-1671 has demonstrated high potency and selectivity and has produced encouraging tolerability data in toxicology studies completed to date.</w:t>
      </w:r>
    </w:p>
    <w:p>
      <w:pPr>
        <w:spacing w:after="0" w:line="115" w:lineRule="exact"/>
        <w:rPr>
          <w:sz w:val="20"/>
          <w:szCs w:val="20"/>
          <w:color w:val="auto"/>
        </w:rPr>
      </w:pPr>
    </w:p>
    <w:p>
      <w:pPr>
        <w:ind w:left="1980" w:right="859" w:firstLine="294"/>
        <w:spacing w:after="0" w:line="237" w:lineRule="auto"/>
        <w:rPr>
          <w:sz w:val="20"/>
          <w:szCs w:val="20"/>
          <w:color w:val="auto"/>
        </w:rPr>
      </w:pPr>
      <w:r>
        <w:rPr>
          <w:rFonts w:ascii="Arial" w:cs="Arial" w:eastAsia="Arial" w:hAnsi="Arial"/>
          <w:sz w:val="12"/>
          <w:szCs w:val="12"/>
          <w:color w:val="auto"/>
        </w:rPr>
        <w:t xml:space="preserve">ARD-1671 has shown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activity in wild type AR as well as multiple clinically relevant AR cell lines with known mutations. The table below shows the DC</w:t>
      </w:r>
      <w:r>
        <w:rPr>
          <w:rFonts w:ascii="Arial" w:cs="Arial" w:eastAsia="Arial" w:hAnsi="Arial"/>
          <w:sz w:val="16"/>
          <w:szCs w:val="16"/>
          <w:color w:val="auto"/>
          <w:vertAlign w:val="subscript"/>
        </w:rPr>
        <w:t>50</w:t>
      </w:r>
      <w:r>
        <w:rPr>
          <w:rFonts w:ascii="Arial" w:cs="Arial" w:eastAsia="Arial" w:hAnsi="Arial"/>
          <w:sz w:val="12"/>
          <w:szCs w:val="12"/>
          <w:color w:val="auto"/>
        </w:rPr>
        <w:t>, or the concentration at which half-maximal degradation is achieved at 24 hours, of ARD-1671 in four different cell lines: vertebral cancer of the prostate (“VCaP”), which exhibits wild-type AR; and three cell lines exhibiting mutant AR: lymph node cancer of the prostate (“LNCaP”), 22RV1 and MDA-PCa-2b. Each of these cell lines are well defined populations of cells that have been immortalized from human prostate cancer patients.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6"/>
              </w:rPr>
              <w:t>Cell Line</w:t>
            </w:r>
          </w:p>
        </w:tc>
        <w:tc>
          <w:tcPr>
            <w:tcW w:w="2500" w:type="dxa"/>
            <w:vAlign w:val="bottom"/>
            <w:gridSpan w:val="2"/>
          </w:tcPr>
          <w:p>
            <w:pPr>
              <w:ind w:left="940"/>
              <w:spacing w:after="0"/>
              <w:rPr>
                <w:sz w:val="20"/>
                <w:szCs w:val="20"/>
                <w:color w:val="auto"/>
              </w:rPr>
            </w:pPr>
            <w:r>
              <w:rPr>
                <w:rFonts w:ascii="Arial" w:cs="Arial" w:eastAsia="Arial" w:hAnsi="Arial"/>
                <w:sz w:val="10"/>
                <w:szCs w:val="10"/>
                <w:b w:val="1"/>
                <w:bCs w:val="1"/>
                <w:color w:val="auto"/>
              </w:rPr>
              <w:t>AR Variant</w:t>
            </w:r>
          </w:p>
        </w:tc>
        <w:tc>
          <w:tcPr>
            <w:tcW w:w="2120" w:type="dxa"/>
            <w:vAlign w:val="bottom"/>
          </w:tcPr>
          <w:p>
            <w:pPr>
              <w:ind w:left="840"/>
              <w:spacing w:after="0"/>
              <w:rPr>
                <w:sz w:val="20"/>
                <w:szCs w:val="20"/>
                <w:color w:val="auto"/>
              </w:rPr>
            </w:pPr>
            <w:r>
              <w:rPr>
                <w:rFonts w:ascii="Arial" w:cs="Arial" w:eastAsia="Arial" w:hAnsi="Arial"/>
                <w:sz w:val="10"/>
                <w:szCs w:val="10"/>
                <w:b w:val="1"/>
                <w:bCs w:val="1"/>
                <w:color w:val="auto"/>
              </w:rPr>
              <w:t>DC</w:t>
            </w:r>
            <w:r>
              <w:rPr>
                <w:rFonts w:ascii="Arial" w:cs="Arial" w:eastAsia="Arial" w:hAnsi="Arial"/>
                <w:sz w:val="6"/>
                <w:szCs w:val="6"/>
                <w:b w:val="1"/>
                <w:bCs w:val="1"/>
                <w:color w:val="auto"/>
              </w:rPr>
              <w:t>50</w:t>
            </w:r>
            <w:r>
              <w:rPr>
                <w:rFonts w:ascii="Arial" w:cs="Arial" w:eastAsia="Arial" w:hAnsi="Arial"/>
                <w:sz w:val="10"/>
                <w:szCs w:val="10"/>
                <w:b w:val="1"/>
                <w:bCs w:val="1"/>
                <w:color w:val="auto"/>
              </w:rPr>
              <w:t xml:space="preserve"> (nM)</w:t>
            </w:r>
          </w:p>
        </w:tc>
      </w:tr>
      <w:tr>
        <w:trPr>
          <w:trHeight w:val="124"/>
        </w:trPr>
        <w:tc>
          <w:tcPr>
            <w:tcW w:w="25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89"/>
              </w:rPr>
              <w:t>VCaP</w:t>
            </w:r>
          </w:p>
        </w:tc>
        <w:tc>
          <w:tcPr>
            <w:tcW w:w="160" w:type="dxa"/>
            <w:vAlign w:val="bottom"/>
          </w:tcPr>
          <w:p>
            <w:pPr>
              <w:spacing w:after="0"/>
              <w:rPr>
                <w:sz w:val="10"/>
                <w:szCs w:val="10"/>
                <w:color w:val="auto"/>
              </w:rPr>
            </w:pPr>
          </w:p>
        </w:tc>
        <w:tc>
          <w:tcPr>
            <w:tcW w:w="2340" w:type="dxa"/>
            <w:vAlign w:val="bottom"/>
            <w:tcBorders>
              <w:top w:val="single" w:sz="8" w:color="auto"/>
            </w:tcBorders>
          </w:tcPr>
          <w:p>
            <w:pPr>
              <w:ind w:left="940"/>
              <w:spacing w:after="0" w:line="124" w:lineRule="exact"/>
              <w:rPr>
                <w:sz w:val="20"/>
                <w:szCs w:val="20"/>
                <w:color w:val="auto"/>
              </w:rPr>
            </w:pPr>
            <w:r>
              <w:rPr>
                <w:rFonts w:ascii="Arial" w:cs="Arial" w:eastAsia="Arial" w:hAnsi="Arial"/>
                <w:sz w:val="12"/>
                <w:szCs w:val="12"/>
                <w:color w:val="auto"/>
              </w:rPr>
              <w:t>Wild type</w:t>
            </w:r>
          </w:p>
        </w:tc>
        <w:tc>
          <w:tcPr>
            <w:tcW w:w="160" w:type="dxa"/>
            <w:vAlign w:val="bottom"/>
          </w:tcPr>
          <w:p>
            <w:pPr>
              <w:spacing w:after="0"/>
              <w:rPr>
                <w:sz w:val="10"/>
                <w:szCs w:val="10"/>
                <w:color w:val="auto"/>
              </w:rPr>
            </w:pPr>
          </w:p>
        </w:tc>
        <w:tc>
          <w:tcPr>
            <w:tcW w:w="21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0.05</w:t>
            </w:r>
          </w:p>
        </w:tc>
      </w:tr>
      <w:tr>
        <w:trPr>
          <w:trHeight w:val="144"/>
        </w:trPr>
        <w:tc>
          <w:tcPr>
            <w:tcW w:w="272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LNCaP</w:t>
            </w:r>
          </w:p>
        </w:tc>
        <w:tc>
          <w:tcPr>
            <w:tcW w:w="2500" w:type="dxa"/>
            <w:vAlign w:val="bottom"/>
            <w:gridSpan w:val="2"/>
          </w:tcPr>
          <w:p>
            <w:pPr>
              <w:jc w:val="center"/>
              <w:ind w:right="160"/>
              <w:spacing w:after="0"/>
              <w:rPr>
                <w:sz w:val="20"/>
                <w:szCs w:val="20"/>
                <w:color w:val="auto"/>
              </w:rPr>
            </w:pPr>
            <w:r>
              <w:rPr>
                <w:rFonts w:ascii="Arial" w:cs="Arial" w:eastAsia="Arial" w:hAnsi="Arial"/>
                <w:sz w:val="12"/>
                <w:szCs w:val="12"/>
                <w:color w:val="auto"/>
                <w:w w:val="96"/>
              </w:rPr>
              <w:t>T878A</w:t>
            </w:r>
          </w:p>
        </w:tc>
        <w:tc>
          <w:tcPr>
            <w:tcW w:w="2120" w:type="dxa"/>
            <w:vAlign w:val="bottom"/>
          </w:tcPr>
          <w:p>
            <w:pPr>
              <w:jc w:val="center"/>
              <w:spacing w:after="0"/>
              <w:rPr>
                <w:sz w:val="20"/>
                <w:szCs w:val="20"/>
                <w:color w:val="auto"/>
              </w:rPr>
            </w:pPr>
            <w:r>
              <w:rPr>
                <w:rFonts w:ascii="Arial" w:cs="Arial" w:eastAsia="Arial" w:hAnsi="Arial"/>
                <w:sz w:val="12"/>
                <w:szCs w:val="12"/>
                <w:color w:val="auto"/>
                <w:w w:val="86"/>
              </w:rPr>
              <w:t>0.082</w:t>
            </w:r>
          </w:p>
        </w:tc>
      </w:tr>
      <w:tr>
        <w:trPr>
          <w:trHeight w:val="144"/>
        </w:trPr>
        <w:tc>
          <w:tcPr>
            <w:tcW w:w="272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22RV1</w:t>
            </w:r>
          </w:p>
        </w:tc>
        <w:tc>
          <w:tcPr>
            <w:tcW w:w="2500" w:type="dxa"/>
            <w:vAlign w:val="bottom"/>
            <w:gridSpan w:val="2"/>
          </w:tcPr>
          <w:p>
            <w:pPr>
              <w:jc w:val="center"/>
              <w:ind w:right="140"/>
              <w:spacing w:after="0"/>
              <w:rPr>
                <w:sz w:val="20"/>
                <w:szCs w:val="20"/>
                <w:color w:val="auto"/>
              </w:rPr>
            </w:pPr>
            <w:r>
              <w:rPr>
                <w:rFonts w:ascii="Arial" w:cs="Arial" w:eastAsia="Arial" w:hAnsi="Arial"/>
                <w:sz w:val="12"/>
                <w:szCs w:val="12"/>
                <w:color w:val="auto"/>
                <w:w w:val="97"/>
              </w:rPr>
              <w:t>H875Y</w:t>
            </w:r>
          </w:p>
        </w:tc>
        <w:tc>
          <w:tcPr>
            <w:tcW w:w="2120" w:type="dxa"/>
            <w:vAlign w:val="bottom"/>
          </w:tcPr>
          <w:p>
            <w:pPr>
              <w:jc w:val="center"/>
              <w:spacing w:after="0"/>
              <w:rPr>
                <w:sz w:val="20"/>
                <w:szCs w:val="20"/>
                <w:color w:val="auto"/>
              </w:rPr>
            </w:pPr>
            <w:r>
              <w:rPr>
                <w:rFonts w:ascii="Arial" w:cs="Arial" w:eastAsia="Arial" w:hAnsi="Arial"/>
                <w:sz w:val="12"/>
                <w:szCs w:val="12"/>
                <w:color w:val="auto"/>
                <w:w w:val="83"/>
              </w:rPr>
              <w:t>0.9</w:t>
            </w:r>
          </w:p>
        </w:tc>
      </w:tr>
      <w:tr>
        <w:trPr>
          <w:trHeight w:val="153"/>
        </w:trPr>
        <w:tc>
          <w:tcPr>
            <w:tcW w:w="272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MDA-PCa-2b</w:t>
            </w:r>
          </w:p>
        </w:tc>
        <w:tc>
          <w:tcPr>
            <w:tcW w:w="2500" w:type="dxa"/>
            <w:vAlign w:val="bottom"/>
            <w:gridSpan w:val="2"/>
          </w:tcPr>
          <w:p>
            <w:pPr>
              <w:jc w:val="center"/>
              <w:ind w:right="140"/>
              <w:spacing w:after="0"/>
              <w:rPr>
                <w:sz w:val="20"/>
                <w:szCs w:val="20"/>
                <w:color w:val="auto"/>
              </w:rPr>
            </w:pPr>
            <w:r>
              <w:rPr>
                <w:rFonts w:ascii="Arial" w:cs="Arial" w:eastAsia="Arial" w:hAnsi="Arial"/>
                <w:sz w:val="12"/>
                <w:szCs w:val="12"/>
                <w:color w:val="auto"/>
                <w:w w:val="97"/>
              </w:rPr>
              <w:t>L702H/T878A</w:t>
            </w:r>
          </w:p>
        </w:tc>
        <w:tc>
          <w:tcPr>
            <w:tcW w:w="2120" w:type="dxa"/>
            <w:vAlign w:val="bottom"/>
          </w:tcPr>
          <w:p>
            <w:pPr>
              <w:jc w:val="center"/>
              <w:spacing w:after="0"/>
              <w:rPr>
                <w:sz w:val="20"/>
                <w:szCs w:val="20"/>
                <w:color w:val="auto"/>
              </w:rPr>
            </w:pPr>
            <w:r>
              <w:rPr>
                <w:rFonts w:ascii="Arial" w:cs="Arial" w:eastAsia="Arial" w:hAnsi="Arial"/>
                <w:sz w:val="12"/>
                <w:szCs w:val="12"/>
                <w:color w:val="auto"/>
                <w:w w:val="89"/>
              </w:rPr>
              <w:t>6</w:t>
            </w:r>
          </w:p>
        </w:tc>
      </w:tr>
      <w:tr>
        <w:trPr>
          <w:trHeight w:val="243"/>
        </w:trPr>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Pr>
          <w:p>
            <w:pPr>
              <w:jc w:val="right"/>
              <w:ind w:right="1242"/>
              <w:spacing w:after="0"/>
              <w:rPr>
                <w:sz w:val="20"/>
                <w:szCs w:val="20"/>
                <w:color w:val="auto"/>
              </w:rPr>
            </w:pPr>
            <w:r>
              <w:rPr>
                <w:rFonts w:ascii="Arial" w:cs="Arial" w:eastAsia="Arial" w:hAnsi="Arial"/>
                <w:sz w:val="12"/>
                <w:szCs w:val="12"/>
                <w:color w:val="auto"/>
              </w:rPr>
              <w:t>184</w:t>
            </w:r>
          </w:p>
        </w:tc>
        <w:tc>
          <w:tcPr>
            <w:tcW w:w="16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western blots below demonstrate ARD-1671’s degradation ability in each of these cell lines. As the concentration of ARD-1671 increases to the right across each blot, the presence of AR, as indicated by the size and opacity of each band,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-12700</wp:posOffset>
            </wp:positionV>
            <wp:extent cx="2320290" cy="1611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2029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In a head-to-head study with an intact VCaP xenograft model in severe combined immunodeficient (“SCID”) mice, which has high AR expression and in which enzalutamide is inactive, ARD-1671 demonstrated tumor growth inhibition (64%) compared to enzlutamide (-1%) on treatment day 25.</w:t>
      </w: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Antitumor Activity in VCaP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Xenograft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106680</wp:posOffset>
            </wp:positionV>
            <wp:extent cx="2331720" cy="1068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31720" cy="106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In a 21-day non-GLP dose range finding canine study, maximal prostate weight reduction was achieved at the lowest dose of 1 mg/kg, consistent with the expected pharmacodynamic effect. No significant adverse events were observed at dose levels up to 10 mg/kg. In a 21-day non-GLP dose range finding rat study, no significant adverse events were observed at dose levels up to 300 mg/kg and prostate weight reduction was also attained. These results indicate that ARD-1671 may have a wide therapeutic window, which is currently being assessed in GLP toxicology studies.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Our lead AR candidate ARD-1671 is in IND enabling development. We intend to pursue the development of our AR program in refractory prostate cancer and to explore its potential in early-line settings, such as mCRPC</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185</w:t>
      </w:r>
    </w:p>
    <w:p>
      <w:pPr>
        <w:sectPr>
          <w:pgSz w:w="11900" w:h="16838" w:orient="portrait"/>
          <w:cols w:equalWidth="0" w:num="1">
            <w:col w:w="10159"/>
          </w:cols>
          <w:pgMar w:left="300" w:top="372"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or non-metastatic castration-resistant prostate cancer, as well as in a combination therapy. We expect to initiate a Phase 1 study for our AR program in 2022.</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STAT3 Degrader</w:t>
      </w:r>
    </w:p>
    <w:p>
      <w:pPr>
        <w:spacing w:after="0" w:line="82" w:lineRule="exact"/>
        <w:rPr>
          <w:sz w:val="20"/>
          <w:szCs w:val="20"/>
          <w:color w:val="auto"/>
        </w:rPr>
      </w:pPr>
    </w:p>
    <w:p>
      <w:pPr>
        <w:jc w:val="center"/>
        <w:ind w:left="2160" w:right="120"/>
        <w:spacing w:after="0" w:line="340" w:lineRule="auto"/>
        <w:rPr>
          <w:sz w:val="20"/>
          <w:szCs w:val="20"/>
          <w:color w:val="auto"/>
        </w:rPr>
      </w:pPr>
      <w:r>
        <w:rPr>
          <w:rFonts w:ascii="Arial" w:cs="Arial" w:eastAsia="Arial" w:hAnsi="Arial"/>
          <w:sz w:val="10"/>
          <w:szCs w:val="10"/>
          <w:color w:val="auto"/>
        </w:rPr>
        <w:t>We are developing signal transducer and activator of transcription 3 (“STAT3”) degraders for the treatment of STAT3-driven hematologic malignancies and immuno-oncology indications. Due to potency and selectivity challenges, STAT3 has traditionally been considered to lack an easily druggable pocket. We believe that preclinical data we have generated to date suggest the potential of STAT3 degraders to overcome these challenges.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STAT3-Implicated diseases</w:t>
      </w:r>
    </w:p>
    <w:p>
      <w:pPr>
        <w:spacing w:after="0" w:line="7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STAT3 is a transcription factor that regulates many biological processes and has been implicated as a direct driver of multiple tumor types. STAT3 controls, among other processes, differentiation, survival, proliferation and angiogenesis, typically in response to growth factors and cytokines. Activation of STAT3 normally involves Janus kinase (JAK)-mediated phosphorylation and dimerization of STAT3 following binding of IL-6 to its receptor. Aberrant constitutive activation of STAT3 has been observed in many different cancers and has been associated with poor prognosis and tumor progression. STAT3 activation is also reported as a mechanism of resistance to inhibitors of the receptor tyrosine kinases EGFR and ALK.</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STAT3 contributes to an immunosuppressive microenvironment (“TME”), suggesting STAT3 degraders have significant potential as immune-oncology agents. Phosphorylated STAT3 (“pSTAT3”) acts to negatively regulate neutrophils, natural killer, effector T and dendritic cells. STAT3 also promotes myeloid-derived suppressor cells (“MDSCs”) and regulatory T cells and has been shown to mediate the up-regulation of immunosuppressive factors such as IL-10 and TGF-ß. Additionally, a STAT3 antisense oligonucleotide inhibitor demonstrated early evidence of clinical activity in lymphoma and lung cancer.</w:t>
      </w:r>
    </w:p>
    <w:p>
      <w:pPr>
        <w:spacing w:after="0" w:line="128" w:lineRule="exact"/>
        <w:rPr>
          <w:sz w:val="20"/>
          <w:szCs w:val="20"/>
          <w:color w:val="auto"/>
        </w:rPr>
      </w:pPr>
    </w:p>
    <w:p>
      <w:pPr>
        <w:ind w:left="1980" w:right="1499" w:firstLine="294"/>
        <w:spacing w:after="0" w:line="379" w:lineRule="auto"/>
        <w:rPr>
          <w:sz w:val="20"/>
          <w:szCs w:val="20"/>
          <w:color w:val="auto"/>
        </w:rPr>
      </w:pPr>
      <w:r>
        <w:rPr>
          <w:rFonts w:ascii="Arial" w:cs="Arial" w:eastAsia="Arial" w:hAnsi="Arial"/>
          <w:sz w:val="10"/>
          <w:szCs w:val="10"/>
          <w:color w:val="auto"/>
        </w:rPr>
        <w:t>Given the broad activity of STAT3, we believe a STAT3 degrader has significant potential in numerous solid tumors and hematologic malignancies, including non-Hodgkin lymphoma, multiple myeloma, and breast, lung, hepatocellular and head and neck cancer.</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Limitations of current STAT3 approaches</w:t>
      </w:r>
    </w:p>
    <w:p>
      <w:pPr>
        <w:spacing w:after="0" w:line="78"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 xml:space="preserve">Due to STAT3’s lack of an easily druggable pocket, previous attempts to target STAT3 have been largely unsuccessful. One common approach, inhibition of dimerization with small molecules targeting the SH2 domain of STAT3, has been limited by the transcriptional activity of monomeric STAT3 and by specificity challenges due to the high homology of SH2 domains across STAT proteins. Another common approach, attempting to regulate STAT3 via inhibition of JAK, which is upstream of STAT3, has demonstrated significant off-target effects and STAT3 activation and homodimerization can occur independently of JAK. A third common approach, the use of STAT3 antisense oligonucleotides, has been limited by low cell penetration due to large size, low bioavailability and poor pharmacokinetics, and short half-life </w:t>
      </w:r>
      <w:r>
        <w:rPr>
          <w:rFonts w:ascii="Arial" w:cs="Arial" w:eastAsia="Arial" w:hAnsi="Arial"/>
          <w:sz w:val="11"/>
          <w:szCs w:val="11"/>
          <w:i w:val="1"/>
          <w:iCs w:val="1"/>
          <w:color w:val="auto"/>
        </w:rPr>
        <w:t>in vivo</w:t>
      </w:r>
      <w:r>
        <w:rPr>
          <w:rFonts w:ascii="Arial" w:cs="Arial" w:eastAsia="Arial" w:hAnsi="Arial"/>
          <w:sz w:val="11"/>
          <w:szCs w:val="11"/>
          <w:color w:val="auto"/>
        </w:rPr>
        <w:t>. We believe that the degrader modality has the potential to address many of the historical challenges associated with STAT3 targeting.</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Our STAT3 degrader discovery program has identified a lead compound, SD-436, that potently and rapidly degrades the target with high specificity with respect to degradation of other STAT proteins. SD-436 exhibits promising potency against wild type STAT3 in human peripheral blood mononuclear cells (“PBMCs”) as well as a mutated STAT3 protein (K658R) in the Pfeiffer cell line, with degradation achieved at low nM concentrations. Furthermore, in an unbiased proteomics analysis in which megakaryoblastic leukemia cell line MOLM-16 cells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186</w:t>
      </w:r>
    </w:p>
    <w:p>
      <w:pPr>
        <w:sectPr>
          <w:pgSz w:w="11900" w:h="16838" w:orient="portrait"/>
          <w:cols w:equalWidth="0" w:num="1">
            <w:col w:w="10159"/>
          </w:cols>
          <w:pgMar w:left="300" w:top="372"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were treated with SD-436, STAT3 was the only protein observed to be degraded with statistical significance among the approximately 5,000 proteins analyzed, indicating SD-436’s high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-12700</wp:posOffset>
            </wp:positionV>
            <wp:extent cx="3206115" cy="9544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06115" cy="95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In a leukemia xenograft tumor model with an activated STAT3 pathway, IV administration of SD-436 resulted in deep reductions in tumor volume. The lowest dose tested, 5 mg/kg weekly, achieved rapid and complete tumor regression.</w:t>
      </w:r>
    </w:p>
    <w:p>
      <w:pPr>
        <w:spacing w:after="0" w:line="255"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Effect of IV SD-436 on Tumor Volume in MOLM16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12065</wp:posOffset>
            </wp:positionV>
            <wp:extent cx="3051810" cy="1068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51810" cy="106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We plan to explore the potential use of a STAT3 degrader as monotherapy, combination therapy, or, in sequence with chemotherapy or radiation, in tumors that are driven by the STAT3 pathway. In addition, we are exploring the potential for the STAT3 degrader as a potentially important immuno-oncology program both alone and in combination studies.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187</w:t>
      </w:r>
    </w:p>
    <w:p>
      <w:pPr>
        <w:sectPr>
          <w:pgSz w:w="11900" w:h="16838" w:orient="portrait"/>
          <w:cols w:equalWidth="0" w:num="1">
            <w:col w:w="10159"/>
          </w:cols>
          <w:pgMar w:left="300" w:top="372"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Additional Discovery Programs</w:t>
      </w:r>
    </w:p>
    <w:p>
      <w:pPr>
        <w:spacing w:after="0" w:line="82" w:lineRule="exact"/>
        <w:rPr>
          <w:sz w:val="20"/>
          <w:szCs w:val="20"/>
          <w:color w:val="auto"/>
        </w:rPr>
      </w:pPr>
    </w:p>
    <w:p>
      <w:pPr>
        <w:ind w:left="1980" w:right="1219" w:firstLine="294"/>
        <w:spacing w:after="0" w:line="298" w:lineRule="auto"/>
        <w:rPr>
          <w:sz w:val="20"/>
          <w:szCs w:val="20"/>
          <w:color w:val="auto"/>
        </w:rPr>
      </w:pPr>
      <w:r>
        <w:rPr>
          <w:rFonts w:ascii="Arial" w:cs="Arial" w:eastAsia="Arial" w:hAnsi="Arial"/>
          <w:sz w:val="11"/>
          <w:szCs w:val="11"/>
          <w:color w:val="auto"/>
        </w:rPr>
        <w:t>In addition to AR and STAT3, we are pursuing numerous additional targets with strong scientific rationale and potentially attractive market opportunities. We do not expect to ultimately advance programs for all of these targets into clinical development. We are also discovering drug candidates for additional undisclosed targets and plan to continue to add new discovery programs over time.</w:t>
      </w:r>
    </w:p>
    <w:p>
      <w:pPr>
        <w:sectPr>
          <w:pgSz w:w="11900" w:h="16838" w:orient="portrait"/>
          <w:cols w:equalWidth="0" w:num="1">
            <w:col w:w="10159"/>
          </w:cols>
          <w:pgMar w:left="300" w:top="372" w:right="1440" w:bottom="1440" w:gutter="0" w:footer="0" w:header="0"/>
        </w:sectPr>
      </w:pPr>
    </w:p>
    <w:p>
      <w:pPr>
        <w:spacing w:after="0" w:line="1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3"/>
              </w:rPr>
              <w:t>Target &amp;</w:t>
            </w:r>
          </w:p>
        </w:tc>
        <w:tc>
          <w:tcPr>
            <w:tcW w:w="3160" w:type="dxa"/>
            <w:vAlign w:val="bottom"/>
          </w:tcPr>
          <w:p>
            <w:pPr>
              <w:spacing w:after="0"/>
              <w:rPr>
                <w:sz w:val="10"/>
                <w:szCs w:val="10"/>
                <w:color w:val="auto"/>
              </w:rPr>
            </w:pPr>
          </w:p>
        </w:tc>
      </w:tr>
      <w:tr>
        <w:trPr>
          <w:trHeight w:val="142"/>
        </w:trPr>
        <w:tc>
          <w:tcPr>
            <w:tcW w:w="24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MoA</w:t>
            </w:r>
          </w:p>
        </w:tc>
        <w:tc>
          <w:tcPr>
            <w:tcW w:w="340" w:type="dxa"/>
            <w:vAlign w:val="bottom"/>
          </w:tcPr>
          <w:p>
            <w:pPr>
              <w:spacing w:after="0"/>
              <w:rPr>
                <w:sz w:val="12"/>
                <w:szCs w:val="12"/>
                <w:color w:val="auto"/>
              </w:rPr>
            </w:pPr>
          </w:p>
        </w:tc>
        <w:tc>
          <w:tcPr>
            <w:tcW w:w="3160" w:type="dxa"/>
            <w:vAlign w:val="bottom"/>
            <w:tcBorders>
              <w:bottom w:val="single" w:sz="8" w:color="auto"/>
            </w:tcBorders>
          </w:tcPr>
          <w:p>
            <w:pPr>
              <w:ind w:left="1160"/>
              <w:spacing w:after="0"/>
              <w:rPr>
                <w:sz w:val="20"/>
                <w:szCs w:val="20"/>
                <w:color w:val="auto"/>
              </w:rPr>
            </w:pPr>
            <w:r>
              <w:rPr>
                <w:rFonts w:ascii="Arial" w:cs="Arial" w:eastAsia="Arial" w:hAnsi="Arial"/>
                <w:sz w:val="10"/>
                <w:szCs w:val="10"/>
                <w:b w:val="1"/>
                <w:bCs w:val="1"/>
                <w:color w:val="auto"/>
              </w:rPr>
              <w:t>Opportunity Profile</w:t>
            </w:r>
          </w:p>
        </w:tc>
      </w:tr>
      <w:tr>
        <w:trPr>
          <w:trHeight w:val="100"/>
        </w:trPr>
        <w:tc>
          <w:tcPr>
            <w:tcW w:w="62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rPr>
              <w:t>CBP/P300</w:t>
            </w:r>
          </w:p>
        </w:tc>
        <w:tc>
          <w:tcPr>
            <w:tcW w:w="340" w:type="dxa"/>
            <w:vAlign w:val="bottom"/>
          </w:tcPr>
          <w:p>
            <w:pPr>
              <w:spacing w:after="0"/>
              <w:rPr>
                <w:sz w:val="8"/>
                <w:szCs w:val="8"/>
                <w:color w:val="auto"/>
              </w:rPr>
            </w:pPr>
          </w:p>
        </w:tc>
        <w:tc>
          <w:tcPr>
            <w:tcW w:w="3160" w:type="dxa"/>
            <w:vAlign w:val="bottom"/>
          </w:tcPr>
          <w:p>
            <w:pPr>
              <w:spacing w:after="0" w:line="100" w:lineRule="exact"/>
              <w:rPr>
                <w:sz w:val="20"/>
                <w:szCs w:val="20"/>
                <w:color w:val="auto"/>
              </w:rPr>
            </w:pPr>
            <w:r>
              <w:rPr>
                <w:rFonts w:ascii="Arial" w:cs="Arial" w:eastAsia="Arial" w:hAnsi="Arial"/>
                <w:sz w:val="11"/>
                <w:szCs w:val="11"/>
                <w:color w:val="auto"/>
              </w:rPr>
              <w:t>•  CBP/P300 control expression of oncogenic</w:t>
            </w:r>
          </w:p>
        </w:tc>
      </w:tr>
      <w:tr>
        <w:trPr>
          <w:trHeight w:val="166"/>
        </w:trPr>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Degrader</w:t>
            </w:r>
          </w:p>
        </w:tc>
        <w:tc>
          <w:tcPr>
            <w:tcW w:w="3160" w:type="dxa"/>
            <w:vAlign w:val="bottom"/>
          </w:tcPr>
          <w:p>
            <w:pPr>
              <w:spacing w:after="0"/>
              <w:rPr>
                <w:sz w:val="20"/>
                <w:szCs w:val="20"/>
                <w:color w:val="auto"/>
              </w:rPr>
            </w:pPr>
            <w:r>
              <w:rPr>
                <w:rFonts w:ascii="Arial" w:cs="Arial" w:eastAsia="Arial" w:hAnsi="Arial"/>
                <w:sz w:val="12"/>
                <w:szCs w:val="12"/>
                <w:color w:val="auto"/>
              </w:rPr>
              <w:t>factors (e.g., AR, c-Myc) in prostate cancer</w:t>
            </w:r>
          </w:p>
        </w:tc>
      </w:tr>
      <w:tr>
        <w:trPr>
          <w:trHeight w:val="216"/>
        </w:trPr>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  Synthetic lethality target (LOF mutations)</w:t>
            </w:r>
          </w:p>
        </w:tc>
      </w:tr>
      <w:tr>
        <w:trPr>
          <w:trHeight w:val="153"/>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with precision medicine approach</w:t>
            </w:r>
          </w:p>
        </w:tc>
      </w:tr>
      <w:tr>
        <w:trPr>
          <w:trHeight w:val="203"/>
        </w:trPr>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SMARCA2/4</w:t>
            </w:r>
          </w:p>
        </w:tc>
        <w:tc>
          <w:tcPr>
            <w:tcW w:w="3160" w:type="dxa"/>
            <w:vAlign w:val="bottom"/>
          </w:tcPr>
          <w:p>
            <w:pPr>
              <w:spacing w:after="0"/>
              <w:rPr>
                <w:sz w:val="20"/>
                <w:szCs w:val="20"/>
                <w:color w:val="auto"/>
              </w:rPr>
            </w:pPr>
            <w:r>
              <w:rPr>
                <w:rFonts w:ascii="Arial" w:cs="Arial" w:eastAsia="Arial" w:hAnsi="Arial"/>
                <w:sz w:val="12"/>
                <w:szCs w:val="12"/>
                <w:color w:val="auto"/>
              </w:rPr>
              <w:t>•  Synthetic lethality target in multiple tumor</w:t>
            </w:r>
          </w:p>
        </w:tc>
      </w:tr>
      <w:tr>
        <w:trPr>
          <w:trHeight w:val="157"/>
        </w:trPr>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Degrader</w:t>
            </w:r>
          </w:p>
        </w:tc>
        <w:tc>
          <w:tcPr>
            <w:tcW w:w="3160" w:type="dxa"/>
            <w:vAlign w:val="bottom"/>
          </w:tcPr>
          <w:p>
            <w:pPr>
              <w:spacing w:after="0"/>
              <w:rPr>
                <w:sz w:val="20"/>
                <w:szCs w:val="20"/>
                <w:color w:val="auto"/>
              </w:rPr>
            </w:pPr>
            <w:r>
              <w:rPr>
                <w:rFonts w:ascii="Arial" w:cs="Arial" w:eastAsia="Arial" w:hAnsi="Arial"/>
                <w:sz w:val="12"/>
                <w:szCs w:val="12"/>
                <w:color w:val="auto"/>
              </w:rPr>
              <w:t>types (e.g., SMARCA4 LOF)</w:t>
            </w:r>
          </w:p>
        </w:tc>
      </w:tr>
      <w:tr>
        <w:trPr>
          <w:trHeight w:val="572"/>
        </w:trPr>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KRAS G12D</w:t>
            </w:r>
          </w:p>
        </w:tc>
        <w:tc>
          <w:tcPr>
            <w:tcW w:w="3160" w:type="dxa"/>
            <w:vAlign w:val="bottom"/>
          </w:tcPr>
          <w:p>
            <w:pPr>
              <w:spacing w:after="0"/>
              <w:rPr>
                <w:sz w:val="20"/>
                <w:szCs w:val="20"/>
                <w:color w:val="auto"/>
              </w:rPr>
            </w:pPr>
            <w:r>
              <w:rPr>
                <w:rFonts w:ascii="Arial" w:cs="Arial" w:eastAsia="Arial" w:hAnsi="Arial"/>
                <w:sz w:val="12"/>
                <w:szCs w:val="12"/>
                <w:color w:val="auto"/>
              </w:rPr>
              <w:t>•  Historically undruggable oncogene variant</w:t>
            </w:r>
          </w:p>
        </w:tc>
      </w:tr>
      <w:tr>
        <w:trPr>
          <w:trHeight w:val="157"/>
        </w:trPr>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Degrader</w:t>
            </w:r>
          </w:p>
        </w:tc>
        <w:tc>
          <w:tcPr>
            <w:tcW w:w="3160" w:type="dxa"/>
            <w:vAlign w:val="bottom"/>
          </w:tcPr>
          <w:p>
            <w:pPr>
              <w:spacing w:after="0"/>
              <w:rPr>
                <w:sz w:val="20"/>
                <w:szCs w:val="20"/>
                <w:color w:val="auto"/>
              </w:rPr>
            </w:pPr>
            <w:r>
              <w:rPr>
                <w:rFonts w:ascii="Arial" w:cs="Arial" w:eastAsia="Arial" w:hAnsi="Arial"/>
                <w:sz w:val="12"/>
                <w:szCs w:val="12"/>
                <w:color w:val="auto"/>
              </w:rPr>
              <w:t>G12D</w:t>
            </w:r>
          </w:p>
        </w:tc>
      </w:tr>
      <w:tr>
        <w:trPr>
          <w:trHeight w:val="216"/>
        </w:trPr>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  Most frequently mutated oncogene in</w:t>
            </w:r>
          </w:p>
        </w:tc>
      </w:tr>
      <w:tr>
        <w:trPr>
          <w:trHeight w:val="153"/>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human cancers</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579"/>
        <w:spacing w:after="0"/>
        <w:rPr>
          <w:sz w:val="20"/>
          <w:szCs w:val="20"/>
          <w:color w:val="auto"/>
        </w:rPr>
      </w:pPr>
      <w:r>
        <w:rPr>
          <w:rFonts w:ascii="Arial" w:cs="Arial" w:eastAsia="Arial" w:hAnsi="Arial"/>
          <w:sz w:val="10"/>
          <w:szCs w:val="10"/>
          <w:b w:val="1"/>
          <w:bCs w:val="1"/>
          <w:color w:val="auto"/>
        </w:rPr>
        <w:t>Potential Indications/Patient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200025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00250" cy="5715"/>
                    </a:xfrm>
                    <a:prstGeom prst="rect">
                      <a:avLst/>
                    </a:prstGeom>
                    <a:noFill/>
                  </pic:spPr>
                </pic:pic>
              </a:graphicData>
            </a:graphic>
          </wp:anchor>
        </w:drawing>
      </w:r>
    </w:p>
    <w:p>
      <w:pPr>
        <w:ind w:right="1919" w:firstLine="6"/>
        <w:spacing w:after="0" w:line="258" w:lineRule="auto"/>
        <w:tabs>
          <w:tab w:leader="none" w:pos="163"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 prostate cancer (including AR mutants and splice variant subsets), tumors with CBP or P300 LOF (e.g., DLBCL, FL, NSCLC, bladder cancer)</w:t>
      </w:r>
    </w:p>
    <w:p>
      <w:pPr>
        <w:spacing w:after="0" w:line="134" w:lineRule="exact"/>
        <w:rPr>
          <w:rFonts w:ascii="Arial" w:cs="Arial" w:eastAsia="Arial" w:hAnsi="Arial"/>
          <w:sz w:val="12"/>
          <w:szCs w:val="12"/>
          <w:color w:val="auto"/>
        </w:rPr>
      </w:pPr>
    </w:p>
    <w:p>
      <w:pPr>
        <w:ind w:right="1939" w:firstLine="6"/>
        <w:spacing w:after="0" w:line="276" w:lineRule="auto"/>
        <w:tabs>
          <w:tab w:leader="none" w:pos="169" w:val="left"/>
        </w:tabs>
        <w:numPr>
          <w:ilvl w:val="0"/>
          <w:numId w:val="98"/>
        </w:numPr>
        <w:rPr>
          <w:rFonts w:ascii="Arial" w:cs="Arial" w:eastAsia="Arial" w:hAnsi="Arial"/>
          <w:sz w:val="12"/>
          <w:szCs w:val="12"/>
          <w:color w:val="auto"/>
        </w:rPr>
      </w:pPr>
      <w:r>
        <w:rPr>
          <w:rFonts w:ascii="Arial" w:cs="Arial" w:eastAsia="Arial" w:hAnsi="Arial"/>
          <w:sz w:val="12"/>
          <w:szCs w:val="12"/>
          <w:color w:val="auto"/>
        </w:rPr>
        <w:t>SMARCA4-mutated NSCLC (~10% of NSCLC overall)</w:t>
      </w:r>
    </w:p>
    <w:p>
      <w:pPr>
        <w:spacing w:after="0" w:line="51" w:lineRule="exact"/>
        <w:rPr>
          <w:rFonts w:ascii="Arial" w:cs="Arial" w:eastAsia="Arial" w:hAnsi="Arial"/>
          <w:sz w:val="12"/>
          <w:szCs w:val="12"/>
          <w:color w:val="auto"/>
        </w:rPr>
      </w:pPr>
    </w:p>
    <w:p>
      <w:pPr>
        <w:ind w:right="1859" w:firstLine="6"/>
        <w:spacing w:after="0" w:line="276" w:lineRule="auto"/>
        <w:tabs>
          <w:tab w:leader="none" w:pos="167" w:val="left"/>
        </w:tabs>
        <w:numPr>
          <w:ilvl w:val="0"/>
          <w:numId w:val="98"/>
        </w:numPr>
        <w:rPr>
          <w:rFonts w:ascii="Arial" w:cs="Arial" w:eastAsia="Arial" w:hAnsi="Arial"/>
          <w:sz w:val="12"/>
          <w:szCs w:val="12"/>
          <w:color w:val="auto"/>
        </w:rPr>
      </w:pPr>
      <w:r>
        <w:rPr>
          <w:rFonts w:ascii="Arial" w:cs="Arial" w:eastAsia="Arial" w:hAnsi="Arial"/>
          <w:sz w:val="12"/>
          <w:szCs w:val="12"/>
          <w:color w:val="auto"/>
        </w:rPr>
        <w:t>Tumor agonistic indication: SMARCA4-mutated solid tumors</w:t>
      </w:r>
    </w:p>
    <w:p>
      <w:pPr>
        <w:spacing w:after="0" w:line="42" w:lineRule="exact"/>
        <w:rPr>
          <w:rFonts w:ascii="Arial" w:cs="Arial" w:eastAsia="Arial" w:hAnsi="Arial"/>
          <w:sz w:val="12"/>
          <w:szCs w:val="12"/>
          <w:color w:val="auto"/>
        </w:rPr>
      </w:pPr>
    </w:p>
    <w:p>
      <w:pPr>
        <w:ind w:left="180" w:hanging="174"/>
        <w:spacing w:after="0"/>
        <w:tabs>
          <w:tab w:leader="none" w:pos="1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KRAS G12D mutant tumors</w:t>
      </w:r>
    </w:p>
    <w:p>
      <w:pPr>
        <w:spacing w:after="0" w:line="87" w:lineRule="exact"/>
        <w:rPr>
          <w:rFonts w:ascii="Arial" w:cs="Arial" w:eastAsia="Arial" w:hAnsi="Arial"/>
          <w:sz w:val="12"/>
          <w:szCs w:val="12"/>
          <w:color w:val="auto"/>
        </w:rPr>
      </w:pPr>
    </w:p>
    <w:p>
      <w:pPr>
        <w:ind w:right="1779" w:firstLine="6"/>
        <w:spacing w:after="0" w:line="276" w:lineRule="auto"/>
        <w:tabs>
          <w:tab w:leader="none" w:pos="169" w:val="left"/>
        </w:tabs>
        <w:numPr>
          <w:ilvl w:val="0"/>
          <w:numId w:val="98"/>
        </w:numPr>
        <w:rPr>
          <w:rFonts w:ascii="Arial" w:cs="Arial" w:eastAsia="Arial" w:hAnsi="Arial"/>
          <w:sz w:val="12"/>
          <w:szCs w:val="12"/>
          <w:color w:val="auto"/>
        </w:rPr>
      </w:pPr>
      <w:r>
        <w:rPr>
          <w:rFonts w:ascii="Arial" w:cs="Arial" w:eastAsia="Arial" w:hAnsi="Arial"/>
          <w:sz w:val="12"/>
          <w:szCs w:val="12"/>
          <w:color w:val="auto"/>
        </w:rPr>
        <w:t>Highest rates in PDAC, CRC, endometrial and lung cancer</w:t>
      </w:r>
    </w:p>
    <w:p>
      <w:pPr>
        <w:sectPr>
          <w:pgSz w:w="11900" w:h="16838" w:orient="portrait"/>
          <w:cols w:equalWidth="0" w:num="2">
            <w:col w:w="6100" w:space="60"/>
            <w:col w:w="3999"/>
          </w:cols>
          <w:pgMar w:left="300" w:top="372" w:right="1440" w:bottom="1440" w:gutter="0" w:footer="0" w:header="0"/>
          <w:type w:val="continuous"/>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40"/>
        <w:spacing w:after="0"/>
        <w:rPr>
          <w:sz w:val="20"/>
          <w:szCs w:val="20"/>
          <w:color w:val="auto"/>
        </w:rPr>
      </w:pPr>
      <w:r>
        <w:rPr>
          <w:rFonts w:ascii="Arial" w:cs="Arial" w:eastAsia="Arial" w:hAnsi="Arial"/>
          <w:sz w:val="12"/>
          <w:szCs w:val="12"/>
          <w:b w:val="1"/>
          <w:bCs w:val="1"/>
          <w:u w:val="single" w:color="auto"/>
          <w:color w:val="auto"/>
        </w:rPr>
        <w:t>Genevant Overview</w:t>
      </w:r>
    </w:p>
    <w:p>
      <w:pPr>
        <w:spacing w:after="0" w:line="168"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r>
        <w:rPr>
          <w:rFonts w:ascii="Arial" w:cs="Arial" w:eastAsia="Arial" w:hAnsi="Arial"/>
          <w:sz w:val="12"/>
          <w:szCs w:val="12"/>
          <w:b w:val="1"/>
          <w:bCs w:val="1"/>
          <w:color w:val="auto"/>
        </w:rPr>
        <w:t>:</w:t>
      </w:r>
    </w:p>
    <w:p>
      <w:pPr>
        <w:spacing w:after="0" w:line="91" w:lineRule="exact"/>
        <w:rPr>
          <w:rFonts w:ascii="Arial" w:cs="Arial" w:eastAsia="Arial" w:hAnsi="Arial"/>
          <w:sz w:val="12"/>
          <w:szCs w:val="12"/>
          <w:b w:val="1"/>
          <w:bCs w:val="1"/>
          <w:color w:val="auto"/>
        </w:rPr>
      </w:pPr>
    </w:p>
    <w:p>
      <w:pPr>
        <w:ind w:left="2620" w:right="1239" w:hanging="288"/>
        <w:spacing w:after="0" w:line="298" w:lineRule="auto"/>
        <w:tabs>
          <w:tab w:leader="none" w:pos="2620" w:val="left"/>
        </w:tabs>
        <w:numPr>
          <w:ilvl w:val="1"/>
          <w:numId w:val="99"/>
        </w:numPr>
        <w:rPr>
          <w:rFonts w:ascii="Arial" w:cs="Arial" w:eastAsia="Arial" w:hAnsi="Arial"/>
          <w:sz w:val="11"/>
          <w:szCs w:val="11"/>
          <w:color w:val="auto"/>
        </w:rPr>
      </w:pPr>
      <w:r>
        <w:rPr>
          <w:rFonts w:ascii="Arial" w:cs="Arial" w:eastAsia="Arial" w:hAnsi="Arial"/>
          <w:sz w:val="11"/>
          <w:szCs w:val="11"/>
          <w:color w:val="auto"/>
        </w:rPr>
        <w:t>Genevant is a technology-focused nucleic acid delivery and development company with a lipid nanoparticle (“LNP”) platform, an expansive intellectual property portfolio and deep scientific expertise, currently focused on partnering with other pharmaceutical or biotechnology companies to enable the development of nucleic acid therapeutics for unmet medical needs.</w:t>
      </w:r>
    </w:p>
    <w:p>
      <w:pPr>
        <w:spacing w:after="0" w:line="37" w:lineRule="exact"/>
        <w:rPr>
          <w:rFonts w:ascii="Arial" w:cs="Arial" w:eastAsia="Arial" w:hAnsi="Arial"/>
          <w:sz w:val="11"/>
          <w:szCs w:val="11"/>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Delivery platforms: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99"/>
        </w:numPr>
        <w:rPr>
          <w:rFonts w:ascii="Arial" w:cs="Arial" w:eastAsia="Arial" w:hAnsi="Arial"/>
          <w:sz w:val="12"/>
          <w:szCs w:val="12"/>
          <w:color w:val="auto"/>
        </w:rPr>
      </w:pPr>
      <w:r>
        <w:rPr>
          <w:rFonts w:ascii="Arial" w:cs="Arial" w:eastAsia="Arial" w:hAnsi="Arial"/>
          <w:sz w:val="12"/>
          <w:szCs w:val="12"/>
          <w:color w:val="auto"/>
        </w:rPr>
        <w:t>Genevant has two delivery platforms: LNP and ligand conjugate.</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2"/>
          <w:numId w:val="99"/>
        </w:numPr>
        <w:rPr>
          <w:rFonts w:ascii="Arial" w:cs="Arial" w:eastAsia="Arial" w:hAnsi="Arial"/>
          <w:sz w:val="12"/>
          <w:szCs w:val="12"/>
          <w:color w:val="auto"/>
        </w:rPr>
      </w:pPr>
      <w:r>
        <w:rPr>
          <w:rFonts w:ascii="Arial" w:cs="Arial" w:eastAsia="Arial" w:hAnsi="Arial"/>
          <w:sz w:val="12"/>
          <w:szCs w:val="12"/>
          <w:color w:val="auto"/>
        </w:rPr>
        <w:t>LNP platform:</w:t>
      </w:r>
    </w:p>
    <w:p>
      <w:pPr>
        <w:spacing w:after="0" w:line="87" w:lineRule="exact"/>
        <w:rPr>
          <w:rFonts w:ascii="Arial" w:cs="Arial" w:eastAsia="Arial" w:hAnsi="Arial"/>
          <w:sz w:val="12"/>
          <w:szCs w:val="12"/>
          <w:color w:val="auto"/>
        </w:rPr>
      </w:pPr>
    </w:p>
    <w:p>
      <w:pPr>
        <w:ind w:left="3440" w:right="1079" w:hanging="298"/>
        <w:spacing w:after="0" w:line="276" w:lineRule="auto"/>
        <w:tabs>
          <w:tab w:leader="none" w:pos="34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 xml:space="preserve">Proven technology as demonstrated by head-to-head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ionizable lipid study assessing LNP potency and immune stimulation</w:t>
      </w:r>
    </w:p>
    <w:p>
      <w:pPr>
        <w:spacing w:after="0" w:line="51" w:lineRule="exact"/>
        <w:rPr>
          <w:rFonts w:ascii="Arial" w:cs="Arial" w:eastAsia="Arial" w:hAnsi="Arial"/>
          <w:sz w:val="12"/>
          <w:szCs w:val="12"/>
          <w:color w:val="auto"/>
        </w:rPr>
      </w:pPr>
    </w:p>
    <w:p>
      <w:pPr>
        <w:ind w:left="3440" w:right="1039" w:hanging="298"/>
        <w:spacing w:after="0" w:line="323" w:lineRule="auto"/>
        <w:tabs>
          <w:tab w:leader="none" w:pos="3440" w:val="left"/>
        </w:tabs>
        <w:numPr>
          <w:ilvl w:val="3"/>
          <w:numId w:val="99"/>
        </w:numPr>
        <w:rPr>
          <w:rFonts w:ascii="Arial" w:cs="Arial" w:eastAsia="Arial" w:hAnsi="Arial"/>
          <w:sz w:val="11"/>
          <w:szCs w:val="11"/>
          <w:color w:val="auto"/>
        </w:rPr>
      </w:pPr>
      <w:r>
        <w:rPr>
          <w:rFonts w:ascii="Arial" w:cs="Arial" w:eastAsia="Arial" w:hAnsi="Arial"/>
          <w:sz w:val="11"/>
          <w:szCs w:val="11"/>
          <w:color w:val="auto"/>
        </w:rPr>
        <w:t>Clinically validated for hepatocyte and vaccine use and under development for other traditionally hard-to-reach tissues and cell types, including lung, eye, central nervous system, and hepatic stellate and immune cells</w:t>
      </w:r>
    </w:p>
    <w:p>
      <w:pPr>
        <w:spacing w:after="0" w:line="28" w:lineRule="exact"/>
        <w:rPr>
          <w:rFonts w:ascii="Arial" w:cs="Arial" w:eastAsia="Arial" w:hAnsi="Arial"/>
          <w:sz w:val="11"/>
          <w:szCs w:val="11"/>
          <w:color w:val="auto"/>
        </w:rPr>
      </w:pPr>
    </w:p>
    <w:p>
      <w:pPr>
        <w:ind w:left="3440" w:hanging="298"/>
        <w:spacing w:after="0"/>
        <w:tabs>
          <w:tab w:leader="none" w:pos="34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Over 700 issued patents and pending patent applications as of October 15, 2021</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2"/>
          <w:numId w:val="99"/>
        </w:numPr>
        <w:rPr>
          <w:rFonts w:ascii="Arial" w:cs="Arial" w:eastAsia="Arial" w:hAnsi="Arial"/>
          <w:sz w:val="12"/>
          <w:szCs w:val="12"/>
          <w:color w:val="auto"/>
        </w:rPr>
      </w:pPr>
      <w:r>
        <w:rPr>
          <w:rFonts w:ascii="Arial" w:cs="Arial" w:eastAsia="Arial" w:hAnsi="Arial"/>
          <w:sz w:val="12"/>
          <w:szCs w:val="12"/>
          <w:color w:val="auto"/>
        </w:rPr>
        <w:t>Ligand conjugate platform:</w:t>
      </w:r>
    </w:p>
    <w:p>
      <w:pPr>
        <w:spacing w:after="0" w:line="87" w:lineRule="exact"/>
        <w:rPr>
          <w:rFonts w:ascii="Arial" w:cs="Arial" w:eastAsia="Arial" w:hAnsi="Arial"/>
          <w:sz w:val="12"/>
          <w:szCs w:val="12"/>
          <w:color w:val="auto"/>
        </w:rPr>
      </w:pPr>
    </w:p>
    <w:p>
      <w:pPr>
        <w:ind w:left="3440" w:hanging="298"/>
        <w:spacing w:after="0"/>
        <w:tabs>
          <w:tab w:leader="none" w:pos="34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Novel GalNAc ligands with demonstrated ability to deliver to the liver in preclinical studies</w:t>
      </w:r>
    </w:p>
    <w:p>
      <w:pPr>
        <w:spacing w:after="0" w:line="87" w:lineRule="exact"/>
        <w:rPr>
          <w:rFonts w:ascii="Arial" w:cs="Arial" w:eastAsia="Arial" w:hAnsi="Arial"/>
          <w:sz w:val="12"/>
          <w:szCs w:val="12"/>
          <w:color w:val="auto"/>
        </w:rPr>
      </w:pPr>
    </w:p>
    <w:p>
      <w:pPr>
        <w:ind w:left="3440" w:right="939" w:hanging="298"/>
        <w:spacing w:after="0" w:line="276" w:lineRule="auto"/>
        <w:tabs>
          <w:tab w:leader="none" w:pos="34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In preclinical head-to-head testing, demonstrated equal or better preclinical potency, assessed by duration and magnitude of knockdown, compared to a current industry benchmark</w:t>
      </w:r>
    </w:p>
    <w:p>
      <w:pPr>
        <w:spacing w:after="0" w:line="51" w:lineRule="exact"/>
        <w:rPr>
          <w:rFonts w:ascii="Arial" w:cs="Arial" w:eastAsia="Arial" w:hAnsi="Arial"/>
          <w:sz w:val="12"/>
          <w:szCs w:val="12"/>
          <w:color w:val="auto"/>
        </w:rPr>
      </w:pPr>
    </w:p>
    <w:p>
      <w:pPr>
        <w:ind w:left="3440" w:hanging="298"/>
        <w:spacing w:after="0"/>
        <w:tabs>
          <w:tab w:leader="none" w:pos="34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Applying delivery expertise to design of novel extrahepatic ligands to expand therapeutic reach</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Collaboration-based business model:</w:t>
      </w:r>
    </w:p>
    <w:p>
      <w:pPr>
        <w:spacing w:after="0" w:line="91" w:lineRule="exact"/>
        <w:rPr>
          <w:rFonts w:ascii="Arial" w:cs="Arial" w:eastAsia="Arial" w:hAnsi="Arial"/>
          <w:sz w:val="12"/>
          <w:szCs w:val="12"/>
          <w:b w:val="1"/>
          <w:bCs w:val="1"/>
          <w:color w:val="auto"/>
        </w:rPr>
      </w:pPr>
    </w:p>
    <w:p>
      <w:pPr>
        <w:ind w:left="2620" w:right="899" w:hanging="288"/>
        <w:spacing w:after="0" w:line="276" w:lineRule="auto"/>
        <w:tabs>
          <w:tab w:leader="none" w:pos="2620" w:val="left"/>
        </w:tabs>
        <w:numPr>
          <w:ilvl w:val="1"/>
          <w:numId w:val="99"/>
        </w:numPr>
        <w:rPr>
          <w:rFonts w:ascii="Arial" w:cs="Arial" w:eastAsia="Arial" w:hAnsi="Arial"/>
          <w:sz w:val="12"/>
          <w:szCs w:val="12"/>
          <w:color w:val="auto"/>
        </w:rPr>
      </w:pPr>
      <w:r>
        <w:rPr>
          <w:rFonts w:ascii="Arial" w:cs="Arial" w:eastAsia="Arial" w:hAnsi="Arial"/>
          <w:sz w:val="12"/>
          <w:szCs w:val="12"/>
          <w:color w:val="auto"/>
        </w:rPr>
        <w:t>Genevant uses its expertise in the delivery of nucleic acid therapeutics to develop optimal delivery systems for its collaborators’ identified payloads or target tissues.</w:t>
      </w:r>
    </w:p>
    <w:p>
      <w:pPr>
        <w:spacing w:after="0" w:line="51"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1"/>
          <w:numId w:val="99"/>
        </w:numPr>
        <w:rPr>
          <w:rFonts w:ascii="Arial" w:cs="Arial" w:eastAsia="Arial" w:hAnsi="Arial"/>
          <w:sz w:val="12"/>
          <w:szCs w:val="12"/>
          <w:color w:val="auto"/>
        </w:rPr>
      </w:pPr>
      <w:r>
        <w:rPr>
          <w:rFonts w:ascii="Arial" w:cs="Arial" w:eastAsia="Arial" w:hAnsi="Arial"/>
          <w:sz w:val="12"/>
          <w:szCs w:val="12"/>
          <w:color w:val="auto"/>
        </w:rPr>
        <w:t>Genevant collaboration-based business model is to seek some or all of upfront payments, R&amp;D reimbursements, and milestones and royalties (or profit share) upon success, while also retaining certain rights in the delivery-related intellectual property developed in the context of the collaboration for potential use in other nonexclusive out-licenses.</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1"/>
          <w:numId w:val="99"/>
        </w:numPr>
        <w:rPr>
          <w:rFonts w:ascii="Arial" w:cs="Arial" w:eastAsia="Arial" w:hAnsi="Arial"/>
          <w:sz w:val="12"/>
          <w:szCs w:val="12"/>
          <w:color w:val="auto"/>
        </w:rPr>
      </w:pPr>
      <w:r>
        <w:rPr>
          <w:rFonts w:ascii="Arial" w:cs="Arial" w:eastAsia="Arial" w:hAnsi="Arial"/>
          <w:sz w:val="12"/>
          <w:szCs w:val="12"/>
          <w:color w:val="auto"/>
        </w:rPr>
        <w:t>Some current collaboration partners include BioNTech, Takeda, Sarepta and Gritstone.</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1079" w:hanging="288"/>
        <w:spacing w:after="0" w:line="276" w:lineRule="auto"/>
        <w:tabs>
          <w:tab w:leader="none" w:pos="2620" w:val="left"/>
        </w:tabs>
        <w:numPr>
          <w:ilvl w:val="1"/>
          <w:numId w:val="99"/>
        </w:numPr>
        <w:rPr>
          <w:rFonts w:ascii="Arial" w:cs="Arial" w:eastAsia="Arial" w:hAnsi="Arial"/>
          <w:sz w:val="12"/>
          <w:szCs w:val="12"/>
          <w:color w:val="auto"/>
        </w:rPr>
      </w:pPr>
      <w:r>
        <w:rPr>
          <w:rFonts w:ascii="Arial" w:cs="Arial" w:eastAsia="Arial" w:hAnsi="Arial"/>
          <w:sz w:val="12"/>
          <w:szCs w:val="12"/>
          <w:color w:val="auto"/>
        </w:rPr>
        <w:t>Genevant LNP technology has been in clinical testing in over a dozen distinct product candidates, representing hundreds of subjects of clinical experience.</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99"/>
        </w:numPr>
        <w:rPr>
          <w:rFonts w:ascii="Arial" w:cs="Arial" w:eastAsia="Arial" w:hAnsi="Arial"/>
          <w:sz w:val="11"/>
          <w:szCs w:val="11"/>
          <w:color w:val="auto"/>
        </w:rPr>
      </w:pPr>
      <w:r>
        <w:rPr>
          <w:rFonts w:ascii="Arial" w:cs="Arial" w:eastAsia="Arial" w:hAnsi="Arial"/>
          <w:sz w:val="11"/>
          <w:szCs w:val="11"/>
          <w:color w:val="auto"/>
        </w:rPr>
        <w:t>Genevant LNP technology is included in the first siRNA-LNP product to receive FDA-approval, Alnylam’s Onpattro (patisiran).</w:t>
      </w:r>
    </w:p>
    <w:p>
      <w:pPr>
        <w:spacing w:after="0" w:line="94" w:lineRule="exact"/>
        <w:rPr>
          <w:rFonts w:ascii="Arial" w:cs="Arial" w:eastAsia="Arial" w:hAnsi="Arial"/>
          <w:sz w:val="11"/>
          <w:szCs w:val="11"/>
          <w:color w:val="auto"/>
        </w:rPr>
      </w:pPr>
    </w:p>
    <w:p>
      <w:pPr>
        <w:ind w:left="2260" w:hanging="288"/>
        <w:spacing w:after="0"/>
        <w:tabs>
          <w:tab w:leader="none" w:pos="2260" w:val="left"/>
        </w:tabs>
        <w:numPr>
          <w:ilvl w:val="0"/>
          <w:numId w:val="99"/>
        </w:numPr>
        <w:rPr>
          <w:rFonts w:ascii="Arial" w:cs="Arial" w:eastAsia="Arial" w:hAnsi="Arial"/>
          <w:sz w:val="12"/>
          <w:szCs w:val="12"/>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color w:val="auto"/>
        </w:rPr>
      </w:pPr>
    </w:p>
    <w:p>
      <w:pPr>
        <w:ind w:left="2620" w:hanging="288"/>
        <w:spacing w:after="0"/>
        <w:tabs>
          <w:tab w:leader="none" w:pos="2620" w:val="left"/>
        </w:tabs>
        <w:numPr>
          <w:ilvl w:val="1"/>
          <w:numId w:val="99"/>
        </w:numPr>
        <w:rPr>
          <w:rFonts w:ascii="Arial" w:cs="Arial" w:eastAsia="Arial" w:hAnsi="Arial"/>
          <w:sz w:val="11"/>
          <w:szCs w:val="11"/>
          <w:color w:val="auto"/>
        </w:rPr>
      </w:pPr>
      <w:r>
        <w:rPr>
          <w:rFonts w:ascii="Arial" w:cs="Arial" w:eastAsia="Arial" w:hAnsi="Arial"/>
          <w:sz w:val="11"/>
          <w:szCs w:val="11"/>
          <w:color w:val="auto"/>
        </w:rPr>
        <w:t>As of June 30, 2021, we own 83% of the issued and outstanding Common Shares of Genevant and 69% on a fully diluted basis.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189</w:t>
      </w:r>
    </w:p>
    <w:p>
      <w:pPr>
        <w:sectPr>
          <w:pgSz w:w="11900" w:h="16838" w:orient="portrait"/>
          <w:cols w:equalWidth="0" w:num="1">
            <w:col w:w="10159"/>
          </w:cols>
          <w:pgMar w:left="300" w:top="372"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Nucleic Acid Therapeutics</w:t>
      </w:r>
    </w:p>
    <w:p>
      <w:pPr>
        <w:spacing w:after="0" w:line="8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Nucleic acid therapeutics represent an attractive, novel modality that we believe may overcome challenges associated with traditional small molecule drug development in the treatment of genetically defined disease. The vast majority of human proteins are considered “undruggable” by small molecules based on their protein structure. Nucleic acid therapeutics circumvent the question of whether or not a target is undruggable by impacting protein expression itself.</w:t>
      </w:r>
    </w:p>
    <w:p>
      <w:pPr>
        <w:spacing w:after="0" w:line="12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field of nucleic acid therapeutics has gained significant momentum in recent years, with FDA approval of Alnylam’s Onpattro and Givlaari (givosiran), and emergency use authorization of multiple mRNA COVID-19 vaccines. There is a substantial pipeline of nucleic acid therapeutics in clinical development that further underscores the transformative potential of nucleic acid therapeutics in the near term. However, nucleic acid therapeutics remain challenged by obstacles in the delivery of nucleic acids to specific cell types. RNA molecules cannot passively cross most cell membranes given their large size and negative charge, and therefore must be administered in conjunction with a delivery technology to ensure transport to target cell types.</w:t>
      </w:r>
    </w:p>
    <w:p>
      <w:pPr>
        <w:spacing w:after="0" w:line="128"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We work with two proprietary technologies, an LNP delivery system and a ligand conjugate delivery system, to improve the likelihood of clinical success of nucleic acid therapeutics. Some of the intellectual property with respect to each of these technologies was licensed from Arbutus Biopharma in 2018.</w:t>
      </w:r>
    </w:p>
    <w:p>
      <w:pPr>
        <w:spacing w:after="0" w:line="122"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We have continued to advance our platforms, expanding into novel tissue types by leveraging the scientific expertise of several members of the technical team that originally developed or advanced the technologies at Arbutus and its predecessors.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Lipid Nanoparticle Platform</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LNP technology platform is designed to deliver nucleic acids, including mRNA, siRNA, antisense and gene editing constructs.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Some key features of our LNP technology are:</w:t>
      </w:r>
    </w:p>
    <w:p>
      <w:pPr>
        <w:spacing w:after="0" w:line="87" w:lineRule="exact"/>
        <w:rPr>
          <w:sz w:val="20"/>
          <w:szCs w:val="20"/>
          <w:color w:val="auto"/>
        </w:rPr>
      </w:pPr>
    </w:p>
    <w:p>
      <w:pPr>
        <w:ind w:left="2780" w:right="1099" w:hanging="295"/>
        <w:spacing w:after="0" w:line="323" w:lineRule="auto"/>
        <w:tabs>
          <w:tab w:leader="none" w:pos="278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Multi-component formulations that contain specialized lipids optimized for potency and tolerability, are capable of encapsulating a broad range of nucleic acid payloads, and have limited constraints on nucleic acid composition, structure or size</w:t>
      </w:r>
    </w:p>
    <w:p>
      <w:pPr>
        <w:spacing w:after="0" w:line="28" w:lineRule="exact"/>
        <w:rPr>
          <w:rFonts w:ascii="Arial" w:cs="Arial" w:eastAsia="Arial" w:hAnsi="Arial"/>
          <w:sz w:val="11"/>
          <w:szCs w:val="11"/>
          <w:color w:val="auto"/>
        </w:rPr>
      </w:pPr>
    </w:p>
    <w:p>
      <w:pPr>
        <w:ind w:left="2780" w:right="1239" w:hanging="295"/>
        <w:spacing w:after="0" w:line="276" w:lineRule="auto"/>
        <w:tabs>
          <w:tab w:leader="none" w:pos="27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 manufacturing process developed and scaled to produce stable uniform dispersion of colloidal nanoparticles with particle size appropriate for parenteral or intramuscular administration</w:t>
      </w:r>
    </w:p>
    <w:p>
      <w:pPr>
        <w:spacing w:after="0" w:line="51" w:lineRule="exact"/>
        <w:rPr>
          <w:rFonts w:ascii="Arial" w:cs="Arial" w:eastAsia="Arial" w:hAnsi="Arial"/>
          <w:sz w:val="12"/>
          <w:szCs w:val="12"/>
          <w:color w:val="auto"/>
        </w:rPr>
      </w:pPr>
    </w:p>
    <w:p>
      <w:pPr>
        <w:ind w:left="2780" w:hanging="295"/>
        <w:spacing w:after="0"/>
        <w:tabs>
          <w:tab w:leader="none" w:pos="27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Efficient intracellular delivery of nucleic acids to cell cytoplasm via engineered active endosomal escape mechanism</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190</w:t>
      </w:r>
    </w:p>
    <w:p>
      <w:pPr>
        <w:sectPr>
          <w:pgSz w:w="11900" w:h="16838" w:orient="portrait"/>
          <w:cols w:equalWidth="0" w:num="1">
            <w:col w:w="10159"/>
          </w:cols>
          <w:pgMar w:left="300" w:top="372"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20002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57575"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a head-to-head study comparing multiple LNP formulations varying only the key ionizable lipid, a newer Genevant formulation outperformed third party formulations. In particular, our formulation showed superior potency and avoidance of immune stimulation relative to others, including when compared with the LNP utilized in the first FDA-approved siRNA-LNP therapeutic, Alnylam’s Onpattro (“MC3” in figure below).</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191</w:t>
      </w:r>
    </w:p>
    <w:p>
      <w:pPr>
        <w:sectPr>
          <w:pgSz w:w="11900" w:h="16838" w:orient="portrait"/>
          <w:cols w:equalWidth="0" w:num="1">
            <w:col w:w="10159"/>
          </w:cols>
          <w:pgMar w:left="300" w:top="372"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780"/>
        <w:spacing w:after="0"/>
        <w:rPr>
          <w:sz w:val="20"/>
          <w:szCs w:val="20"/>
          <w:color w:val="auto"/>
        </w:rPr>
      </w:pPr>
      <w:r>
        <w:rPr>
          <w:rFonts w:ascii="Arial" w:cs="Arial" w:eastAsia="Arial" w:hAnsi="Arial"/>
          <w:sz w:val="12"/>
          <w:szCs w:val="12"/>
          <w:b w:val="1"/>
          <w:bCs w:val="1"/>
          <w:color w:val="auto"/>
        </w:rPr>
        <w:t>Genevant LNP Outperformed Third Party LNPs in Head-to-Head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12065</wp:posOffset>
            </wp:positionV>
            <wp:extent cx="3343275" cy="2508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3275" cy="250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980"/>
        <w:spacing w:after="0"/>
        <w:tabs>
          <w:tab w:leader="none" w:pos="4240" w:val="left"/>
        </w:tabs>
        <w:rPr>
          <w:sz w:val="20"/>
          <w:szCs w:val="20"/>
          <w:color w:val="auto"/>
        </w:rPr>
      </w:pPr>
      <w:r>
        <w:rPr>
          <w:rFonts w:ascii="Arial" w:cs="Arial" w:eastAsia="Arial" w:hAnsi="Arial"/>
          <w:sz w:val="12"/>
          <w:szCs w:val="12"/>
          <w:color w:val="auto"/>
        </w:rPr>
        <w:t>*Key</w:t>
      </w:r>
      <w:r>
        <w:rPr>
          <w:sz w:val="20"/>
          <w:szCs w:val="20"/>
          <w:color w:val="auto"/>
        </w:rPr>
        <w:tab/>
      </w:r>
      <w:r>
        <w:rPr>
          <w:rFonts w:ascii="Arial" w:cs="Arial" w:eastAsia="Arial" w:hAnsi="Arial"/>
          <w:sz w:val="12"/>
          <w:szCs w:val="12"/>
          <w:color w:val="auto"/>
        </w:rPr>
        <w:t>lipid of first FDA-approved siRNA-LNP (Alnylam’s Onpattro)</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In addition, Genevant LNP technology has entered the clinic in more than a dozen distinct product candidates, representing hundreds of subjects of clinical experience.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192</w:t>
      </w:r>
    </w:p>
    <w:p>
      <w:pPr>
        <w:sectPr>
          <w:pgSz w:w="11900" w:h="16838" w:orient="portrait"/>
          <w:cols w:equalWidth="0" w:num="1">
            <w:col w:w="10159"/>
          </w:cols>
          <w:pgMar w:left="300" w:top="372"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Substantial clinical experience with Genevant LNP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114935</wp:posOffset>
            </wp:positionV>
            <wp:extent cx="3457575" cy="16287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575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With this track record of success, we are now also focusing our LNP capabilities on historically challenging cell and tissue types, including hepatic stellate cells and the lung.</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have demonstrated our ability to deliver nucleic acid therapeutics to challenging targets through our efforts to access hepatic stellate cells (“HSCs”) in preclinical studies. Historically, attempts to address certain diseases have been limited by the inability to access specific cell types outside of the hepatocyte. The activation of HSCs is well established as a central driver of fibrosis, and thus technologies that target activated HSCs may be key to address certain liver diseases.</w:t>
      </w:r>
    </w:p>
    <w:p>
      <w:pPr>
        <w:spacing w:after="0" w:line="124"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In preclinical studies, delivery of RNAis to HSCs via Genevant’s LNP technology demonstrated selective knockdown of an HSC target with minimal activity in hepatocytes, as shown below. Additional preclinical studies support our ability to design LNPs to deliver nucleic acids to the lung, and we believe that our scientific expertise will allow us to direct LNPs toward additional cell and tissue types, such as the central nervous system and eye.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193</w:t>
      </w:r>
    </w:p>
    <w:p>
      <w:pPr>
        <w:sectPr>
          <w:pgSz w:w="11900" w:h="16838" w:orient="portrait"/>
          <w:cols w:equalWidth="0" w:num="1">
            <w:col w:w="10159"/>
          </w:cols>
          <w:pgMar w:left="300" w:top="372"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340"/>
        <w:spacing w:after="0"/>
        <w:rPr>
          <w:sz w:val="20"/>
          <w:szCs w:val="20"/>
          <w:color w:val="auto"/>
        </w:rPr>
      </w:pPr>
      <w:r>
        <w:rPr>
          <w:rFonts w:ascii="Arial" w:cs="Arial" w:eastAsia="Arial" w:hAnsi="Arial"/>
          <w:sz w:val="11"/>
          <w:szCs w:val="11"/>
          <w:b w:val="1"/>
          <w:bCs w:val="1"/>
          <w:color w:val="auto"/>
        </w:rPr>
        <w:t>LNP delivery of siRNA to HSCs demonstrated selective knockdown of target mRNA in mice with minimal activity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19050</wp:posOffset>
            </wp:positionV>
            <wp:extent cx="2457450" cy="13601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57450"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Ligand Conjugate Platform</w:t>
      </w:r>
    </w:p>
    <w:p>
      <w:pPr>
        <w:spacing w:after="0" w:line="82"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In addition to our LNP platform, we also have a proprietary RNAi ligand conjugate platform. Novel ligands can successfully deliver siRNA and certain other oligonucleotides to the liver, and our delivery expertise enables the design of novel ligands potentially to expand therapeutic reach to hepatic stellate cells. Our ligand conjugate technology has demonstrated equal or better preclinical potency, assessed by duration and magnitude of knockdown compared to current industry benchmark. We currently have multiple patents pending with respect to our ligand conjugate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-14605</wp:posOffset>
            </wp:positionV>
            <wp:extent cx="3457575" cy="20002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57575"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194</w:t>
      </w:r>
    </w:p>
    <w:p>
      <w:pPr>
        <w:sectPr>
          <w:pgSz w:w="11900" w:h="16838" w:orient="portrait"/>
          <w:cols w:equalWidth="0" w:num="1">
            <w:col w:w="10159"/>
          </w:cols>
          <w:pgMar w:left="300" w:top="372"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942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575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are developing a next-generation ligand conjugate (“RNAi 2.0”) platform. Our RNAi 2.0 platform has demonstrated superior strength and duration of knockdown compared to legacy ligand conjugates (“RNAi 1.0”) in a head-to-head nonclinical study in nonhuman primates. In addition, our RNAi 2.0 platform:</w:t>
      </w:r>
    </w:p>
    <w:p>
      <w:pPr>
        <w:spacing w:after="0" w:line="59" w:lineRule="exact"/>
        <w:rPr>
          <w:sz w:val="20"/>
          <w:szCs w:val="20"/>
          <w:color w:val="auto"/>
        </w:rPr>
      </w:pPr>
    </w:p>
    <w:p>
      <w:pPr>
        <w:ind w:left="2620" w:hanging="288"/>
        <w:spacing w:after="0"/>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Contains intrinsic endosomolytic properties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Has demonstrated marked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enhancement in potency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Has maintained a subcutaneous dosing regimen and would be dosed subcutaneously in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Remains compatible with other ligand types</w:t>
      </w:r>
    </w:p>
    <w:p>
      <w:pPr>
        <w:spacing w:after="0" w:line="290"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Next Generation RNAi 2.0 Conjugate Platform Shows Improved Potency, Magnitude and Duration of Knockdown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13773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57575" cy="137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Strategy</w:t>
      </w:r>
    </w:p>
    <w:p>
      <w:pPr>
        <w:spacing w:after="0" w:line="8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Genevant seeks to partner with other pharmaceutical or biotechnology companies in the development of RNA therapeutics, crafting mutually beneficial collaborations that allow collaboration partners to access innovative technologies while providing Genevant the opportunity to leverage our expertise to expand the technology and corresponding therapeutic reach.</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provides the following benefits to collaborators:</w:t>
      </w:r>
    </w:p>
    <w:p>
      <w:pPr>
        <w:spacing w:after="0" w:line="87" w:lineRule="exact"/>
        <w:rPr>
          <w:sz w:val="20"/>
          <w:szCs w:val="20"/>
          <w:color w:val="auto"/>
        </w:rPr>
      </w:pPr>
    </w:p>
    <w:p>
      <w:pPr>
        <w:ind w:left="5560" w:right="2319" w:hanging="3228"/>
        <w:spacing w:after="0" w:line="448" w:lineRule="auto"/>
        <w:tabs>
          <w:tab w:leader="none" w:pos="2626"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Access to validated technology to deliver nucleic acid therapeutics to hepatocytes or for vaccine applications 195</w:t>
      </w:r>
    </w:p>
    <w:p>
      <w:pPr>
        <w:sectPr>
          <w:pgSz w:w="11900" w:h="16838" w:orient="portrait"/>
          <w:cols w:equalWidth="0" w:num="1">
            <w:col w:w="10159"/>
          </w:cols>
          <w:pgMar w:left="300" w:top="372"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03"/>
        </w:numPr>
        <w:rPr>
          <w:rFonts w:ascii="Arial" w:cs="Arial" w:eastAsia="Arial" w:hAnsi="Arial"/>
          <w:sz w:val="10"/>
          <w:szCs w:val="10"/>
          <w:color w:val="auto"/>
        </w:rPr>
      </w:pPr>
      <w:r>
        <w:rPr>
          <w:rFonts w:ascii="Arial" w:cs="Arial" w:eastAsia="Arial" w:hAnsi="Arial"/>
          <w:sz w:val="10"/>
          <w:szCs w:val="10"/>
          <w:color w:val="auto"/>
        </w:rPr>
        <w:t>Potential to deliver RNA payloads to historically challenging-to-reach tissue or cell types, as well as nucleic acid design capabilities</w:t>
      </w:r>
    </w:p>
    <w:p>
      <w:pPr>
        <w:spacing w:after="0" w:line="110" w:lineRule="exact"/>
        <w:rPr>
          <w:rFonts w:ascii="Arial" w:cs="Arial" w:eastAsia="Arial" w:hAnsi="Arial"/>
          <w:sz w:val="10"/>
          <w:szCs w:val="10"/>
          <w:color w:val="auto"/>
        </w:rPr>
      </w:pPr>
    </w:p>
    <w:p>
      <w:pPr>
        <w:ind w:left="2920" w:hanging="291"/>
        <w:spacing w:after="0"/>
        <w:tabs>
          <w:tab w:leader="none" w:pos="292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No need to build internal delivery expertise or build intellectual property estate from scratch in an increasingly complex field</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provides the following benefits to Genevant:</w:t>
      </w:r>
    </w:p>
    <w:p>
      <w:pPr>
        <w:spacing w:after="0" w:line="87" w:lineRule="exact"/>
        <w:rPr>
          <w:sz w:val="20"/>
          <w:szCs w:val="20"/>
          <w:color w:val="auto"/>
        </w:rPr>
      </w:pPr>
    </w:p>
    <w:p>
      <w:pPr>
        <w:ind w:left="2920" w:hanging="291"/>
        <w:spacing w:after="0"/>
        <w:tabs>
          <w:tab w:leader="none" w:pos="29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Opportunity to expand core delivery technology and capabilities, maintaining leadership position in nucleic acid delivery</w:t>
      </w:r>
    </w:p>
    <w:p>
      <w:pPr>
        <w:spacing w:after="0" w:line="87" w:lineRule="exact"/>
        <w:rPr>
          <w:rFonts w:ascii="Arial" w:cs="Arial" w:eastAsia="Arial" w:hAnsi="Arial"/>
          <w:sz w:val="12"/>
          <w:szCs w:val="12"/>
          <w:color w:val="auto"/>
        </w:rPr>
      </w:pPr>
    </w:p>
    <w:p>
      <w:pPr>
        <w:ind w:left="2920" w:right="1179" w:hanging="291"/>
        <w:spacing w:after="0" w:line="276" w:lineRule="auto"/>
        <w:tabs>
          <w:tab w:leader="none" w:pos="29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Typically, certain rights to delivery-related intellectual property developed in the context of collaboration and ability to exploit through other nonexclusive out-licenses</w:t>
      </w:r>
    </w:p>
    <w:p>
      <w:pPr>
        <w:spacing w:after="0" w:line="51" w:lineRule="exact"/>
        <w:rPr>
          <w:rFonts w:ascii="Arial" w:cs="Arial" w:eastAsia="Arial" w:hAnsi="Arial"/>
          <w:sz w:val="12"/>
          <w:szCs w:val="12"/>
          <w:color w:val="auto"/>
        </w:rPr>
      </w:pPr>
    </w:p>
    <w:p>
      <w:pPr>
        <w:ind w:left="2920" w:right="1039" w:hanging="291"/>
        <w:spacing w:after="0" w:line="276" w:lineRule="auto"/>
        <w:tabs>
          <w:tab w:leader="none" w:pos="29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Opportunity to generate revenue through deal structures including some combination of upfront payments, R&amp;D reimbursements and additional milestones and royalties upon successful outcomes</w:t>
      </w:r>
    </w:p>
    <w:p>
      <w:pPr>
        <w:spacing w:after="0" w:line="11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date, Genevant has partnered with leading companies with a shared vision of advancing innovative nucleic acid medicines to transform the lives of patients. Our collaborations currently include:</w:t>
      </w:r>
    </w:p>
    <w:p>
      <w:pPr>
        <w:spacing w:after="0" w:line="48" w:lineRule="exact"/>
        <w:rPr>
          <w:sz w:val="20"/>
          <w:szCs w:val="20"/>
          <w:color w:val="auto"/>
        </w:rPr>
      </w:pPr>
    </w:p>
    <w:p>
      <w:pPr>
        <w:ind w:left="2620" w:hanging="288"/>
        <w:spacing w:after="0"/>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Gritstone</w:t>
      </w:r>
      <w:r>
        <w:rPr>
          <w:rFonts w:ascii="Arial" w:cs="Arial" w:eastAsia="Arial" w:hAnsi="Arial"/>
          <w:sz w:val="12"/>
          <w:szCs w:val="12"/>
          <w:color w:val="auto"/>
        </w:rPr>
        <w:t>—Access to Genevant’s LNP technology for use in Gritstone’s self-amplifying RNA COVID-19 vaccine program</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Gritstone</w:t>
      </w:r>
      <w:r>
        <w:rPr>
          <w:rFonts w:ascii="Arial" w:cs="Arial" w:eastAsia="Arial" w:hAnsi="Arial"/>
          <w:sz w:val="12"/>
          <w:szCs w:val="12"/>
          <w:color w:val="auto"/>
        </w:rPr>
        <w:t>—Access to LNP technology for use with self-amplifying RNA for an unspecified indication</w:t>
      </w:r>
    </w:p>
    <w:p>
      <w:pPr>
        <w:spacing w:after="0" w:line="87" w:lineRule="exact"/>
        <w:rPr>
          <w:rFonts w:ascii="Arial" w:cs="Arial" w:eastAsia="Arial" w:hAnsi="Arial"/>
          <w:sz w:val="12"/>
          <w:szCs w:val="12"/>
          <w:color w:val="auto"/>
        </w:rPr>
      </w:pPr>
    </w:p>
    <w:p>
      <w:pPr>
        <w:jc w:val="both"/>
        <w:ind w:left="2620" w:right="1079" w:hanging="288"/>
        <w:spacing w:after="0" w:line="266" w:lineRule="auto"/>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Sarepta</w:t>
      </w:r>
      <w:r>
        <w:rPr>
          <w:rFonts w:ascii="Arial" w:cs="Arial" w:eastAsia="Arial" w:hAnsi="Arial"/>
          <w:sz w:val="12"/>
          <w:szCs w:val="12"/>
          <w:color w:val="auto"/>
        </w:rPr>
        <w:t>—Research collaboration and option agreement for the delivery of LNP-gene editing therapeutics for specified neuromuscular</w:t>
      </w:r>
      <w:r>
        <w:rPr>
          <w:rFonts w:ascii="Arial" w:cs="Arial" w:eastAsia="Arial" w:hAnsi="Arial"/>
          <w:sz w:val="12"/>
          <w:szCs w:val="12"/>
          <w:b w:val="1"/>
          <w:bCs w:val="1"/>
          <w:color w:val="auto"/>
        </w:rPr>
        <w:t xml:space="preserve"> </w:t>
      </w:r>
      <w:r>
        <w:rPr>
          <w:rFonts w:ascii="Arial" w:cs="Arial" w:eastAsia="Arial" w:hAnsi="Arial"/>
          <w:sz w:val="12"/>
          <w:szCs w:val="12"/>
          <w:color w:val="auto"/>
        </w:rPr>
        <w:t>diseases; Genevant will design and collaborate with Sarepta in the development of muscle targeted LNPs to be applied to gene editing targets in multiple indications, including Duchenne muscular dystrophy</w:t>
      </w:r>
    </w:p>
    <w:p>
      <w:pPr>
        <w:spacing w:after="0" w:line="54" w:lineRule="exact"/>
        <w:rPr>
          <w:rFonts w:ascii="Arial" w:cs="Arial" w:eastAsia="Arial" w:hAnsi="Arial"/>
          <w:sz w:val="12"/>
          <w:szCs w:val="12"/>
          <w:color w:val="auto"/>
        </w:rPr>
      </w:pPr>
    </w:p>
    <w:p>
      <w:pPr>
        <w:ind w:left="2620" w:right="1259" w:hanging="288"/>
        <w:spacing w:after="0" w:line="283" w:lineRule="auto"/>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BioNTech</w:t>
      </w:r>
      <w:r>
        <w:rPr>
          <w:rFonts w:ascii="Arial" w:cs="Arial" w:eastAsia="Arial" w:hAnsi="Arial"/>
          <w:sz w:val="12"/>
          <w:szCs w:val="12"/>
          <w:color w:val="auto"/>
        </w:rPr>
        <w:t>—Co-development in up to five rare diseases with high unmet medical need, and access to LNP technology for use with</w:t>
      </w:r>
      <w:r>
        <w:rPr>
          <w:rFonts w:ascii="Arial" w:cs="Arial" w:eastAsia="Arial" w:hAnsi="Arial"/>
          <w:sz w:val="12"/>
          <w:szCs w:val="12"/>
          <w:b w:val="1"/>
          <w:bCs w:val="1"/>
          <w:color w:val="auto"/>
        </w:rPr>
        <w:t xml:space="preserve"> </w:t>
      </w:r>
      <w:r>
        <w:rPr>
          <w:rFonts w:ascii="Arial" w:cs="Arial" w:eastAsia="Arial" w:hAnsi="Arial"/>
          <w:sz w:val="12"/>
          <w:szCs w:val="12"/>
          <w:color w:val="auto"/>
        </w:rPr>
        <w:t>BioNTech’s mRNA for a specified number of oncology targets</w:t>
      </w:r>
    </w:p>
    <w:p>
      <w:pPr>
        <w:spacing w:after="0" w:line="43" w:lineRule="exact"/>
        <w:rPr>
          <w:rFonts w:ascii="Arial" w:cs="Arial" w:eastAsia="Arial" w:hAnsi="Arial"/>
          <w:sz w:val="12"/>
          <w:szCs w:val="12"/>
          <w:color w:val="auto"/>
        </w:rPr>
      </w:pPr>
    </w:p>
    <w:p>
      <w:pPr>
        <w:ind w:left="2620" w:right="919" w:hanging="288"/>
        <w:spacing w:after="0" w:line="283" w:lineRule="auto"/>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Takeda</w:t>
      </w:r>
      <w:r>
        <w:rPr>
          <w:rFonts w:ascii="Arial" w:cs="Arial" w:eastAsia="Arial" w:hAnsi="Arial"/>
          <w:sz w:val="12"/>
          <w:szCs w:val="12"/>
          <w:color w:val="auto"/>
        </w:rPr>
        <w:t>—Access to LNP technology to develop nucleic acid therapeutics directed to specified targets in hepatic stellate cells to treat liver</w:t>
      </w:r>
      <w:r>
        <w:rPr>
          <w:rFonts w:ascii="Arial" w:cs="Arial" w:eastAsia="Arial" w:hAnsi="Arial"/>
          <w:sz w:val="12"/>
          <w:szCs w:val="12"/>
          <w:b w:val="1"/>
          <w:bCs w:val="1"/>
          <w:color w:val="auto"/>
        </w:rPr>
        <w:t xml:space="preserve"> </w:t>
      </w:r>
      <w:r>
        <w:rPr>
          <w:rFonts w:ascii="Arial" w:cs="Arial" w:eastAsia="Arial" w:hAnsi="Arial"/>
          <w:sz w:val="12"/>
          <w:szCs w:val="12"/>
          <w:color w:val="auto"/>
        </w:rPr>
        <w:t>fibrosis</w:t>
      </w:r>
    </w:p>
    <w:p>
      <w:pPr>
        <w:spacing w:after="0" w:line="43" w:lineRule="exact"/>
        <w:rPr>
          <w:rFonts w:ascii="Arial" w:cs="Arial" w:eastAsia="Arial" w:hAnsi="Arial"/>
          <w:sz w:val="12"/>
          <w:szCs w:val="12"/>
          <w:color w:val="auto"/>
        </w:rPr>
      </w:pPr>
    </w:p>
    <w:p>
      <w:pPr>
        <w:ind w:left="2620" w:hanging="288"/>
        <w:spacing w:after="0"/>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Takeda</w:t>
      </w:r>
      <w:r>
        <w:rPr>
          <w:rFonts w:ascii="Arial" w:cs="Arial" w:eastAsia="Arial" w:hAnsi="Arial"/>
          <w:sz w:val="12"/>
          <w:szCs w:val="12"/>
          <w:color w:val="auto"/>
        </w:rPr>
        <w:t>—Access to LNP technology to develop nonviral gene therapies for up to two rare liver diseases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ST Pharm</w:t>
      </w:r>
      <w:r>
        <w:rPr>
          <w:rFonts w:ascii="Arial" w:cs="Arial" w:eastAsia="Arial" w:hAnsi="Arial"/>
          <w:sz w:val="12"/>
          <w:szCs w:val="12"/>
          <w:color w:val="auto"/>
        </w:rPr>
        <w:t>—Access to Genevant’s LNP technology for use in specified territories in an mRNA COVID-19 vaccine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Providence</w:t>
      </w:r>
      <w:r>
        <w:rPr>
          <w:rFonts w:ascii="Arial" w:cs="Arial" w:eastAsia="Arial" w:hAnsi="Arial"/>
          <w:sz w:val="12"/>
          <w:szCs w:val="12"/>
          <w:color w:val="auto"/>
        </w:rPr>
        <w:t>—Access to Genevant’s LNP technology for use in Providence’s mRNA COVID-19 vaccine program</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Potential Benefits of Genevant’s Delivery Platforms</w:t>
      </w:r>
    </w:p>
    <w:p>
      <w:pPr>
        <w:spacing w:after="0" w:line="91" w:lineRule="exact"/>
        <w:rPr>
          <w:sz w:val="20"/>
          <w:szCs w:val="20"/>
          <w:color w:val="auto"/>
        </w:rPr>
      </w:pPr>
    </w:p>
    <w:p>
      <w:pPr>
        <w:ind w:left="2620" w:right="979" w:hanging="288"/>
        <w:spacing w:after="0" w:line="259" w:lineRule="auto"/>
        <w:tabs>
          <w:tab w:leader="none" w:pos="2620"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 xml:space="preserve">Robust and expansive patent estate. </w:t>
      </w:r>
      <w:r>
        <w:rPr>
          <w:rFonts w:ascii="Arial" w:cs="Arial" w:eastAsia="Arial" w:hAnsi="Arial"/>
          <w:sz w:val="12"/>
          <w:szCs w:val="12"/>
          <w:color w:val="auto"/>
        </w:rPr>
        <w:t>As of October 15, 2021, over 700 issued patents and pending patent applications for our LNP</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 including coverage of individual lipid structure, particle composition, particle morphology, manufacturing and mRNA-LNP formulations. As we continue to develop these technologies, we expect to have the opportunity to expand intellectual property protection further, to enhance protection and support additional licensing opportunities.</w:t>
      </w:r>
    </w:p>
    <w:p>
      <w:pPr>
        <w:spacing w:after="0" w:line="61" w:lineRule="exact"/>
        <w:rPr>
          <w:rFonts w:ascii="Arial" w:cs="Arial" w:eastAsia="Arial" w:hAnsi="Arial"/>
          <w:sz w:val="12"/>
          <w:szCs w:val="12"/>
          <w:color w:val="auto"/>
        </w:rPr>
      </w:pPr>
    </w:p>
    <w:p>
      <w:pPr>
        <w:ind w:left="2620" w:right="1019" w:hanging="288"/>
        <w:spacing w:after="0" w:line="263" w:lineRule="auto"/>
        <w:tabs>
          <w:tab w:leader="none" w:pos="2620"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 xml:space="preserve">Experienced leadership team. </w:t>
      </w:r>
      <w:r>
        <w:rPr>
          <w:rFonts w:ascii="Arial" w:cs="Arial" w:eastAsia="Arial" w:hAnsi="Arial"/>
          <w:sz w:val="12"/>
          <w:szCs w:val="12"/>
          <w:color w:val="auto"/>
        </w:rPr>
        <w:t>Our leadership team has deep technical expertise in nucleic acid drug development and a track record of</w:t>
      </w:r>
      <w:r>
        <w:rPr>
          <w:rFonts w:ascii="Arial" w:cs="Arial" w:eastAsia="Arial" w:hAnsi="Arial"/>
          <w:sz w:val="12"/>
          <w:szCs w:val="12"/>
          <w:i w:val="1"/>
          <w:iCs w:val="1"/>
          <w:color w:val="auto"/>
        </w:rPr>
        <w:t xml:space="preserve"> </w:t>
      </w:r>
      <w:r>
        <w:rPr>
          <w:rFonts w:ascii="Arial" w:cs="Arial" w:eastAsia="Arial" w:hAnsi="Arial"/>
          <w:sz w:val="12"/>
          <w:szCs w:val="12"/>
          <w:color w:val="auto"/>
        </w:rPr>
        <w:t>executing successfully in innovative areas. We believe this positions Genevant to expand delivery to historically challenging tissues and cell types, thereby creating potential opportunities for creative collaboration.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196</w:t>
      </w:r>
    </w:p>
    <w:p>
      <w:pPr>
        <w:sectPr>
          <w:pgSz w:w="11900" w:h="16838" w:orient="portrait"/>
          <w:cols w:equalWidth="0" w:num="1">
            <w:col w:w="10159"/>
          </w:cols>
          <w:pgMar w:left="300" w:top="372"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359" w:hanging="288"/>
        <w:spacing w:after="0" w:line="323" w:lineRule="auto"/>
        <w:tabs>
          <w:tab w:leader="none" w:pos="2620" w:val="left"/>
        </w:tabs>
        <w:numPr>
          <w:ilvl w:val="0"/>
          <w:numId w:val="107"/>
        </w:numPr>
        <w:rPr>
          <w:rFonts w:ascii="Arial" w:cs="Arial" w:eastAsia="Arial" w:hAnsi="Arial"/>
          <w:sz w:val="11"/>
          <w:szCs w:val="11"/>
          <w:color w:val="auto"/>
        </w:rPr>
      </w:pPr>
      <w:r>
        <w:rPr>
          <w:rFonts w:ascii="Arial" w:cs="Arial" w:eastAsia="Arial" w:hAnsi="Arial"/>
          <w:sz w:val="11"/>
          <w:szCs w:val="11"/>
          <w:i w:val="1"/>
          <w:iCs w:val="1"/>
          <w:color w:val="auto"/>
        </w:rPr>
        <w:t xml:space="preserve">Manufacturing know-how. </w:t>
      </w:r>
      <w:r>
        <w:rPr>
          <w:rFonts w:ascii="Arial" w:cs="Arial" w:eastAsia="Arial" w:hAnsi="Arial"/>
          <w:sz w:val="11"/>
          <w:szCs w:val="11"/>
          <w:color w:val="auto"/>
        </w:rPr>
        <w:t>Since inception, we have made strategic investments in expanding our manufacturing know-how. Our</w:t>
      </w:r>
      <w:r>
        <w:rPr>
          <w:rFonts w:ascii="Arial" w:cs="Arial" w:eastAsia="Arial" w:hAnsi="Arial"/>
          <w:sz w:val="11"/>
          <w:szCs w:val="11"/>
          <w:i w:val="1"/>
          <w:iCs w:val="1"/>
          <w:color w:val="auto"/>
        </w:rPr>
        <w:t xml:space="preserve"> </w:t>
      </w:r>
      <w:r>
        <w:rPr>
          <w:rFonts w:ascii="Arial" w:cs="Arial" w:eastAsia="Arial" w:hAnsi="Arial"/>
          <w:sz w:val="11"/>
          <w:szCs w:val="11"/>
          <w:color w:val="auto"/>
        </w:rPr>
        <w:t>manufacturing process is rapid and reproducible, has intellectual property protection and is capable of commercial scale.</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Expansive Patent Portfolio</w:t>
      </w:r>
    </w:p>
    <w:p>
      <w:pPr>
        <w:spacing w:after="0" w:line="82" w:lineRule="exact"/>
        <w:rPr>
          <w:sz w:val="20"/>
          <w:szCs w:val="20"/>
          <w:color w:val="auto"/>
        </w:rPr>
      </w:pPr>
    </w:p>
    <w:p>
      <w:pPr>
        <w:jc w:val="right"/>
        <w:ind w:right="1199"/>
        <w:spacing w:after="0"/>
        <w:rPr>
          <w:sz w:val="20"/>
          <w:szCs w:val="20"/>
          <w:color w:val="auto"/>
        </w:rPr>
      </w:pPr>
      <w:r>
        <w:rPr>
          <w:rFonts w:ascii="Arial" w:cs="Arial" w:eastAsia="Arial" w:hAnsi="Arial"/>
          <w:sz w:val="12"/>
          <w:szCs w:val="12"/>
          <w:color w:val="auto"/>
        </w:rPr>
        <w:t>Our LNP platform is protected with a robust patent portfolio, covering a wide range of aspects required for successful nucleic acid delivery.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patents are directed to:</w:t>
      </w:r>
    </w:p>
    <w:p>
      <w:pPr>
        <w:spacing w:after="0" w:line="87" w:lineRule="exact"/>
        <w:rPr>
          <w:sz w:val="20"/>
          <w:szCs w:val="20"/>
          <w:color w:val="auto"/>
        </w:rPr>
      </w:pPr>
    </w:p>
    <w:p>
      <w:pPr>
        <w:ind w:left="2920" w:hanging="291"/>
        <w:spacing w:after="0"/>
        <w:tabs>
          <w:tab w:leader="none" w:pos="29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Structures and individual lipid compositions, including cationic and PEG-lipids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Particle compositions, including commonly used, most active ranges of lipid ratios for nucleic acid-containing particles</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Nucleic acid-containing particles with certain structural characteristics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mRNA-containing LNP formulations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Various aspects of our manufacturing process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197</w:t>
      </w:r>
    </w:p>
    <w:p>
      <w:pPr>
        <w:sectPr>
          <w:pgSz w:w="11900" w:h="16838" w:orient="portrait"/>
          <w:cols w:equalWidth="0" w:num="1">
            <w:col w:w="10159"/>
          </w:cols>
          <w:pgMar w:left="300" w:top="372"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40"/>
        <w:spacing w:after="0"/>
        <w:rPr>
          <w:sz w:val="20"/>
          <w:szCs w:val="20"/>
          <w:color w:val="auto"/>
        </w:rPr>
      </w:pPr>
      <w:r>
        <w:rPr>
          <w:rFonts w:ascii="Arial" w:cs="Arial" w:eastAsia="Arial" w:hAnsi="Arial"/>
          <w:sz w:val="12"/>
          <w:szCs w:val="12"/>
          <w:b w:val="1"/>
          <w:bCs w:val="1"/>
          <w:u w:val="single" w:color="auto"/>
          <w:color w:val="auto"/>
        </w:rPr>
        <w:t>Lysovant Overview</w:t>
      </w:r>
    </w:p>
    <w:p>
      <w:pPr>
        <w:spacing w:after="0" w:line="168" w:lineRule="exact"/>
        <w:rPr>
          <w:sz w:val="20"/>
          <w:szCs w:val="20"/>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right="1219" w:hanging="288"/>
        <w:spacing w:after="0" w:line="276" w:lineRule="auto"/>
        <w:tabs>
          <w:tab w:leader="none" w:pos="262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 xml:space="preserve">Lysovant is developing LSVT-1701, a novel endolysin, for the treatment of </w:t>
      </w:r>
      <w:r>
        <w:rPr>
          <w:rFonts w:ascii="Arial" w:cs="Arial" w:eastAsia="Arial" w:hAnsi="Arial"/>
          <w:sz w:val="12"/>
          <w:szCs w:val="12"/>
          <w:i w:val="1"/>
          <w:iCs w:val="1"/>
          <w:color w:val="auto"/>
        </w:rPr>
        <w:t>Staph aureus</w:t>
      </w:r>
      <w:r>
        <w:rPr>
          <w:rFonts w:ascii="Arial" w:cs="Arial" w:eastAsia="Arial" w:hAnsi="Arial"/>
          <w:sz w:val="12"/>
          <w:szCs w:val="12"/>
          <w:color w:val="auto"/>
        </w:rPr>
        <w:t xml:space="preserve"> bacteremia (“SAB”) to potentially address significant unmet medical need in the treatment of serious bacterial infections.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ind w:left="2620" w:right="1159" w:hanging="288"/>
        <w:spacing w:after="0" w:line="276" w:lineRule="auto"/>
        <w:tabs>
          <w:tab w:leader="none" w:pos="2620" w:val="left"/>
        </w:tabs>
        <w:numPr>
          <w:ilvl w:val="1"/>
          <w:numId w:val="109"/>
        </w:numPr>
        <w:rPr>
          <w:rFonts w:ascii="Arial" w:cs="Arial" w:eastAsia="Arial" w:hAnsi="Arial"/>
          <w:sz w:val="12"/>
          <w:szCs w:val="12"/>
          <w:color w:val="auto"/>
        </w:rPr>
      </w:pPr>
      <w:r>
        <w:rPr>
          <w:rFonts w:ascii="Arial" w:cs="Arial" w:eastAsia="Arial" w:hAnsi="Arial"/>
          <w:sz w:val="12"/>
          <w:szCs w:val="12"/>
          <w:i w:val="1"/>
          <w:iCs w:val="1"/>
          <w:color w:val="auto"/>
        </w:rPr>
        <w:t xml:space="preserve">LSVT-1701: </w:t>
      </w:r>
      <w:r>
        <w:rPr>
          <w:rFonts w:ascii="Arial" w:cs="Arial" w:eastAsia="Arial" w:hAnsi="Arial"/>
          <w:sz w:val="12"/>
          <w:szCs w:val="12"/>
          <w:color w:val="auto"/>
        </w:rPr>
        <w:t>Novel bacteriophage-derived biologic candidate with potent, selective and rapid bactericidal anti-staphylococcal activity</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multi-resistant strains via cell wall hydrolysis.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1199" w:hanging="288"/>
        <w:spacing w:after="0" w:line="340" w:lineRule="auto"/>
        <w:tabs>
          <w:tab w:leader="none" w:pos="2620" w:val="left"/>
        </w:tabs>
        <w:numPr>
          <w:ilvl w:val="1"/>
          <w:numId w:val="109"/>
        </w:numPr>
        <w:rPr>
          <w:rFonts w:ascii="Arial" w:cs="Arial" w:eastAsia="Arial" w:hAnsi="Arial"/>
          <w:sz w:val="10"/>
          <w:szCs w:val="10"/>
          <w:color w:val="auto"/>
        </w:rPr>
      </w:pPr>
      <w:r>
        <w:rPr>
          <w:rFonts w:ascii="Arial" w:cs="Arial" w:eastAsia="Arial" w:hAnsi="Arial"/>
          <w:sz w:val="10"/>
          <w:szCs w:val="10"/>
          <w:i w:val="1"/>
          <w:iCs w:val="1"/>
          <w:color w:val="auto"/>
        </w:rPr>
        <w:t xml:space="preserve">Staph aureus </w:t>
      </w:r>
      <w:r>
        <w:rPr>
          <w:rFonts w:ascii="Arial" w:cs="Arial" w:eastAsia="Arial" w:hAnsi="Arial"/>
          <w:sz w:val="10"/>
          <w:szCs w:val="10"/>
          <w:color w:val="auto"/>
        </w:rPr>
        <w:t>is a major cause of infections in the United States and can be serious or fatal by causing bacteremia or sepsis when the</w:t>
      </w:r>
      <w:r>
        <w:rPr>
          <w:rFonts w:ascii="Arial" w:cs="Arial" w:eastAsia="Arial" w:hAnsi="Arial"/>
          <w:sz w:val="10"/>
          <w:szCs w:val="10"/>
          <w:i w:val="1"/>
          <w:iCs w:val="1"/>
          <w:color w:val="auto"/>
        </w:rPr>
        <w:t xml:space="preserve"> </w:t>
      </w:r>
      <w:r>
        <w:rPr>
          <w:rFonts w:ascii="Arial" w:cs="Arial" w:eastAsia="Arial" w:hAnsi="Arial"/>
          <w:sz w:val="10"/>
          <w:szCs w:val="10"/>
          <w:color w:val="auto"/>
        </w:rPr>
        <w:t>bacteria enter the bloodstream. Unless promptly treated, SAB can metastasize to deep tissues and significantly increase the risk of mortality. The most common complications include infective endocarditis (“IE”), vertebral osteomyelitis and pulmonary infections.</w:t>
      </w:r>
    </w:p>
    <w:p>
      <w:pPr>
        <w:spacing w:after="0" w:line="24" w:lineRule="exact"/>
        <w:rPr>
          <w:rFonts w:ascii="Arial" w:cs="Arial" w:eastAsia="Arial" w:hAnsi="Arial"/>
          <w:sz w:val="10"/>
          <w:szCs w:val="10"/>
          <w:color w:val="auto"/>
        </w:rPr>
      </w:pPr>
    </w:p>
    <w:p>
      <w:pPr>
        <w:jc w:val="both"/>
        <w:ind w:left="2620" w:right="1019" w:hanging="288"/>
        <w:spacing w:after="0" w:line="379" w:lineRule="auto"/>
        <w:tabs>
          <w:tab w:leader="none" w:pos="2620" w:val="left"/>
        </w:tabs>
        <w:numPr>
          <w:ilvl w:val="1"/>
          <w:numId w:val="109"/>
        </w:numPr>
        <w:rPr>
          <w:rFonts w:ascii="Arial" w:cs="Arial" w:eastAsia="Arial" w:hAnsi="Arial"/>
          <w:sz w:val="10"/>
          <w:szCs w:val="10"/>
          <w:color w:val="auto"/>
        </w:rPr>
      </w:pPr>
      <w:r>
        <w:rPr>
          <w:rFonts w:ascii="Arial" w:cs="Arial" w:eastAsia="Arial" w:hAnsi="Arial"/>
          <w:sz w:val="10"/>
          <w:szCs w:val="10"/>
          <w:color w:val="auto"/>
        </w:rPr>
        <w:t>In the United States, there are an estimated 226,000 patients with SAB and 50,000 with IE per year. The incidence of SAB is increasing due to the growth of invasive procedures, expansion of implanted medical devices and rise in number of immunocompromised patients.</w:t>
      </w:r>
    </w:p>
    <w:p>
      <w:pPr>
        <w:spacing w:after="0" w:line="1" w:lineRule="exact"/>
        <w:rPr>
          <w:rFonts w:ascii="Arial" w:cs="Arial" w:eastAsia="Arial" w:hAnsi="Arial"/>
          <w:sz w:val="10"/>
          <w:szCs w:val="10"/>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right="879" w:hanging="288"/>
        <w:spacing w:after="0" w:line="259" w:lineRule="auto"/>
        <w:tabs>
          <w:tab w:leader="none" w:pos="262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Current standard of care antibiotics for SAB are vancomycin and daptomycin for MRSA, and beta-lactam antibiotics for MSSA, and there has been no innovation for decades. Current antibiotic treatments take days to suppress the bacteria in hospitalized SAB patients. There exists significant unmet need for rapid bactericidal antibiotics for complicated SAB and IE, as patients require more effective treatments to reduce the high mortality of these diseases.</w:t>
      </w:r>
    </w:p>
    <w:p>
      <w:pPr>
        <w:spacing w:after="0" w:line="5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1279" w:hanging="288"/>
        <w:spacing w:after="0" w:line="276" w:lineRule="auto"/>
        <w:tabs>
          <w:tab w:leader="none" w:pos="262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Results from Phase 1/2a clinical trials suggest that LSVT-1701 is generally well-tolerated with an adequate safety profile on top of standard of care antibiotics.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right="879" w:hanging="288"/>
        <w:spacing w:after="0" w:line="276" w:lineRule="auto"/>
        <w:tabs>
          <w:tab w:leader="none" w:pos="262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We anticipate initiating a Multiple Ascending Dose (MAD) study of LSVT-1701 in patients with complicated SAB including IE in the first half of calendar year 2022.</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09"/>
        </w:numPr>
        <w:rPr>
          <w:rFonts w:ascii="Arial" w:cs="Arial" w:eastAsia="Arial" w:hAnsi="Arial"/>
          <w:sz w:val="11"/>
          <w:szCs w:val="11"/>
          <w:color w:val="auto"/>
        </w:rPr>
      </w:pPr>
      <w:r>
        <w:rPr>
          <w:rFonts w:ascii="Arial" w:cs="Arial" w:eastAsia="Arial" w:hAnsi="Arial"/>
          <w:sz w:val="11"/>
          <w:szCs w:val="11"/>
          <w:color w:val="auto"/>
        </w:rPr>
        <w:t>As of June 30, 2021, we own 100% of the issued and outstanding common shares of Lysovant and 99% on a fully diluted basis.</w:t>
      </w:r>
    </w:p>
    <w:p>
      <w:pPr>
        <w:spacing w:after="0" w:line="94" w:lineRule="exact"/>
        <w:rPr>
          <w:rFonts w:ascii="Arial" w:cs="Arial" w:eastAsia="Arial" w:hAnsi="Arial"/>
          <w:sz w:val="11"/>
          <w:szCs w:val="11"/>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285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57575" cy="2857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198</w:t>
      </w:r>
    </w:p>
    <w:p>
      <w:pPr>
        <w:sectPr>
          <w:pgSz w:w="11900" w:h="16838" w:orient="portrait"/>
          <w:cols w:equalWidth="0" w:num="1">
            <w:col w:w="10159"/>
          </w:cols>
          <w:pgMar w:left="300" w:top="372"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LSVT-1701</w:t>
      </w:r>
    </w:p>
    <w:p>
      <w:pPr>
        <w:spacing w:after="0" w:line="8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LSVT-1701 is a selective and efficient bactericide due to its unique endolysin mechanism. Where other antibiotics and treatments inhibit the synthesis or function of the bacteria’s cell wall, nucleic acid, membrane, and protein, LSVT-1701 directly cleaves the bacteria’s cell wall leading to rapid bacterial 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-7620</wp:posOffset>
            </wp:positionV>
            <wp:extent cx="3434715" cy="11658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3471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 xml:space="preserve">We believe LSVT-1701 may be the most effective lysin due to its use of two catalytic domains, called amidase and endopeptidase. These domains provide peptidoglycan (cell wall) hydrolysis. While the amidase cuts between the sugar stands and stem peptides, the endopeptidase cleaves the bonds between the stem peptide and the pentaglycine bridge. As shown below, this novel endolysin mechanism potentially allows for more rapid bactericidal effect. Additionally, endolysin target binding sites are highly conserved and essential to </w:t>
      </w:r>
      <w:r>
        <w:rPr>
          <w:rFonts w:ascii="Arial" w:cs="Arial" w:eastAsia="Arial" w:hAnsi="Arial"/>
          <w:sz w:val="12"/>
          <w:szCs w:val="12"/>
          <w:i w:val="1"/>
          <w:iCs w:val="1"/>
          <w:color w:val="auto"/>
        </w:rPr>
        <w:t>S. aureus</w:t>
      </w:r>
      <w:r>
        <w:rPr>
          <w:rFonts w:ascii="Arial" w:cs="Arial" w:eastAsia="Arial" w:hAnsi="Arial"/>
          <w:sz w:val="12"/>
          <w:szCs w:val="12"/>
          <w:color w:val="auto"/>
        </w:rPr>
        <w:t xml:space="preserve"> bacteria viability</w:t>
      </w:r>
      <w:r>
        <w:rPr>
          <w:rFonts w:ascii="Arial" w:cs="Arial" w:eastAsia="Arial" w:hAnsi="Arial"/>
          <w:sz w:val="12"/>
          <w:szCs w:val="12"/>
          <w:i w:val="1"/>
          <w:iCs w:val="1"/>
          <w:color w:val="auto"/>
        </w:rPr>
        <w:t>.</w:t>
      </w:r>
      <w:r>
        <w:rPr>
          <w:rFonts w:ascii="Arial" w:cs="Arial" w:eastAsia="Arial" w:hAnsi="Arial"/>
          <w:sz w:val="12"/>
          <w:szCs w:val="12"/>
          <w:color w:val="auto"/>
        </w:rPr>
        <w:t xml:space="preserve"> We believe this may contribute to lower propensity for resistance.</w:t>
      </w:r>
    </w:p>
    <w:p>
      <w:pPr>
        <w:spacing w:after="0" w:line="268"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LSVT-1701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14916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575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 xml:space="preserve">LSVT-1701 for the Treatment of </w:t>
      </w:r>
      <w:r>
        <w:rPr>
          <w:rFonts w:ascii="Arial" w:cs="Arial" w:eastAsia="Arial" w:hAnsi="Arial"/>
          <w:sz w:val="12"/>
          <w:szCs w:val="12"/>
          <w:b w:val="1"/>
          <w:bCs w:val="1"/>
          <w:i w:val="1"/>
          <w:iCs w:val="1"/>
          <w:color w:val="auto"/>
        </w:rPr>
        <w:t>Staph aureus</w:t>
      </w:r>
      <w:r>
        <w:rPr>
          <w:rFonts w:ascii="Arial" w:cs="Arial" w:eastAsia="Arial" w:hAnsi="Arial"/>
          <w:sz w:val="12"/>
          <w:szCs w:val="12"/>
          <w:b w:val="1"/>
          <w:bCs w:val="1"/>
          <w:color w:val="auto"/>
        </w:rPr>
        <w:t xml:space="preserve"> Bacteremia</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Staph aureus bacteremia and limitations of current treatments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i w:val="1"/>
          <w:iCs w:val="1"/>
          <w:color w:val="auto"/>
        </w:rPr>
        <w:t xml:space="preserve">Staph aureus </w:t>
      </w:r>
      <w:r>
        <w:rPr>
          <w:rFonts w:ascii="Arial" w:cs="Arial" w:eastAsia="Arial" w:hAnsi="Arial"/>
          <w:sz w:val="12"/>
          <w:szCs w:val="12"/>
          <w:color w:val="auto"/>
        </w:rPr>
        <w:t>is a major cause of infections in the United States and can be serious or fatal by causing bacteremia or sepsis when the bacteria enter</w:t>
      </w:r>
      <w:r>
        <w:rPr>
          <w:rFonts w:ascii="Arial" w:cs="Arial" w:eastAsia="Arial" w:hAnsi="Arial"/>
          <w:sz w:val="12"/>
          <w:szCs w:val="12"/>
          <w:i w:val="1"/>
          <w:iCs w:val="1"/>
          <w:color w:val="auto"/>
        </w:rPr>
        <w:t xml:space="preserve"> </w:t>
      </w:r>
      <w:r>
        <w:rPr>
          <w:rFonts w:ascii="Arial" w:cs="Arial" w:eastAsia="Arial" w:hAnsi="Arial"/>
          <w:sz w:val="12"/>
          <w:szCs w:val="12"/>
          <w:color w:val="auto"/>
        </w:rPr>
        <w:t>the bloodstream. Other complications from infection include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199</w:t>
      </w:r>
    </w:p>
    <w:p>
      <w:pPr>
        <w:sectPr>
          <w:pgSz w:w="11900" w:h="16838" w:orient="portrait"/>
          <w:cols w:equalWidth="0" w:num="1">
            <w:col w:w="10159"/>
          </w:cols>
          <w:pgMar w:left="300" w:top="372"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spacing w:after="0" w:line="323" w:lineRule="auto"/>
        <w:rPr>
          <w:sz w:val="20"/>
          <w:szCs w:val="20"/>
          <w:color w:val="auto"/>
        </w:rPr>
      </w:pPr>
      <w:r>
        <w:rPr>
          <w:rFonts w:ascii="Arial" w:cs="Arial" w:eastAsia="Arial" w:hAnsi="Arial"/>
          <w:sz w:val="11"/>
          <w:szCs w:val="11"/>
          <w:color w:val="auto"/>
        </w:rPr>
        <w:t xml:space="preserve">infective endocarditis, where the infection reaches heart valves and may cause heart failure or stroke, and osteomyelitis, where the bone becomes infected. Common strains of </w:t>
      </w:r>
      <w:r>
        <w:rPr>
          <w:rFonts w:ascii="Arial" w:cs="Arial" w:eastAsia="Arial" w:hAnsi="Arial"/>
          <w:sz w:val="11"/>
          <w:szCs w:val="11"/>
          <w:i w:val="1"/>
          <w:iCs w:val="1"/>
          <w:color w:val="auto"/>
        </w:rPr>
        <w:t>Staph aureus</w:t>
      </w:r>
      <w:r>
        <w:rPr>
          <w:rFonts w:ascii="Arial" w:cs="Arial" w:eastAsia="Arial" w:hAnsi="Arial"/>
          <w:sz w:val="11"/>
          <w:szCs w:val="11"/>
          <w:color w:val="auto"/>
        </w:rPr>
        <w:t xml:space="preserve"> are either methicillin-resistant (“MRSA”) or methicillin-susceptible (“MSSA”).</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In the United States, there are an estimated 226,000 patients with </w:t>
      </w:r>
      <w:r>
        <w:rPr>
          <w:rFonts w:ascii="Arial" w:cs="Arial" w:eastAsia="Arial" w:hAnsi="Arial"/>
          <w:sz w:val="11"/>
          <w:szCs w:val="11"/>
          <w:i w:val="1"/>
          <w:iCs w:val="1"/>
          <w:color w:val="auto"/>
        </w:rPr>
        <w:t>S. aureus</w:t>
      </w:r>
      <w:r>
        <w:rPr>
          <w:rFonts w:ascii="Arial" w:cs="Arial" w:eastAsia="Arial" w:hAnsi="Arial"/>
          <w:sz w:val="11"/>
          <w:szCs w:val="11"/>
          <w:color w:val="auto"/>
        </w:rPr>
        <w:t xml:space="preserve"> bacteremia and 50,000 with infective endocarditis per year. Of all SAB cases, around 45% are caused by MRSA and 55% by MSSA. Complicated bacteremia due to sepsis, comorbidities or dialysis accounts for approximately 32% of SAB cases per year and refractory bacteremia accounts for approximately 28% of SAB cases per year. In addition to being a leading cause of infections, SAB is also a major cost driver to U.S. hospitals and results in high mortality rates. Average 30-day mortality of </w:t>
      </w:r>
      <w:r>
        <w:rPr>
          <w:rFonts w:ascii="Arial" w:cs="Arial" w:eastAsia="Arial" w:hAnsi="Arial"/>
          <w:sz w:val="11"/>
          <w:szCs w:val="11"/>
          <w:i w:val="1"/>
          <w:iCs w:val="1"/>
          <w:color w:val="auto"/>
        </w:rPr>
        <w:t>S. aureus</w:t>
      </w:r>
      <w:r>
        <w:rPr>
          <w:rFonts w:ascii="Arial" w:cs="Arial" w:eastAsia="Arial" w:hAnsi="Arial"/>
          <w:sz w:val="11"/>
          <w:szCs w:val="11"/>
          <w:color w:val="auto"/>
        </w:rPr>
        <w:t xml:space="preserve"> infections is around 20% with current antibiotic treatment. Complicated bacteremia is associated with higher mortality rates of up to 30%. MRSA and MSSA bacteremia is associated with long hospital stays and high ICU utilization, particularly for complicated bacteremia and IE. Cost of care for SAB across MRSA and MSSA is around $7.4 billion annually, with sepsis due to the bacteria accounting for 79% of this annual cost. These burdens are in part due to rising resistance of infections to current standard of care antibiotics. Consequently, there is a great need for new therapies efficacious for both hard-to-treat MRSA and MSSA.</w:t>
      </w:r>
    </w:p>
    <w:p>
      <w:pPr>
        <w:spacing w:after="0" w:line="117"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believe that if approved for commercial sale, LSVT-1701 would be differentiated from both current standard of care and emerging endolysin treatments for SAB and IE. Endolysins have been clinically validated as a novel class of bacterial treatment by results from ContraFect’s Phase 2 trial of exebacase, which showed efficacy in MRSA but not MSSA and in right-sided infective endocarditis compared to standard of care antibiotics alone. While exebacase’s endolysin mechanism only cleaves at one site in the cell wall, LSVT-1701 cleaves at two, potentially increasing its bactericidal capability. Based on preclinical and clinical trials, we believe that if approved, LSVT-1701 can also be given in multiple doses and at higher dosing levels compared to exebacase, which cannot be dosed twice and has a compound-specific dose-limiting toxicology signal (vasculitis). If approved, we believe that LSVT-1701 could be an attractive treatment on top of standard of care for populations with high medical needs, such as those with complicated MRSA and MSSA bacteremia, and left-sided infective endocarditis.</w:t>
      </w:r>
    </w:p>
    <w:p>
      <w:pPr>
        <w:spacing w:after="0" w:line="11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As a result of the novel endolysin mechanism of LSVT-1701, we believe that LSVT-1701, if approved for use, could provide the following potential benefits:</w:t>
      </w:r>
    </w:p>
    <w:p>
      <w:pPr>
        <w:spacing w:after="0" w:line="52" w:lineRule="exact"/>
        <w:rPr>
          <w:sz w:val="20"/>
          <w:szCs w:val="20"/>
          <w:color w:val="auto"/>
        </w:rPr>
      </w:pPr>
    </w:p>
    <w:p>
      <w:pPr>
        <w:ind w:left="2620" w:right="939" w:hanging="288"/>
        <w:spacing w:after="0" w:line="276" w:lineRule="auto"/>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Rapid antibacterial activity. </w:t>
      </w:r>
      <w:r>
        <w:rPr>
          <w:rFonts w:ascii="Arial" w:cs="Arial" w:eastAsia="Arial" w:hAnsi="Arial"/>
          <w:sz w:val="12"/>
          <w:szCs w:val="12"/>
          <w:color w:val="auto"/>
        </w:rPr>
        <w:t>Where current antibiotic treatments take a long time to suppress the bacteria, LSVT-1701 has the potential to</w:t>
      </w:r>
      <w:r>
        <w:rPr>
          <w:rFonts w:ascii="Arial" w:cs="Arial" w:eastAsia="Arial" w:hAnsi="Arial"/>
          <w:sz w:val="12"/>
          <w:szCs w:val="12"/>
          <w:i w:val="1"/>
          <w:iCs w:val="1"/>
          <w:color w:val="auto"/>
        </w:rPr>
        <w:t xml:space="preserve"> </w:t>
      </w:r>
      <w:r>
        <w:rPr>
          <w:rFonts w:ascii="Arial" w:cs="Arial" w:eastAsia="Arial" w:hAnsi="Arial"/>
          <w:sz w:val="12"/>
          <w:szCs w:val="12"/>
          <w:color w:val="auto"/>
        </w:rPr>
        <w:t>provide rapid and highly effective lytic action.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Species specificity. </w:t>
      </w:r>
      <w:r>
        <w:rPr>
          <w:rFonts w:ascii="Arial" w:cs="Arial" w:eastAsia="Arial" w:hAnsi="Arial"/>
          <w:sz w:val="12"/>
          <w:szCs w:val="12"/>
          <w:color w:val="auto"/>
        </w:rPr>
        <w:t>Anti-staphylococcal endolysins provide pathogen-targeted bacteriolysis and preserve normal flora</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Low propensity for resistance. </w:t>
      </w:r>
      <w:r>
        <w:rPr>
          <w:rFonts w:ascii="Arial" w:cs="Arial" w:eastAsia="Arial" w:hAnsi="Arial"/>
          <w:sz w:val="12"/>
          <w:szCs w:val="12"/>
          <w:color w:val="auto"/>
        </w:rPr>
        <w:t>Target binding sites are highly conserved and essential to bacteria viability.</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Synergy with standard of care. </w:t>
      </w:r>
      <w:r>
        <w:rPr>
          <w:rFonts w:ascii="Arial" w:cs="Arial" w:eastAsia="Arial" w:hAnsi="Arial"/>
          <w:sz w:val="12"/>
          <w:szCs w:val="12"/>
          <w:color w:val="auto"/>
        </w:rPr>
        <w:t>LSVT-1701 has the potential to be used to treat antibiotic-resistant bacteria and administered concurrently</w:t>
      </w:r>
      <w:r>
        <w:rPr>
          <w:rFonts w:ascii="Arial" w:cs="Arial" w:eastAsia="Arial" w:hAnsi="Arial"/>
          <w:sz w:val="12"/>
          <w:szCs w:val="12"/>
          <w:i w:val="1"/>
          <w:iCs w:val="1"/>
          <w:color w:val="auto"/>
        </w:rPr>
        <w:t xml:space="preserve"> </w:t>
      </w:r>
      <w:r>
        <w:rPr>
          <w:rFonts w:ascii="Arial" w:cs="Arial" w:eastAsia="Arial" w:hAnsi="Arial"/>
          <w:sz w:val="12"/>
          <w:szCs w:val="12"/>
          <w:color w:val="auto"/>
        </w:rPr>
        <w:t>with antibiotics.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Effective against biofilms. </w:t>
      </w:r>
      <w:r>
        <w:rPr>
          <w:rFonts w:ascii="Arial" w:cs="Arial" w:eastAsia="Arial" w:hAnsi="Arial"/>
          <w:sz w:val="12"/>
          <w:szCs w:val="12"/>
          <w:color w:val="auto"/>
        </w:rPr>
        <w:t>In animal models, LSVT-1701 eradicated and cleared biofilm where standard of care is ineffective.</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Effective against all strains. In vitro </w:t>
      </w:r>
      <w:r>
        <w:rPr>
          <w:rFonts w:ascii="Arial" w:cs="Arial" w:eastAsia="Arial" w:hAnsi="Arial"/>
          <w:sz w:val="12"/>
          <w:szCs w:val="12"/>
          <w:color w:val="auto"/>
        </w:rPr>
        <w:t>susceptibility data demonstrate an activity profile for both MRSA and MSSA, and multi-resistant</w:t>
      </w:r>
      <w:r>
        <w:rPr>
          <w:rFonts w:ascii="Arial" w:cs="Arial" w:eastAsia="Arial" w:hAnsi="Arial"/>
          <w:sz w:val="12"/>
          <w:szCs w:val="12"/>
          <w:i w:val="1"/>
          <w:iCs w:val="1"/>
          <w:color w:val="auto"/>
        </w:rPr>
        <w:t xml:space="preserve"> </w:t>
      </w:r>
      <w:r>
        <w:rPr>
          <w:rFonts w:ascii="Arial" w:cs="Arial" w:eastAsia="Arial" w:hAnsi="Arial"/>
          <w:sz w:val="12"/>
          <w:szCs w:val="12"/>
          <w:color w:val="auto"/>
        </w:rPr>
        <w:t>clinical isolates</w:t>
      </w:r>
      <w:r>
        <w:rPr>
          <w:rFonts w:ascii="Arial" w:cs="Arial" w:eastAsia="Arial" w:hAnsi="Arial"/>
          <w:sz w:val="12"/>
          <w:szCs w:val="12"/>
          <w:i w:val="1"/>
          <w:iCs w:val="1"/>
          <w:color w:val="auto"/>
        </w:rPr>
        <w: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Phase 1</w:t>
      </w:r>
    </w:p>
    <w:p>
      <w:pPr>
        <w:spacing w:after="0" w:line="78"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In February 2019, iNtRON Biotechnology completed Phase 1 studies evaluating the safety, pharmocokinetics and pharmacodynamics of LSVT-1701. In these double-blind, placebo-controlled studies, 51 healthy subjects were given single or multiple ascending doses. All adverse events reported were mild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200</w:t>
      </w:r>
    </w:p>
    <w:p>
      <w:pPr>
        <w:sectPr>
          <w:pgSz w:w="11900" w:h="16838" w:orient="portrait"/>
          <w:cols w:equalWidth="0" w:num="1">
            <w:col w:w="10159"/>
          </w:cols>
          <w:pgMar w:left="300" w:top="372"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moderate and included chills or rigors, infusion site reaction, pyrexia, headache, myalgia and fatigue. These adverse events appeared dose-dependently but were not frequency-dependent. There were no reported severe adverse events reported.</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Phase 2a</w:t>
      </w:r>
    </w:p>
    <w:p>
      <w:pPr>
        <w:spacing w:after="0" w:line="78"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 xml:space="preserve">In November 2019, Lysovant completed a randomized, placebo-controlled Phase 2a clinical trial evaluating the safety of LSVT-1701 in </w:t>
      </w:r>
      <w:r>
        <w:rPr>
          <w:rFonts w:ascii="Arial" w:cs="Arial" w:eastAsia="Arial" w:hAnsi="Arial"/>
          <w:sz w:val="11"/>
          <w:szCs w:val="11"/>
          <w:i w:val="1"/>
          <w:iCs w:val="1"/>
          <w:color w:val="auto"/>
        </w:rPr>
        <w:t>S. aureus</w:t>
      </w:r>
      <w:r>
        <w:rPr>
          <w:rFonts w:ascii="Arial" w:cs="Arial" w:eastAsia="Arial" w:hAnsi="Arial"/>
          <w:sz w:val="11"/>
          <w:szCs w:val="11"/>
          <w:color w:val="auto"/>
        </w:rPr>
        <w:t xml:space="preserve"> bacteremia. In this trial, 12 subjects with persistent MRSA or MSSA bacteremia received a single IV dose of LSVT-1701 3 mg/kg in addition to standard of care antibiotics. 13 subjects received placebo, alongside standard of care antibiotics. LSVT-1701 was generally well-tolerated, with similar proportion of subjects reporting adverse events in both placebo and LSVT-1701 arms. Additionally, there was also no evidence of cytokine storm or anaphylaxis. The safety profile observed potentially allows for higher dosing in future trials.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879" w:firstLine="294"/>
        <w:spacing w:after="0" w:line="268" w:lineRule="auto"/>
        <w:rPr>
          <w:sz w:val="20"/>
          <w:szCs w:val="20"/>
          <w:color w:val="auto"/>
        </w:rPr>
      </w:pPr>
      <w:r>
        <w:rPr>
          <w:rFonts w:ascii="Arial" w:cs="Arial" w:eastAsia="Arial" w:hAnsi="Arial"/>
          <w:sz w:val="11"/>
          <w:szCs w:val="11"/>
          <w:color w:val="auto"/>
        </w:rPr>
        <w:t xml:space="preserve">In a non-neutropenic murine bacteremia (i.e., MSSA sepsis) model, postantibiotic effect (“PAE”) occurred after 48 hours. PAE occurs when bacterial growth is successfully suppressed after drug administration. There were no dose-limiting toxicities like vascular lesions or immunogenicity following administration of multiple doses, which suggests safety and tolerability within the model. In a rabbit infectious endocarditis model, a multi-dose regimen of LSVT-1701 demonstrated complete sterilization of tissues. The data also suggest the ability to dissolve bacterial vegetations, as LSVT-1701 achieved complete experimental sterilization on top of daptomycin, whereas the daptomycin antibiotic regimen alone and exebacase on top of daptomycin did not (not a head-to-head study). </w:t>
      </w:r>
      <w:r>
        <w:rPr>
          <w:rFonts w:ascii="Arial" w:cs="Arial" w:eastAsia="Arial" w:hAnsi="Arial"/>
          <w:sz w:val="11"/>
          <w:szCs w:val="11"/>
          <w:i w:val="1"/>
          <w:iCs w:val="1"/>
          <w:color w:val="auto"/>
        </w:rPr>
        <w:t>In vitro</w:t>
      </w:r>
      <w:r>
        <w:rPr>
          <w:rFonts w:ascii="Arial" w:cs="Arial" w:eastAsia="Arial" w:hAnsi="Arial"/>
          <w:sz w:val="11"/>
          <w:szCs w:val="11"/>
          <w:color w:val="auto"/>
        </w:rPr>
        <w:t>, LSVT-1701 has demonstrated a narrow and well-defined minimum inhibitory concentration (MIC) range (MIC</w:t>
      </w:r>
      <w:r>
        <w:rPr>
          <w:rFonts w:ascii="Arial" w:cs="Arial" w:eastAsia="Arial" w:hAnsi="Arial"/>
          <w:sz w:val="15"/>
          <w:szCs w:val="15"/>
          <w:color w:val="auto"/>
          <w:vertAlign w:val="subscript"/>
        </w:rPr>
        <w:t>90</w:t>
      </w:r>
      <w:r>
        <w:rPr>
          <w:rFonts w:ascii="Arial" w:cs="Arial" w:eastAsia="Arial" w:hAnsi="Arial"/>
          <w:sz w:val="11"/>
          <w:szCs w:val="11"/>
          <w:color w:val="auto"/>
        </w:rPr>
        <w:t xml:space="preserve"> 2 ug/ml) across a diverse collection of current clinical </w:t>
      </w:r>
      <w:r>
        <w:rPr>
          <w:rFonts w:ascii="Arial" w:cs="Arial" w:eastAsia="Arial" w:hAnsi="Arial"/>
          <w:sz w:val="11"/>
          <w:szCs w:val="11"/>
          <w:i w:val="1"/>
          <w:iCs w:val="1"/>
          <w:color w:val="auto"/>
        </w:rPr>
        <w:t>S. aureus</w:t>
      </w:r>
      <w:r>
        <w:rPr>
          <w:rFonts w:ascii="Arial" w:cs="Arial" w:eastAsia="Arial" w:hAnsi="Arial"/>
          <w:sz w:val="11"/>
          <w:szCs w:val="11"/>
          <w:color w:val="auto"/>
        </w:rPr>
        <w:t xml:space="preserve"> isolates including MRSA, MSSA, vancomycin-intermediate </w:t>
      </w:r>
      <w:r>
        <w:rPr>
          <w:rFonts w:ascii="Arial" w:cs="Arial" w:eastAsia="Arial" w:hAnsi="Arial"/>
          <w:sz w:val="11"/>
          <w:szCs w:val="11"/>
          <w:i w:val="1"/>
          <w:iCs w:val="1"/>
          <w:color w:val="auto"/>
        </w:rPr>
        <w:t>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aureus </w:t>
      </w:r>
      <w:r>
        <w:rPr>
          <w:rFonts w:ascii="Arial" w:cs="Arial" w:eastAsia="Arial" w:hAnsi="Arial"/>
          <w:sz w:val="11"/>
          <w:szCs w:val="11"/>
          <w:color w:val="auto"/>
        </w:rPr>
        <w:t>(VISA), and glycopeptide-intermediate</w:t>
      </w:r>
      <w:r>
        <w:rPr>
          <w:rFonts w:ascii="Arial" w:cs="Arial" w:eastAsia="Arial" w:hAnsi="Arial"/>
          <w:sz w:val="11"/>
          <w:szCs w:val="11"/>
          <w:i w:val="1"/>
          <w:iCs w:val="1"/>
          <w:color w:val="auto"/>
        </w:rPr>
        <w:t xml:space="preserve"> S. aureus </w:t>
      </w:r>
      <w:r>
        <w:rPr>
          <w:rFonts w:ascii="Arial" w:cs="Arial" w:eastAsia="Arial" w:hAnsi="Arial"/>
          <w:sz w:val="11"/>
          <w:szCs w:val="11"/>
          <w:color w:val="auto"/>
        </w:rPr>
        <w:t>(GISA). LSVT-1701 also exhibited a comparable MIC range in 82 coagulase negative</w:t>
      </w:r>
      <w:r>
        <w:rPr>
          <w:rFonts w:ascii="Arial" w:cs="Arial" w:eastAsia="Arial" w:hAnsi="Arial"/>
          <w:sz w:val="11"/>
          <w:szCs w:val="11"/>
          <w:i w:val="1"/>
          <w:iCs w:val="1"/>
          <w:color w:val="auto"/>
        </w:rPr>
        <w:t xml:space="preserve"> </w:t>
      </w:r>
      <w:r>
        <w:rPr>
          <w:rFonts w:ascii="Arial" w:cs="Arial" w:eastAsia="Arial" w:hAnsi="Arial"/>
          <w:sz w:val="11"/>
          <w:szCs w:val="11"/>
          <w:color w:val="auto"/>
        </w:rPr>
        <w:t>staphylococci (CoNS) isolates. MIC measures the lowest concentration of drug necessary to prevent visible bacterial growth, and a narrower MIC range suggests that LSVT-1701 is an efficient bactericide against multi-resistant clinical isolates. LSVT-1701 was also not adversely affected by decreased susceptibility or resistance to various antibiotics, further confirming its bactericidal activity.</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LSVT-1701 is being developed for the treatment of SAB and IE, and we plan to initiate a Multiple Ascending Dose (MAD) study in the first half of calendar year 2022.</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201</w:t>
      </w:r>
    </w:p>
    <w:p>
      <w:pPr>
        <w:sectPr>
          <w:pgSz w:w="11900" w:h="16838" w:orient="portrait"/>
          <w:cols w:equalWidth="0" w:num="1">
            <w:col w:w="10159"/>
          </w:cols>
          <w:pgMar w:left="300" w:top="372"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40"/>
        <w:spacing w:after="0"/>
        <w:rPr>
          <w:sz w:val="20"/>
          <w:szCs w:val="20"/>
          <w:color w:val="auto"/>
        </w:rPr>
      </w:pPr>
      <w:r>
        <w:rPr>
          <w:rFonts w:ascii="Arial" w:cs="Arial" w:eastAsia="Arial" w:hAnsi="Arial"/>
          <w:sz w:val="12"/>
          <w:szCs w:val="12"/>
          <w:b w:val="1"/>
          <w:bCs w:val="1"/>
          <w:u w:val="single" w:color="auto"/>
          <w:color w:val="auto"/>
        </w:rPr>
        <w:t>Kinevant Overview</w:t>
      </w:r>
    </w:p>
    <w:p>
      <w:pPr>
        <w:spacing w:after="0" w:line="168"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Kinevant is focused on developing namilumab for pulmonary sarcoidosis and other autoimmune diseases.</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i w:val="1"/>
          <w:iCs w:val="1"/>
          <w:color w:val="auto"/>
        </w:rPr>
        <w:t xml:space="preserve">Namilumab: </w:t>
      </w:r>
      <w:r>
        <w:rPr>
          <w:rFonts w:ascii="Arial" w:cs="Arial" w:eastAsia="Arial" w:hAnsi="Arial"/>
          <w:sz w:val="12"/>
          <w:szCs w:val="12"/>
          <w:color w:val="auto"/>
        </w:rPr>
        <w:t>Fully human anti-GM-CSF monoclonal antibody with broad potential in autoimmune diseases.</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1219" w:hanging="288"/>
        <w:spacing w:after="0" w:line="276" w:lineRule="auto"/>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Sarcoidosis is a multisystem autoimmune disease that affects approximately 200,000 people in the United States, with 95% of cases presenting with pulmonary involvement.</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jc w:val="both"/>
        <w:ind w:left="2620" w:right="939" w:hanging="288"/>
        <w:spacing w:after="0" w:line="340" w:lineRule="auto"/>
        <w:tabs>
          <w:tab w:leader="none" w:pos="2620" w:val="left"/>
        </w:tabs>
        <w:numPr>
          <w:ilvl w:val="1"/>
          <w:numId w:val="111"/>
        </w:numPr>
        <w:rPr>
          <w:rFonts w:ascii="Arial" w:cs="Arial" w:eastAsia="Arial" w:hAnsi="Arial"/>
          <w:sz w:val="10"/>
          <w:szCs w:val="10"/>
          <w:color w:val="auto"/>
        </w:rPr>
      </w:pPr>
      <w:r>
        <w:rPr>
          <w:rFonts w:ascii="Arial" w:cs="Arial" w:eastAsia="Arial" w:hAnsi="Arial"/>
          <w:sz w:val="10"/>
          <w:szCs w:val="10"/>
          <w:color w:val="auto"/>
        </w:rPr>
        <w:t>Corticosteroids are the most widely used treatment for sarcoidosis, but they carry significant side effects when used longer-term. Second-and third-line treatment options, including immunosuppressive therapies and biologics, are limited by slow onset, safety risk, inconsistent effectiveness, and reimbursement challenges, leaving significant unmet medical need that could be met by a novel biologic.</w:t>
      </w:r>
    </w:p>
    <w:p>
      <w:pPr>
        <w:spacing w:after="0" w:line="20" w:lineRule="exact"/>
        <w:rPr>
          <w:rFonts w:ascii="Arial" w:cs="Arial" w:eastAsia="Arial" w:hAnsi="Arial"/>
          <w:sz w:val="10"/>
          <w:szCs w:val="1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899" w:hanging="288"/>
        <w:spacing w:after="0" w:line="276" w:lineRule="auto"/>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Early clinical data in pharmacokinetic/pharmacodynamic (PK/PD) and subsequent Phase 2 studies showed namilumab to be well tolerated with a single subcutaneous injection given up to every four weeks.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right="879" w:hanging="288"/>
        <w:spacing w:after="0" w:line="276" w:lineRule="auto"/>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We plan to initiate a Phase 2 trial to test for the safety and efficacy of namilumab in pulmonary sarcoidosis in the first half of calendar year 2022.</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right="1019" w:hanging="288"/>
        <w:spacing w:after="0" w:line="276" w:lineRule="auto"/>
        <w:tabs>
          <w:tab w:leader="none" w:pos="26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As of June 30, 2021, we own 88% of the issued and outstanding common shares of Pharmavant 3 (renamed Kinevant in October 2021), and 88% on a fully diluted basis.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12065</wp:posOffset>
            </wp:positionV>
            <wp:extent cx="3457575"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57575" cy="24003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980"/>
        <w:spacing w:after="0"/>
        <w:rPr>
          <w:sz w:val="20"/>
          <w:szCs w:val="20"/>
          <w:color w:val="auto"/>
        </w:rPr>
      </w:pPr>
      <w:r>
        <w:rPr>
          <w:rFonts w:ascii="Arial" w:cs="Arial" w:eastAsia="Arial" w:hAnsi="Arial"/>
          <w:sz w:val="12"/>
          <w:szCs w:val="12"/>
          <w:b w:val="1"/>
          <w:bCs w:val="1"/>
          <w:u w:val="single" w:color="auto"/>
          <w:color w:val="auto"/>
        </w:rPr>
        <w:t>Namilumab</w:t>
      </w:r>
    </w:p>
    <w:p>
      <w:pPr>
        <w:spacing w:after="0" w:line="82"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Namilumab is a fully human monoclonal antibody that neutralizes granulocyte-macrophage colony-stimulating factor (“GM-CSF”) activity by preventing it from binding to high-affinity cell surface receptors, neutralizing the otherwise pathogenic cytokine in conditions such as pulmonary sarcoidosis.</w:t>
      </w:r>
    </w:p>
    <w:p>
      <w:pPr>
        <w:spacing w:after="0" w:line="122"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GM-CSF provides key functions as a pro-inflammatory cytokine and growth factor. Following antigen stimulation or activation by cytokines, GM-CSF can be secreted by a variety of cell types, including activated B and T cells. GM-CSF is pro-inflammatory as it activates macrophages and other cells to drive inflammation and tissue damage. GM-CSF also acts as a growth factor; for example, recombinant GM-CSF is used for the treatment of low white blood cell counts in cancer patients undergoing chemotherapy to increase white blood cells and mobilize them into peripheral blood.</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202</w:t>
      </w:r>
    </w:p>
    <w:p>
      <w:pPr>
        <w:sectPr>
          <w:pgSz w:w="11900" w:h="16838" w:orient="portrait"/>
          <w:cols w:equalWidth="0" w:num="1">
            <w:col w:w="10159"/>
          </w:cols>
          <w:pgMar w:left="300" w:top="372"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GM-CSF’s Role in Sarcoid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12065</wp:posOffset>
            </wp:positionV>
            <wp:extent cx="1548765" cy="2165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8765"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1"/>
          <w:szCs w:val="11"/>
          <w:color w:val="auto"/>
        </w:rPr>
        <w:t>Due to its targeting of a common pro-inflammatory cytokine, we intend to evaluate the development of namilumab for the treatment of a number of potential autoimmune indications. GM-CSF administration has been found to drive disease progression in a variety of preclinical models, including inflammatory arthritis, multiple sclerosis, interstitial lung disease, nephritis, myocarditis, and giant cell arteritis, among others, suggesting broad utility of the anti-GM-CSF mechanism. Macrophages have been implicated in the progression of fibrosis in lung injury, which indicates a potential role of anti-GM-CSF as an antifibrotic. Numerous other cytokine inhibitors, including those targeting TNF-Î±, IL-6, IL-23, and IL-17, have been successfully clinically validated across a broad range of indications, which we believe suggests potentially broad and flexible application of namilumab. Targeting GM-CSF has been clinically validated in two other autoimmune diseases, rheumatoid arthritis and giant cell arteritis, where Phase 2 trials have shown anti-GM-CSFs to be generally well tolerated and to have demonstrated the potential for symptom resolution. Additionally, namilumab is being developed with potentially the least frequent dosing schedule of other subcutaneous anti-GM-CSFs in Phase 2 or Phase 3 clinical trials, with a single dose every four weeks after an initial loading period, and has been studied in approximately 300 patients to date. Based on the anti-GM-CSF development landscape, we believe that namilumab has potential for pulmonary sarcoidosis and multiple avenues for expansion across both clinically validated indications and indications with no known anti-GM-CSF development. The three other anti-GM-CSFs currently in Phase 2 or Phase 3 clinical trials are GlaxoSmithKline’s otilimab, which is subcutaneous, dosed weekly, and currently undergoing Phase 3 trials in rheumatoid arthritis and a Phase 2 trial in COVID-19; Kiniksa’s mavrilumab, which is subcutaneous, dosed every two weeks, and last completed a positive Phase 2 trial in giant cell arteritis and is undergoing a Phase 3 trial in COVID-19 pneumonia and hyperinflammation; and Humanigen’s lenzilumab, which is intravenous, dosed every four weeks, and reported positive topline results in a Phase 3 trial in COVID-19 pneumonia.</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Namilumab for the Treatment of Sarcoidosis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Sarcoidosis overview and limitations of current treatments</w:t>
      </w:r>
    </w:p>
    <w:p>
      <w:pPr>
        <w:spacing w:after="0" w:line="78"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Sarcoidosis is a multi-organ autoimmune disease characterized by the presence of granulomas believed to form via an exaggerated immune response to unidentified antigens. Sarcoidosis primarily affects the lungs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203</w:t>
      </w:r>
    </w:p>
    <w:p>
      <w:pPr>
        <w:sectPr>
          <w:pgSz w:w="11900" w:h="16838" w:orient="portrait"/>
          <w:cols w:equalWidth="0" w:num="1">
            <w:col w:w="10159"/>
          </w:cols>
          <w:pgMar w:left="300" w:top="372"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259" w:lineRule="auto"/>
        <w:rPr>
          <w:sz w:val="20"/>
          <w:szCs w:val="20"/>
          <w:color w:val="auto"/>
        </w:rPr>
      </w:pPr>
      <w:r>
        <w:rPr>
          <w:rFonts w:ascii="Arial" w:cs="Arial" w:eastAsia="Arial" w:hAnsi="Arial"/>
          <w:sz w:val="12"/>
          <w:szCs w:val="12"/>
          <w:color w:val="auto"/>
        </w:rPr>
        <w:t>lymphatic system, though sarcoidosis may damage any organ. Granulomas are compact, centrally organized collections of macrophages and epithelioid cells encircled by lymphocytes and form during a normal immune response to trap foreign pathogens, restrict inflammation, and protect the surrounding tissue. The hallmark of sarcoidosis is the presence of CD4+ T cells that interact with antigen-presenting cells to initiate the formation, maintenance, and accumulation of granulomas.</w:t>
      </w:r>
    </w:p>
    <w:p>
      <w:pPr>
        <w:spacing w:after="0" w:line="124"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Sarcoidosis affects approximately 200,000 patients in the United States alone and can present itself acutely or subacutely with lymph node enlargement, shortness of breath, dry cough, skin, joint or eye lesions, or abnormalities on chest x-ray or CT. Approximately 95% of sarcoidosis patients have lung involvement, and around 20 to 30% of patients develop permanent lung damage from the disease. An estimated 54% of pulmonary sarcoidosis patients are diagnosed, and approximately 90% of these patients receive some form of treatment. The annual incidence of sarcoidosis in African-Americans is threefold that of Caucasian Americans. Some studies report a slight predominance of sarcoidosis among females compared to males, while others show no gender predilection. Age at onset ranges from 20s to over the age of 50. Corticosteroids are the most widely used treatment for sarcoidosis, but they carry significant side effects when used longer-term, and relapses are common when attempting to taper. There are multiple second- and third-line treatment options, including immunosuppressive therapies such as methotrexate and azathioprine as well as biologics such as TNF inhibitors, but their use is limited by slow onset, safety risk, inconsistent effectiveness, and reimbursement challenges. There remains significant unmet medical need for patients who are not well-controlled by steroids or immunosuppressants (patients may remain symptomatic or may not be able to tolerate effective doses) that could be met by a novel biologic. Market research with HCPs and third-party analysis of claims data suggest that approximately 25% of diagnosed and treated pulmonary sarcoidosis would be eligible for treatment with second-line or later therapy.</w:t>
      </w:r>
    </w:p>
    <w:p>
      <w:pPr>
        <w:spacing w:after="0" w:line="249"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granulomatous response is believed to begin when an antigen chronically stimulates and activates antigen-presenting cells, including alveolar macrophages. Macrophages process and present the antigen, leading to the activation of CD4+ helper T cells, which form and maintain the granuloma by the production of pro-inflammatory cytokines such as TNF-Î±, GM-CSF, and IL-12 that in turn recruit inflammatory cells such as peripheral blood monocytes. The activated immune environment of the granuloma may lead to significant damage to the surrounding tissue, and the development of advanced fibrosis permanently alters organ structure and function.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GM-CSF, a key pathogenic cytokine, has been critically implicated in multiple parts of the granulomatous response. GM-CSF is involved in the activation and fusion of alveolar macrophages into multinucleated giant cells, the priming and maintenance of T cell activation and the interactions between lymphoid and myeloid cells that promote granuloma formation. Further, GM-CSF production appears to amplify cellular immunity mediated by helper T cells (Th1, Th2, and Th17) that are also believed to be critical during the granulomatous response and thereby driving the local immune response. In patients with sarcoidosis, GM-CSF has been shown to be increased in serum and broncho-alveolar fluid and correlated with disease activity.</w:t>
      </w:r>
    </w:p>
    <w:p>
      <w:pPr>
        <w:spacing w:after="0" w:line="16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In a Phase 1 study of healthy volunteers with a single subcutaneous injection, namliumab was observed to be generally well-tolerated. In a Phase 2 trial in patients with moderate to severe rheumatoid arthritis (RA) conducted by Takeda, namilumab demonstrated decreased disease activity compared to placebo. In this trial, patients were given a subcutaneous injection of either 20, 80, or 150 mg of namilumab four times over a ten-week period. Results showed a dose-dependent response to treatment, with a statistically significant difference for the 150 mg dose in the 28-joint Disease Activity Score, C-reactive protein version (DAS28-CRP), the primary endpoint, at week 12. Compared to placebo, namilumab also increased patients’ ACR score, which measures RA signs and symptom improvement. Over the 12-week study period, 14 of 27 (52%) subjects receiving placebo and 45 of 81 (56%) receiving namilumab experienced a treatment-emergent adverse event (TEAE). The most common TEAEs, shown in the table below, were nasopharyngitis, dyspnea, bronchitis,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204</w:t>
      </w:r>
    </w:p>
    <w:p>
      <w:pPr>
        <w:sectPr>
          <w:pgSz w:w="11900" w:h="16838" w:orient="portrait"/>
          <w:cols w:equalWidth="0" w:num="1">
            <w:col w:w="10159"/>
          </w:cols>
          <w:pgMar w:left="300" w:top="372"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headache. One serious adverse event, a myocardial infarction, was reported in the 150 mg arm. The patient, a 63-year old smoker, was withdrawn from the trial and recovered after cardiac catheterization. Although we believe namilumab has significant potential in RA, we believe we can deliver greater value to patients if we pursue development in sarcoidosis first, where the unmet medical need is greater.</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2"/>
            <w:vMerge w:val="restart"/>
          </w:tcPr>
          <w:p>
            <w:pPr>
              <w:ind w:left="1080"/>
              <w:spacing w:after="0"/>
              <w:rPr>
                <w:sz w:val="20"/>
                <w:szCs w:val="20"/>
                <w:color w:val="auto"/>
              </w:rPr>
            </w:pPr>
            <w:r>
              <w:rPr>
                <w:rFonts w:ascii="Arial" w:cs="Arial" w:eastAsia="Arial" w:hAnsi="Arial"/>
                <w:sz w:val="10"/>
                <w:szCs w:val="10"/>
                <w:b w:val="1"/>
                <w:bCs w:val="1"/>
                <w:color w:val="auto"/>
              </w:rPr>
              <w:t>Preferred term</w:t>
            </w:r>
          </w:p>
        </w:tc>
        <w:tc>
          <w:tcPr>
            <w:tcW w:w="11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Placebo (</w:t>
            </w:r>
            <w:r>
              <w:rPr>
                <w:rFonts w:ascii="Arial" w:cs="Arial" w:eastAsia="Arial" w:hAnsi="Arial"/>
                <w:sz w:val="10"/>
                <w:szCs w:val="10"/>
                <w:b w:val="1"/>
                <w:bCs w:val="1"/>
                <w:i w:val="1"/>
                <w:iCs w:val="1"/>
                <w:color w:val="auto"/>
              </w:rPr>
              <w:t>N</w:t>
            </w:r>
            <w:r>
              <w:rPr>
                <w:rFonts w:ascii="Arial" w:cs="Arial" w:eastAsia="Arial" w:hAnsi="Arial"/>
                <w:sz w:val="10"/>
                <w:szCs w:val="10"/>
                <w:b w:val="1"/>
                <w:bCs w:val="1"/>
                <w:color w:val="auto"/>
              </w:rPr>
              <w:t xml:space="preserve"> = 27)</w:t>
            </w:r>
          </w:p>
        </w:tc>
        <w:tc>
          <w:tcPr>
            <w:tcW w:w="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Namilumab</w:t>
            </w: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8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20 mg (</w:t>
            </w:r>
            <w:r>
              <w:rPr>
                <w:rFonts w:ascii="Arial" w:cs="Arial" w:eastAsia="Arial" w:hAnsi="Arial"/>
                <w:sz w:val="10"/>
                <w:szCs w:val="10"/>
                <w:b w:val="1"/>
                <w:bCs w:val="1"/>
                <w:i w:val="1"/>
                <w:iCs w:val="1"/>
                <w:color w:val="auto"/>
              </w:rPr>
              <w:t>N</w:t>
            </w:r>
            <w:r>
              <w:rPr>
                <w:rFonts w:ascii="Arial" w:cs="Arial" w:eastAsia="Arial" w:hAnsi="Arial"/>
                <w:sz w:val="10"/>
                <w:szCs w:val="10"/>
                <w:b w:val="1"/>
                <w:bCs w:val="1"/>
                <w:color w:val="auto"/>
              </w:rPr>
              <w:t xml:space="preserve"> = 28)</w:t>
            </w:r>
          </w:p>
        </w:tc>
        <w:tc>
          <w:tcPr>
            <w:tcW w:w="110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80 mg (</w:t>
            </w:r>
            <w:r>
              <w:rPr>
                <w:rFonts w:ascii="Arial" w:cs="Arial" w:eastAsia="Arial" w:hAnsi="Arial"/>
                <w:sz w:val="10"/>
                <w:szCs w:val="10"/>
                <w:b w:val="1"/>
                <w:bCs w:val="1"/>
                <w:i w:val="1"/>
                <w:iCs w:val="1"/>
                <w:color w:val="auto"/>
              </w:rPr>
              <w:t>N</w:t>
            </w:r>
            <w:r>
              <w:rPr>
                <w:rFonts w:ascii="Arial" w:cs="Arial" w:eastAsia="Arial" w:hAnsi="Arial"/>
                <w:sz w:val="10"/>
                <w:szCs w:val="10"/>
                <w:b w:val="1"/>
                <w:bCs w:val="1"/>
                <w:color w:val="auto"/>
              </w:rPr>
              <w:t xml:space="preserve"> = 25)</w:t>
            </w:r>
          </w:p>
        </w:tc>
        <w:tc>
          <w:tcPr>
            <w:tcW w:w="660" w:type="dxa"/>
            <w:vAlign w:val="bottom"/>
          </w:tcPr>
          <w:p>
            <w:pPr>
              <w:spacing w:after="0" w:line="97" w:lineRule="exact"/>
              <w:rPr>
                <w:sz w:val="20"/>
                <w:szCs w:val="20"/>
                <w:color w:val="auto"/>
              </w:rPr>
            </w:pPr>
            <w:r>
              <w:rPr>
                <w:rFonts w:ascii="Arial" w:cs="Arial" w:eastAsia="Arial" w:hAnsi="Arial"/>
                <w:sz w:val="10"/>
                <w:szCs w:val="10"/>
                <w:b w:val="1"/>
                <w:bCs w:val="1"/>
                <w:color w:val="auto"/>
                <w:w w:val="86"/>
              </w:rPr>
              <w:t>150 mg (</w:t>
            </w:r>
            <w:r>
              <w:rPr>
                <w:rFonts w:ascii="Arial" w:cs="Arial" w:eastAsia="Arial" w:hAnsi="Arial"/>
                <w:sz w:val="10"/>
                <w:szCs w:val="10"/>
                <w:b w:val="1"/>
                <w:bCs w:val="1"/>
                <w:i w:val="1"/>
                <w:iCs w:val="1"/>
                <w:color w:val="auto"/>
                <w:w w:val="86"/>
              </w:rPr>
              <w:t>N</w:t>
            </w:r>
            <w:r>
              <w:rPr>
                <w:rFonts w:ascii="Arial" w:cs="Arial" w:eastAsia="Arial" w:hAnsi="Arial"/>
                <w:sz w:val="10"/>
                <w:szCs w:val="10"/>
                <w:b w:val="1"/>
                <w:bCs w:val="1"/>
                <w:color w:val="auto"/>
                <w:w w:val="86"/>
              </w:rPr>
              <w:t xml:space="preserve"> = 28)</w:t>
            </w:r>
          </w:p>
        </w:tc>
        <w:tc>
          <w:tcPr>
            <w:tcW w:w="0" w:type="dxa"/>
            <w:vAlign w:val="bottom"/>
          </w:tcPr>
          <w:p>
            <w:pPr>
              <w:spacing w:after="0"/>
              <w:rPr>
                <w:sz w:val="1"/>
                <w:szCs w:val="1"/>
                <w:color w:val="auto"/>
              </w:rPr>
            </w:pPr>
          </w:p>
        </w:tc>
      </w:tr>
      <w:tr>
        <w:trPr>
          <w:trHeight w:val="133"/>
        </w:trPr>
        <w:tc>
          <w:tcPr>
            <w:tcW w:w="28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Nasopharyngitis</w:t>
            </w: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5(18.5)</w:t>
            </w:r>
          </w:p>
        </w:tc>
        <w:tc>
          <w:tcPr>
            <w:tcW w:w="5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5(17.9)</w:t>
            </w:r>
          </w:p>
        </w:tc>
        <w:tc>
          <w:tcPr>
            <w:tcW w:w="5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1(4.0)</w:t>
            </w:r>
          </w:p>
        </w:tc>
        <w:tc>
          <w:tcPr>
            <w:tcW w:w="5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4(14.3)</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color w:val="auto"/>
              </w:rPr>
              <w:t>Dyspnea</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5"/>
              </w:rPr>
              <w:t>1(3.6)</w:t>
            </w:r>
          </w:p>
        </w:tc>
        <w:tc>
          <w:tcPr>
            <w:tcW w:w="5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2(8.0)</w:t>
            </w: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3(10.7)</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Bronchitis</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2(7.4)</w:t>
            </w: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1(3.6)</w:t>
            </w: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1(4.0)</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1(3.6)</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color w:val="auto"/>
              </w:rPr>
              <w:t>Headache</w:t>
            </w:r>
          </w:p>
        </w:tc>
        <w:tc>
          <w:tcPr>
            <w:tcW w:w="680" w:type="dxa"/>
            <w:vAlign w:val="bottom"/>
          </w:tcPr>
          <w:p>
            <w:pPr>
              <w:jc w:val="center"/>
              <w:spacing w:after="0"/>
              <w:rPr>
                <w:sz w:val="20"/>
                <w:szCs w:val="20"/>
                <w:color w:val="auto"/>
              </w:rPr>
            </w:pPr>
            <w:r>
              <w:rPr>
                <w:rFonts w:ascii="Arial" w:cs="Arial" w:eastAsia="Arial" w:hAnsi="Arial"/>
                <w:sz w:val="12"/>
                <w:szCs w:val="12"/>
                <w:color w:val="auto"/>
                <w:w w:val="95"/>
              </w:rPr>
              <w:t>1(3.7)</w:t>
            </w:r>
          </w:p>
        </w:tc>
        <w:tc>
          <w:tcPr>
            <w:tcW w:w="5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5"/>
              </w:rPr>
              <w:t>1(3.6)</w:t>
            </w:r>
          </w:p>
        </w:tc>
        <w:tc>
          <w:tcPr>
            <w:tcW w:w="5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4"/>
              </w:rPr>
              <w:t>3(12.0)</w:t>
            </w: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Upper respiratory tract infection</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2(8.0)</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1(3.6)</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color w:val="auto"/>
              </w:rPr>
              <w:t>Rheumatoid arthritis</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5"/>
              </w:rPr>
              <w:t>2(7.1)</w:t>
            </w:r>
          </w:p>
        </w:tc>
        <w:tc>
          <w:tcPr>
            <w:tcW w:w="5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2(8.0)</w:t>
            </w: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Hypertension</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2(7.1)</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color w:val="auto"/>
              </w:rPr>
              <w:t>Laryngitis</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2(8.0)</w:t>
            </w: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Menorrhagia</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2(7.1)</w:t>
            </w: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153"/>
        </w:trPr>
        <w:tc>
          <w:tcPr>
            <w:tcW w:w="3280" w:type="dxa"/>
            <w:vAlign w:val="bottom"/>
            <w:gridSpan w:val="2"/>
          </w:tcPr>
          <w:p>
            <w:pPr>
              <w:spacing w:after="0"/>
              <w:rPr>
                <w:sz w:val="20"/>
                <w:szCs w:val="20"/>
                <w:color w:val="auto"/>
              </w:rPr>
            </w:pPr>
            <w:r>
              <w:rPr>
                <w:rFonts w:ascii="Arial" w:cs="Arial" w:eastAsia="Arial" w:hAnsi="Arial"/>
                <w:sz w:val="12"/>
                <w:szCs w:val="12"/>
                <w:color w:val="auto"/>
              </w:rPr>
              <w:t>Urticaria</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5"/>
              </w:rPr>
              <w:t>2(7.1)</w:t>
            </w:r>
          </w:p>
        </w:tc>
        <w:tc>
          <w:tcPr>
            <w:tcW w:w="5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 xml:space="preserve">Values are </w:t>
      </w:r>
      <w:r>
        <w:rPr>
          <w:rFonts w:ascii="Arial" w:cs="Arial" w:eastAsia="Arial" w:hAnsi="Arial"/>
          <w:sz w:val="12"/>
          <w:szCs w:val="12"/>
          <w:i w:val="1"/>
          <w:iCs w:val="1"/>
          <w:color w:val="auto"/>
        </w:rPr>
        <w:t>n</w:t>
      </w:r>
      <w:r>
        <w:rPr>
          <w:rFonts w:ascii="Arial" w:cs="Arial" w:eastAsia="Arial" w:hAnsi="Arial"/>
          <w:sz w:val="12"/>
          <w:szCs w:val="12"/>
          <w:color w:val="auto"/>
        </w:rPr>
        <w:t xml:space="preserve"> (%). </w:t>
      </w:r>
      <w:r>
        <w:rPr>
          <w:rFonts w:ascii="Arial" w:cs="Arial" w:eastAsia="Arial" w:hAnsi="Arial"/>
          <w:sz w:val="12"/>
          <w:szCs w:val="12"/>
          <w:i w:val="1"/>
          <w:iCs w:val="1"/>
          <w:color w:val="auto"/>
        </w:rPr>
        <w:t>TEAE</w:t>
      </w:r>
      <w:r>
        <w:rPr>
          <w:rFonts w:ascii="Arial" w:cs="Arial" w:eastAsia="Arial" w:hAnsi="Arial"/>
          <w:sz w:val="12"/>
          <w:szCs w:val="12"/>
          <w:color w:val="auto"/>
        </w:rPr>
        <w:t xml:space="preserve"> treatment-emergent adverse event</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plan to initiate a Phase 2 trial to test the safety and efficacy of namilumab in pulmonary sarcoidosis in the first half of calendar year 2022. We believe the anti-GM-CSF mechanism has potential for broad application due to the numerous disease functions of GM-CSF, giving the opportunity to expand autoimmune disease indications.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205</w:t>
      </w:r>
    </w:p>
    <w:p>
      <w:pPr>
        <w:sectPr>
          <w:pgSz w:w="11900" w:h="16838" w:orient="portrait"/>
          <w:cols w:equalWidth="0" w:num="1">
            <w:col w:w="10159"/>
          </w:cols>
          <w:pgMar w:left="300" w:top="372"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60"/>
        <w:spacing w:after="0"/>
        <w:rPr>
          <w:sz w:val="20"/>
          <w:szCs w:val="20"/>
          <w:color w:val="auto"/>
        </w:rPr>
      </w:pPr>
      <w:r>
        <w:rPr>
          <w:rFonts w:ascii="Arial" w:cs="Arial" w:eastAsia="Arial" w:hAnsi="Arial"/>
          <w:sz w:val="12"/>
          <w:szCs w:val="12"/>
          <w:b w:val="1"/>
          <w:bCs w:val="1"/>
          <w:u w:val="single" w:color="auto"/>
          <w:color w:val="auto"/>
        </w:rPr>
        <w:t>Affivant Overview</w:t>
      </w:r>
    </w:p>
    <w:p>
      <w:pPr>
        <w:spacing w:after="0" w:line="87" w:lineRule="exact"/>
        <w:rPr>
          <w:sz w:val="20"/>
          <w:szCs w:val="20"/>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right="959" w:hanging="288"/>
        <w:spacing w:after="0" w:line="323" w:lineRule="auto"/>
        <w:tabs>
          <w:tab w:leader="none" w:pos="2620" w:val="left"/>
        </w:tabs>
        <w:numPr>
          <w:ilvl w:val="1"/>
          <w:numId w:val="112"/>
        </w:numPr>
        <w:rPr>
          <w:rFonts w:ascii="Arial" w:cs="Arial" w:eastAsia="Arial" w:hAnsi="Arial"/>
          <w:sz w:val="11"/>
          <w:szCs w:val="11"/>
          <w:color w:val="auto"/>
        </w:rPr>
      </w:pPr>
      <w:r>
        <w:rPr>
          <w:rFonts w:ascii="Arial" w:cs="Arial" w:eastAsia="Arial" w:hAnsi="Arial"/>
          <w:sz w:val="11"/>
          <w:szCs w:val="11"/>
          <w:color w:val="auto"/>
        </w:rPr>
        <w:t>Affivant is focused on the future development and commercialization of AFM32 and other bispecific antibodies through its licensing and strategic collaboration agreement with Affimed to develop and commercialize novel innate cell engagers for multiple cancer targets.</w:t>
      </w:r>
    </w:p>
    <w:p>
      <w:pPr>
        <w:spacing w:after="0" w:line="24" w:lineRule="exact"/>
        <w:rPr>
          <w:rFonts w:ascii="Arial" w:cs="Arial" w:eastAsia="Arial" w:hAnsi="Arial"/>
          <w:sz w:val="11"/>
          <w:szCs w:val="11"/>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ind w:left="2620" w:right="1059" w:hanging="288"/>
        <w:spacing w:after="0" w:line="276" w:lineRule="auto"/>
        <w:tabs>
          <w:tab w:leader="none" w:pos="26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AFM32 is a preclinical immune-engaging bispecific antibody licensed from Affimed with potential applicability to several solid tumor indications.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Preclinical data:</w:t>
      </w:r>
    </w:p>
    <w:p>
      <w:pPr>
        <w:spacing w:after="0" w:line="91" w:lineRule="exact"/>
        <w:rPr>
          <w:rFonts w:ascii="Arial" w:cs="Arial" w:eastAsia="Arial" w:hAnsi="Arial"/>
          <w:sz w:val="12"/>
          <w:szCs w:val="12"/>
          <w:b w:val="1"/>
          <w:bCs w:val="1"/>
          <w:color w:val="auto"/>
        </w:rPr>
      </w:pPr>
    </w:p>
    <w:p>
      <w:pPr>
        <w:ind w:left="2620" w:right="939" w:hanging="288"/>
        <w:spacing w:after="0" w:line="276" w:lineRule="auto"/>
        <w:tabs>
          <w:tab w:leader="none" w:pos="26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In a head-to-head preclinical study, AFM32’s potency exceeded that of a monoclonal antibody (“mAb”) that has been clinically validated against the same tumor target.</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AFM32’s potency also exceeded the potency of antibody-drug conjugate (“ADC”) agents that have been clinically validated against the same tumor target, as reported in published preclinical studies.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We expect to file an IND for AFM32 in the first half of calendar year 2023.</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2"/>
        </w:numPr>
        <w:rPr>
          <w:rFonts w:ascii="Arial" w:cs="Arial" w:eastAsia="Arial" w:hAnsi="Arial"/>
          <w:sz w:val="11"/>
          <w:szCs w:val="11"/>
          <w:color w:val="auto"/>
        </w:rPr>
      </w:pPr>
      <w:r>
        <w:rPr>
          <w:rFonts w:ascii="Arial" w:cs="Arial" w:eastAsia="Arial" w:hAnsi="Arial"/>
          <w:sz w:val="11"/>
          <w:szCs w:val="11"/>
          <w:color w:val="auto"/>
        </w:rPr>
        <w:t>As of June 30, 2021, we own 100% of the issued and outstanding common shares of Affivant and 100% on a fully diluted basis.</w:t>
      </w:r>
    </w:p>
    <w:p>
      <w:pPr>
        <w:spacing w:after="0" w:line="94" w:lineRule="exact"/>
        <w:rPr>
          <w:rFonts w:ascii="Arial" w:cs="Arial" w:eastAsia="Arial" w:hAnsi="Arial"/>
          <w:sz w:val="11"/>
          <w:szCs w:val="11"/>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114935</wp:posOffset>
            </wp:positionV>
            <wp:extent cx="3457575" cy="268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57575"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Bispecific Innate Cell Engagers and Affimed’s ROCK Platform</w:t>
      </w:r>
    </w:p>
    <w:p>
      <w:pPr>
        <w:spacing w:after="0" w:line="8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Bispecific innate cell engagers (“ICE”) are a novel class of drugs that activate the innate immune system and trigger a concerted anti-tumoral immune response. These bispecific antibodies consist of tumor-associated antigen binding domains, which cause high affinity and high specificity binding to the tumor surface, and immune cell binding domains, which bind and activate specific immune cell subsets able to kill the tumor cell. The Fc region of the antibody links the two domains together and improves pharmaceutical properties. The cross-linking of tumor and immune cells acts as a bridge that increases their proximity and creates a spatial stimulus, enabling the immune cell to kill the tumor cell.</w:t>
      </w:r>
    </w:p>
    <w:p>
      <w:pPr>
        <w:spacing w:after="0" w:line="11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Affimed’s Redirected Optimized Cell Killing (“ROCK”) platform technology generates diverse, tetravalent, bispecific antibodies known as ICE, which can be customized to target specific binding domains on hematologic and solid tumor cells. The immune cell binding domain of ICE includes a high affinity CD16A-directed domain that binds to CD16A receptors on natural killer (“NK”) cells with a unique epitope. CD16A is sufficient to fully activate cell killing by NK cells and macrophages, differentiating ICE from other platforms that can engage NK cells. In addition, there is no dilution or sink effect through neutrophils (CD16B+) as the molecules are highly selective for CD16A. These ICE antibodies are superior to mAbs and Fc-enhanced mAbs in their ability to bind with high affinity to CD16A with minimal serum IgG competition. The ROCK platform has generated clinical proof of concept through clinical trials of AFM13 in patients with peripheral T-cell lymphoma, where AFM13 was well-tolerated and demonstrated tumor shrinkage or slowing of tumor growth. Our goal is to develop CD16A NK antibodies with the potential for targeted immune activation and tumor destruction, along with a safety profile more like traditional antibody-based products.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206</w:t>
      </w:r>
    </w:p>
    <w:p>
      <w:pPr>
        <w:sectPr>
          <w:pgSz w:w="11900" w:h="16838" w:orient="portrait"/>
          <w:cols w:equalWidth="0" w:num="1">
            <w:col w:w="10159"/>
          </w:cols>
          <w:pgMar w:left="300" w:top="372"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10058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57575" cy="100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AFM32</w:t>
      </w:r>
    </w:p>
    <w:p>
      <w:pPr>
        <w:spacing w:after="0" w:line="82" w:lineRule="exact"/>
        <w:rPr>
          <w:sz w:val="20"/>
          <w:szCs w:val="20"/>
          <w:color w:val="auto"/>
        </w:rPr>
      </w:pPr>
    </w:p>
    <w:p>
      <w:pPr>
        <w:jc w:val="both"/>
        <w:ind w:left="1980" w:right="1019" w:firstLine="294"/>
        <w:spacing w:after="0" w:line="285" w:lineRule="auto"/>
        <w:rPr>
          <w:sz w:val="20"/>
          <w:szCs w:val="20"/>
          <w:color w:val="auto"/>
        </w:rPr>
      </w:pPr>
      <w:r>
        <w:rPr>
          <w:rFonts w:ascii="Arial" w:cs="Arial" w:eastAsia="Arial" w:hAnsi="Arial"/>
          <w:sz w:val="11"/>
          <w:szCs w:val="11"/>
          <w:color w:val="auto"/>
        </w:rPr>
        <w:t>AFM32 is an ICE program currently in the preclinical stage of development. AFM32’s Fc region is fused to two high affinity CD16A binding single chain variable regions to maximize NK cell and macrophage engagement. The biological target of AFM32’s tumor-associated antigen binding domain has been clinically validated via other targeted agents (mAb and ADC), including both evidence of single agent activity and a generally well-tolerated safety profile of the corresponding mAb in published studies. We believe AFM32 has potential applicability across several highly prevalent solid tumor types, providing the optionality to pursue multiple large-market indications.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In a head-to-head preclinical study, AFM32 potency, as measured by target cell killing, exceeded that of a mAb, and in preclinical studies, AFM32’s potency exceeded the potency (as reported in published preclinical studies) of ADC agents that have been clinically validated against the same tumor target. Furthermore, based on preclinical and clinical experiences with other ICE antibodies in separate studies, we believe that the tolerability of AFM32 has the potential to be superior to that observed to date with antibody-drug conjugates in published literature.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Pursuant to a collaboration and licensing agreement between Affivant and Affimed, Affimed is conducting a significant portion of the AFM32 preclinical work for the collaboration under the governance of a Joint Steering Committee controlled by Affivant. Pursuant to the agreement Affivant will be responsible for submitting any IND or equivalent for AFM32, and will be responsible for all future clinical development and commercialization worldwide, with Affimed retaining an option for co-promotion. We also have the option to license from Affimed additional ICE molecules directed against targets that are not (a) currently licensed or optioned to third parties or (b) directed against targets included in Affimed’s current pipeline.</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207</w:t>
      </w:r>
    </w:p>
    <w:p>
      <w:pPr>
        <w:sectPr>
          <w:pgSz w:w="11900" w:h="16838" w:orient="portrait"/>
          <w:cols w:equalWidth="0" w:num="1">
            <w:col w:w="10159"/>
          </w:cols>
          <w:pgMar w:left="300" w:top="372"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40"/>
        <w:spacing w:after="0"/>
        <w:rPr>
          <w:sz w:val="20"/>
          <w:szCs w:val="20"/>
          <w:color w:val="auto"/>
        </w:rPr>
      </w:pPr>
      <w:r>
        <w:rPr>
          <w:rFonts w:ascii="Arial" w:cs="Arial" w:eastAsia="Arial" w:hAnsi="Arial"/>
          <w:sz w:val="12"/>
          <w:szCs w:val="12"/>
          <w:b w:val="1"/>
          <w:bCs w:val="1"/>
          <w:u w:val="single" w:color="auto"/>
          <w:color w:val="auto"/>
        </w:rPr>
        <w:t>Cytovant Overview</w:t>
      </w:r>
    </w:p>
    <w:p>
      <w:pPr>
        <w:spacing w:after="0" w:line="87" w:lineRule="exact"/>
        <w:rPr>
          <w:sz w:val="20"/>
          <w:szCs w:val="2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Cytovant’s mission is to discover, develop and commercialize cell therapies that are uniquely suited to Asian patients.</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w:t>
      </w:r>
    </w:p>
    <w:p>
      <w:pPr>
        <w:spacing w:after="0" w:line="91" w:lineRule="exact"/>
        <w:rPr>
          <w:rFonts w:ascii="Arial" w:cs="Arial" w:eastAsia="Arial" w:hAnsi="Arial"/>
          <w:sz w:val="12"/>
          <w:szCs w:val="12"/>
          <w:b w:val="1"/>
          <w:bCs w:val="1"/>
          <w:color w:val="auto"/>
        </w:rPr>
      </w:pPr>
    </w:p>
    <w:p>
      <w:pPr>
        <w:ind w:left="2620" w:right="899" w:hanging="288"/>
        <w:spacing w:after="0" w:line="379" w:lineRule="auto"/>
        <w:tabs>
          <w:tab w:leader="none" w:pos="2620" w:val="left"/>
        </w:tabs>
        <w:numPr>
          <w:ilvl w:val="1"/>
          <w:numId w:val="113"/>
        </w:numPr>
        <w:rPr>
          <w:rFonts w:ascii="Arial" w:cs="Arial" w:eastAsia="Arial" w:hAnsi="Arial"/>
          <w:sz w:val="10"/>
          <w:szCs w:val="10"/>
          <w:color w:val="auto"/>
        </w:rPr>
      </w:pPr>
      <w:r>
        <w:rPr>
          <w:rFonts w:ascii="Arial" w:cs="Arial" w:eastAsia="Arial" w:hAnsi="Arial"/>
          <w:sz w:val="10"/>
          <w:szCs w:val="10"/>
          <w:i w:val="1"/>
          <w:iCs w:val="1"/>
          <w:color w:val="auto"/>
        </w:rPr>
        <w:t xml:space="preserve">CVT-TCR-01: </w:t>
      </w:r>
      <w:r>
        <w:rPr>
          <w:rFonts w:ascii="Arial" w:cs="Arial" w:eastAsia="Arial" w:hAnsi="Arial"/>
          <w:sz w:val="10"/>
          <w:szCs w:val="10"/>
          <w:color w:val="auto"/>
        </w:rPr>
        <w:t>TCR-T therapeutic targeting NY-ESO-1, an intracellular cancer testis antigen whose expression is nearly exclusive to</w:t>
      </w:r>
      <w:r>
        <w:rPr>
          <w:rFonts w:ascii="Arial" w:cs="Arial" w:eastAsia="Arial" w:hAnsi="Arial"/>
          <w:sz w:val="10"/>
          <w:szCs w:val="10"/>
          <w:i w:val="1"/>
          <w:iCs w:val="1"/>
          <w:color w:val="auto"/>
        </w:rPr>
        <w:t xml:space="preserve"> </w:t>
      </w:r>
      <w:r>
        <w:rPr>
          <w:rFonts w:ascii="Arial" w:cs="Arial" w:eastAsia="Arial" w:hAnsi="Arial"/>
          <w:sz w:val="10"/>
          <w:szCs w:val="10"/>
          <w:color w:val="auto"/>
        </w:rPr>
        <w:t>malignant tissue, being developed in Asia for the treatment of soft tissue sarcoma and other tumors with high disease burden in the region.</w:t>
      </w:r>
    </w:p>
    <w:p>
      <w:pPr>
        <w:spacing w:after="0" w:line="1" w:lineRule="exact"/>
        <w:rPr>
          <w:rFonts w:ascii="Arial" w:cs="Arial" w:eastAsia="Arial" w:hAnsi="Arial"/>
          <w:sz w:val="10"/>
          <w:szCs w:val="1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859" w:hanging="288"/>
        <w:spacing w:after="0" w:line="340" w:lineRule="auto"/>
        <w:tabs>
          <w:tab w:leader="none" w:pos="2620" w:val="left"/>
        </w:tabs>
        <w:numPr>
          <w:ilvl w:val="1"/>
          <w:numId w:val="113"/>
        </w:numPr>
        <w:rPr>
          <w:rFonts w:ascii="Arial" w:cs="Arial" w:eastAsia="Arial" w:hAnsi="Arial"/>
          <w:sz w:val="10"/>
          <w:szCs w:val="10"/>
          <w:color w:val="auto"/>
        </w:rPr>
      </w:pPr>
      <w:r>
        <w:rPr>
          <w:rFonts w:ascii="Arial" w:cs="Arial" w:eastAsia="Arial" w:hAnsi="Arial"/>
          <w:sz w:val="10"/>
          <w:szCs w:val="10"/>
          <w:color w:val="auto"/>
        </w:rPr>
        <w:t>NY-ESO-1 is expressed in many tumor types associated with substantial unmet need in Asia, including soft tissue sarcoma, ovarian cancer, esophageal cancer and lung cancer. In 2020, the estimated incidences of colorectal, lung and esophageal cancer in China were 38.4, 56.3 and 22.4 cases per 100,000 individuals; these tumors are associated with NY-ESO-1 positivity rates of 17%, 19% and 21%, respectively.</w:t>
      </w:r>
    </w:p>
    <w:p>
      <w:pPr>
        <w:spacing w:after="0" w:line="20" w:lineRule="exact"/>
        <w:rPr>
          <w:rFonts w:ascii="Arial" w:cs="Arial" w:eastAsia="Arial" w:hAnsi="Arial"/>
          <w:sz w:val="10"/>
          <w:szCs w:val="1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right="939" w:hanging="288"/>
        <w:spacing w:after="0" w:line="379" w:lineRule="auto"/>
        <w:tabs>
          <w:tab w:leader="none" w:pos="2620" w:val="left"/>
        </w:tabs>
        <w:numPr>
          <w:ilvl w:val="1"/>
          <w:numId w:val="113"/>
        </w:numPr>
        <w:rPr>
          <w:rFonts w:ascii="Arial" w:cs="Arial" w:eastAsia="Arial" w:hAnsi="Arial"/>
          <w:sz w:val="10"/>
          <w:szCs w:val="10"/>
          <w:color w:val="auto"/>
        </w:rPr>
      </w:pPr>
      <w:r>
        <w:rPr>
          <w:rFonts w:ascii="Arial" w:cs="Arial" w:eastAsia="Arial" w:hAnsi="Arial"/>
          <w:sz w:val="10"/>
          <w:szCs w:val="10"/>
          <w:color w:val="auto"/>
        </w:rPr>
        <w:t>The current treatment options for soft tissue sarcoma leave significant unmet need, as chemotherapy for systemic treatment has an overall survival of approximately 12 months, and up to 40% of patients who receive surgery and radiotherapy eventually recur at distant sites.</w:t>
      </w:r>
    </w:p>
    <w:p>
      <w:pPr>
        <w:spacing w:after="0" w:line="1" w:lineRule="exact"/>
        <w:rPr>
          <w:rFonts w:ascii="Arial" w:cs="Arial" w:eastAsia="Arial" w:hAnsi="Arial"/>
          <w:sz w:val="10"/>
          <w:szCs w:val="1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Preclinical data:</w:t>
      </w:r>
    </w:p>
    <w:p>
      <w:pPr>
        <w:spacing w:after="0" w:line="91" w:lineRule="exact"/>
        <w:rPr>
          <w:rFonts w:ascii="Arial" w:cs="Arial" w:eastAsia="Arial" w:hAnsi="Arial"/>
          <w:sz w:val="12"/>
          <w:szCs w:val="12"/>
          <w:b w:val="1"/>
          <w:bCs w:val="1"/>
          <w:color w:val="auto"/>
        </w:rPr>
      </w:pPr>
    </w:p>
    <w:p>
      <w:pPr>
        <w:ind w:left="2620" w:right="859" w:hanging="288"/>
        <w:spacing w:after="0" w:line="259" w:lineRule="auto"/>
        <w:tabs>
          <w:tab w:leader="none" w:pos="26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CVT-TCR-01 has demonstrated strong activity against NY-ESO-1-positive cell lines in preclinical experiments and has further demonstrated highly specific on-target activity by sparing cell lines that are NY-ESO-1-negative. Moreover, in preclinical experiments, CVT-TCR-01 has been shown to induce strong proinflammatory cytokine secretion upon exposure to NY-ESO-1 positive cell lines, further supporting its antitumor activity.</w:t>
      </w:r>
    </w:p>
    <w:p>
      <w:pPr>
        <w:spacing w:after="0" w:line="57" w:lineRule="exact"/>
        <w:rPr>
          <w:rFonts w:ascii="Arial" w:cs="Arial" w:eastAsia="Arial" w:hAnsi="Arial"/>
          <w:sz w:val="12"/>
          <w:szCs w:val="12"/>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We expect to initiate CMC activities for CVT-TCR-01 in the second half of 2021.</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right="859" w:hanging="288"/>
        <w:spacing w:after="0" w:line="276" w:lineRule="auto"/>
        <w:tabs>
          <w:tab w:leader="none" w:pos="26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As of June 30, 2021, we own 72% of the issued and outstanding common shares of Cytovant and 68% on a fully diluted basis, in each case including both direct and indirect ownership in Cytovant.</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114935</wp:posOffset>
            </wp:positionV>
            <wp:extent cx="3457575" cy="262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5757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Cytovant holds development and commercialization rights for Greater China (includes People’s Republic of China, Hong Kong, Taiwan, and Macau), Japan, and the Republic of Korea.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TCR-T Background</w:t>
      </w:r>
    </w:p>
    <w:p>
      <w:pPr>
        <w:spacing w:after="0" w:line="82"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As part of normal immune surveillance, the body identifies diseased cells through the T-cell receptor (“TCR”), which binds and recognizes the HLA peptide complex. The HLA peptide complex is comprised of short fragments of cellular proteins bound to HLA; this complex is then trafficked to the cell surface for presentation to T cells. When a T cell binds to a specific HLA peptide complex on a diseased cell, that cell is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208</w:t>
      </w:r>
    </w:p>
    <w:p>
      <w:pPr>
        <w:sectPr>
          <w:pgSz w:w="11900" w:h="16838" w:orient="portrait"/>
          <w:cols w:equalWidth="0" w:num="1">
            <w:col w:w="10159"/>
          </w:cols>
          <w:pgMar w:left="300" w:top="372"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targeted for destruction. Importantly, peptide fragments that are bound to HLA are derived from intracellular, extracellular and transmembrane proteins, meaning that TCRs can target the entire array of cellular proteins. Notably, HLA types vary substantially across global populations, with markedly different HLA types commonly observed in Asian populations relative to Caucasian populations. For example, two high-frequency alleles in Southern Chinese people, HLA-A*02:07 (20%) and HLA-A*02:03 (10%), are not addressed by any current TCR-based therapy. The ability of a specific TCR to bind and recognize an HLA peptide complex is limited to matched HLA types; thus, a TCR that recognizes an HLA peptide complex found in Caucasian patients may not recognize an HLA peptide complex found in Asian patients.</w:t>
      </w:r>
    </w:p>
    <w:p>
      <w:pPr>
        <w:spacing w:after="0" w:line="113"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ability of T cells to recognize and kill diseased cells via the TCR can be manipulated to target specific cells, including cancerous cells. This constitutes the basis of TCR-T therapeutics, in which affinity- or specificity-enhanced T cell receptors are genetically engineered into a patient’s own T cells and then used as a direct anti-cancer treatment. This technology affords several advantages compared to other forms of adoptive cell therapy (“ACT”), including chimeric antigen receptor T-cells (“CAR-T”). Two key advantages include:</w:t>
      </w:r>
    </w:p>
    <w:p>
      <w:pPr>
        <w:spacing w:after="0" w:line="44" w:lineRule="exact"/>
        <w:rPr>
          <w:sz w:val="20"/>
          <w:szCs w:val="20"/>
          <w:color w:val="auto"/>
        </w:rPr>
      </w:pPr>
    </w:p>
    <w:p>
      <w:pPr>
        <w:jc w:val="both"/>
        <w:ind w:left="2620" w:right="1359" w:hanging="288"/>
        <w:spacing w:after="0" w:line="302" w:lineRule="auto"/>
        <w:tabs>
          <w:tab w:leader="none" w:pos="2620" w:val="left"/>
        </w:tabs>
        <w:numPr>
          <w:ilvl w:val="0"/>
          <w:numId w:val="114"/>
        </w:numPr>
        <w:rPr>
          <w:rFonts w:ascii="Arial" w:cs="Arial" w:eastAsia="Arial" w:hAnsi="Arial"/>
          <w:sz w:val="11"/>
          <w:szCs w:val="11"/>
          <w:color w:val="auto"/>
        </w:rPr>
      </w:pPr>
      <w:r>
        <w:rPr>
          <w:rFonts w:ascii="Arial" w:cs="Arial" w:eastAsia="Arial" w:hAnsi="Arial"/>
          <w:sz w:val="11"/>
          <w:szCs w:val="11"/>
          <w:b w:val="1"/>
          <w:bCs w:val="1"/>
          <w:color w:val="auto"/>
        </w:rPr>
        <w:t>Greater range of target antigens</w:t>
      </w:r>
      <w:r>
        <w:rPr>
          <w:rFonts w:ascii="Arial" w:cs="Arial" w:eastAsia="Arial" w:hAnsi="Arial"/>
          <w:sz w:val="11"/>
          <w:szCs w:val="11"/>
          <w:color w:val="auto"/>
        </w:rPr>
        <w:t>: Unlike CAR-T, which relies upon antibody fragment binding to cell surface proteins for cell</w:t>
      </w:r>
      <w:r>
        <w:rPr>
          <w:rFonts w:ascii="Arial" w:cs="Arial" w:eastAsia="Arial" w:hAnsi="Arial"/>
          <w:sz w:val="11"/>
          <w:szCs w:val="11"/>
          <w:b w:val="1"/>
          <w:bCs w:val="1"/>
          <w:color w:val="auto"/>
        </w:rPr>
        <w:t xml:space="preserve"> </w:t>
      </w:r>
      <w:r>
        <w:rPr>
          <w:rFonts w:ascii="Arial" w:cs="Arial" w:eastAsia="Arial" w:hAnsi="Arial"/>
          <w:sz w:val="11"/>
          <w:szCs w:val="11"/>
          <w:color w:val="auto"/>
        </w:rPr>
        <w:t>recognition and destruction, TCR-T can recognize intracellular antigens as well. As most cancerous cells express cancer-specific intracellular antigens, this widens the range of addressable targets for TCR-T relative to CAR-T.</w:t>
      </w:r>
    </w:p>
    <w:p>
      <w:pPr>
        <w:spacing w:after="0" w:line="35" w:lineRule="exact"/>
        <w:rPr>
          <w:rFonts w:ascii="Arial" w:cs="Arial" w:eastAsia="Arial" w:hAnsi="Arial"/>
          <w:sz w:val="11"/>
          <w:szCs w:val="11"/>
          <w:color w:val="auto"/>
        </w:rPr>
      </w:pPr>
    </w:p>
    <w:p>
      <w:pPr>
        <w:ind w:left="2620" w:right="1079" w:hanging="288"/>
        <w:spacing w:after="0" w:line="266" w:lineRule="auto"/>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Specificity for malignant tissue</w:t>
      </w:r>
      <w:r>
        <w:rPr>
          <w:rFonts w:ascii="Arial" w:cs="Arial" w:eastAsia="Arial" w:hAnsi="Arial"/>
          <w:sz w:val="12"/>
          <w:szCs w:val="12"/>
          <w:color w:val="auto"/>
        </w:rPr>
        <w:t>: To date, all approved CAR-T products are specific to targets expressed on both healthy and diseased</w:t>
      </w:r>
      <w:r>
        <w:rPr>
          <w:rFonts w:ascii="Arial" w:cs="Arial" w:eastAsia="Arial" w:hAnsi="Arial"/>
          <w:sz w:val="12"/>
          <w:szCs w:val="12"/>
          <w:b w:val="1"/>
          <w:bCs w:val="1"/>
          <w:color w:val="auto"/>
        </w:rPr>
        <w:t xml:space="preserve"> </w:t>
      </w:r>
      <w:r>
        <w:rPr>
          <w:rFonts w:ascii="Arial" w:cs="Arial" w:eastAsia="Arial" w:hAnsi="Arial"/>
          <w:sz w:val="12"/>
          <w:szCs w:val="12"/>
          <w:color w:val="auto"/>
        </w:rPr>
        <w:t>tissue. By contrast, TCR-T targets can be specific exclusively or nearly exclusively to malignant tissue, potentially limiting off-target toxicities.</w:t>
      </w:r>
    </w:p>
    <w:p>
      <w:pPr>
        <w:spacing w:after="0" w:line="121" w:lineRule="exact"/>
        <w:rPr>
          <w:sz w:val="20"/>
          <w:szCs w:val="20"/>
          <w:color w:val="auto"/>
        </w:rPr>
      </w:pPr>
    </w:p>
    <w:p>
      <w:pPr>
        <w:ind w:left="1980" w:right="959" w:firstLine="294"/>
        <w:spacing w:after="0" w:line="285" w:lineRule="auto"/>
        <w:rPr>
          <w:sz w:val="20"/>
          <w:szCs w:val="20"/>
          <w:color w:val="auto"/>
        </w:rPr>
      </w:pPr>
      <w:r>
        <w:rPr>
          <w:rFonts w:ascii="Arial" w:cs="Arial" w:eastAsia="Arial" w:hAnsi="Arial"/>
          <w:sz w:val="11"/>
          <w:szCs w:val="11"/>
          <w:color w:val="auto"/>
        </w:rPr>
        <w:t>Because TCR-T therapeutics must be specific to both an antigen (which discriminates specific tumor types) and an HLA type (which discriminates specific addressable populations), we believe that Cytovant’s focus on the unique medical needs of Asian patients will give the company an advantage relative to organizations that lack an explicit focus on Asian markets. Similarly, because of the complexity of cell therapy manufacturing as well as China’s comprehensive regulatory regime regarding human tissue, we believe that Cytovant’s local focus and the team’s on-the-ground manufacturing experience represent a key competitive advantage over global competitors.</w:t>
      </w:r>
    </w:p>
    <w:p>
      <w:pPr>
        <w:spacing w:after="0" w:line="113" w:lineRule="exact"/>
        <w:rPr>
          <w:sz w:val="20"/>
          <w:szCs w:val="20"/>
          <w:color w:val="auto"/>
        </w:rPr>
      </w:pPr>
    </w:p>
    <w:p>
      <w:pPr>
        <w:jc w:val="both"/>
        <w:ind w:left="1980" w:right="1019" w:firstLine="294"/>
        <w:spacing w:after="0" w:line="323" w:lineRule="auto"/>
        <w:rPr>
          <w:sz w:val="20"/>
          <w:szCs w:val="20"/>
          <w:color w:val="auto"/>
        </w:rPr>
      </w:pPr>
      <w:r>
        <w:rPr>
          <w:rFonts w:ascii="Arial" w:cs="Arial" w:eastAsia="Arial" w:hAnsi="Arial"/>
          <w:sz w:val="11"/>
          <w:szCs w:val="11"/>
          <w:color w:val="auto"/>
        </w:rPr>
        <w:t>The cell therapy landscape in China is saturated with CAR-T treatments, primarily for hematologic oncology. Cytovant’s TCR-T approach will face fewer TCR-T competitors and may better enable solid tumor targeting, a larger market opportunity than blood cancers.</w:t>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Development-Stage Cellular Therapeutics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114935</wp:posOffset>
            </wp:positionV>
            <wp:extent cx="1491615" cy="6057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91615"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00"/>
        <w:spacing w:after="0"/>
        <w:rPr>
          <w:sz w:val="20"/>
          <w:szCs w:val="20"/>
          <w:color w:val="auto"/>
        </w:rPr>
      </w:pPr>
      <w:r>
        <w:rPr>
          <w:rFonts w:ascii="Arial" w:cs="Arial" w:eastAsia="Arial" w:hAnsi="Arial"/>
          <w:sz w:val="12"/>
          <w:szCs w:val="12"/>
          <w:i w:val="1"/>
          <w:iCs w:val="1"/>
          <w:color w:val="auto"/>
        </w:rPr>
        <w:t>Clarivate Analytics as of January 2021</w:t>
      </w:r>
    </w:p>
    <w:p>
      <w:pPr>
        <w:spacing w:after="0" w:line="7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CVT-TCR-01</w:t>
      </w:r>
    </w:p>
    <w:p>
      <w:pPr>
        <w:spacing w:after="0" w:line="82" w:lineRule="exact"/>
        <w:rPr>
          <w:sz w:val="20"/>
          <w:szCs w:val="20"/>
          <w:color w:val="auto"/>
        </w:rPr>
      </w:pPr>
    </w:p>
    <w:p>
      <w:pPr>
        <w:jc w:val="both"/>
        <w:ind w:left="1980" w:right="1019" w:firstLine="294"/>
        <w:spacing w:after="0" w:line="340" w:lineRule="auto"/>
        <w:rPr>
          <w:sz w:val="20"/>
          <w:szCs w:val="20"/>
          <w:color w:val="auto"/>
        </w:rPr>
      </w:pPr>
      <w:r>
        <w:rPr>
          <w:rFonts w:ascii="Arial" w:cs="Arial" w:eastAsia="Arial" w:hAnsi="Arial"/>
          <w:sz w:val="10"/>
          <w:szCs w:val="10"/>
          <w:color w:val="auto"/>
        </w:rPr>
        <w:t>CVT-TCR-01 is a preclinical TCR-T therapeutic candidate being developed to target cancer testis antigen NY-ESO-1 presented by HLA-A*02. NY-ESO-1 has several characteristics that make it well-suited to ACT-based immunotherapeutic approaches. First, NY-ESO-1 is an oncofetal protein expressed primarily in malignant tissue; in particular, it is highly expressed in soft tissue sarcoma, ovarian cancer, esophageal cancer</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209</w:t>
      </w:r>
    </w:p>
    <w:p>
      <w:pPr>
        <w:sectPr>
          <w:pgSz w:w="11900" w:h="16838" w:orient="portrait"/>
          <w:cols w:equalWidth="0" w:num="1">
            <w:col w:w="10159"/>
          </w:cols>
          <w:pgMar w:left="300" w:top="372"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lung cancer, among other common tumors. Second, NY-ESO-1 is highly immunogenic and its expression is associated with decreased survival.</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Finally, because NY-ESO-1 is expressed only intracellularly, we believe it is a suitable target for a TCR-T-based approach.</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NY-ESO-1 positive cancers and limitations of current treatments</w:t>
      </w:r>
    </w:p>
    <w:p>
      <w:pPr>
        <w:spacing w:after="0" w:line="7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NY-ESO-1 positive cancers represent a substantial health burden in East Asia. The estimated incidences of colorectal, lung and esophageal cancer in China are 38.4, 56.3 and 22.4 cases per 100,000 individuals; these tumors are associated with NY-ESO-1 positivity rates of 17%, 19% and 21%, respectively. Among certain less common tumors, NY-ESO-1 positivity increases significantly, with 35% of bladder cancers, 43% of ovarian cancers and more than 80% of soft tissue sarcomas expressing the antigen. The estimated incidences of these tumor types in China are 5.9, 7.8 and 3.2 cases per 100,000 individuals. In aggregate, these six tumor types represent a prevalent population of more than 3,000,000 patients in China alone, of which we estimate more than 600,000 are likely to be NY-ESO-1 positive.</w:t>
      </w:r>
    </w:p>
    <w:p>
      <w:pPr>
        <w:spacing w:after="0" w:line="253"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NY-ESO-1 is Highly Expressed Across Many Fatal Cancers in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114935</wp:posOffset>
            </wp:positionV>
            <wp:extent cx="1765935" cy="12687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6593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While local control of soft tissue sarcoma is achievable through surgery and radiotherapy, up to 40% of patients eventually recur at distant sites, of whom over 90% ultimately die of this malignancy. For patients with locally advanced or metastatic sarcoma, conventional chemotherapy with doxorubicin and/or ifosfamide used sequentially or in combination represents the backbone of systemic treatment, for which overall survival is approximately 12 months. The high mortality and limited development of novel treatment options leaves significant unmet need for patients suffering from soft tissue sarcoma.</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In preclinical testing, CVT-TCR-01 demonstrated specific and potent killing of NY-ESO-1-positive cell lines as assessed by IFN-g release. Moreover, CVT-TCR-01 was shown to spare NY-ESO-1 negative cell lines, indicating the candidate’s specificity for NY-ESO-1. In subsequent cytotoxicity assays, CVT-TCR-01’s activity was shown to be dependent on both NY-ESO-1 and HLA-A2 expression, consistent with CVT-TCR-01’s specificity for NY-ESO-1 presented by HLA-A2. Finally, cytokine release assays indicated that CVT-TCR-01 induces strongly proinflammatory Th1-type cytokine secretion upon exposure to NY-ESO-1 positive cell lines, further supporting CVT-TCR-01’s antitumor activity. Additionally, preliminary clinical results from NY-ESO-1 directed TCR therapy demonstrate promising overall response rates in a wide variety of tumor types, including synovial sarcoma, multiple myeloma and myxoid round cell liposarcoma.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210</w:t>
      </w:r>
    </w:p>
    <w:p>
      <w:pPr>
        <w:sectPr>
          <w:pgSz w:w="11900" w:h="16838" w:orient="portrait"/>
          <w:cols w:equalWidth="0" w:num="1">
            <w:col w:w="10159"/>
          </w:cols>
          <w:pgMar w:left="300" w:top="372"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ind w:right="2739"/>
        <w:spacing w:after="0"/>
        <w:rPr>
          <w:sz w:val="20"/>
          <w:szCs w:val="20"/>
          <w:color w:val="auto"/>
        </w:rPr>
      </w:pPr>
      <w:r>
        <w:rPr>
          <w:rFonts w:ascii="Arial" w:cs="Arial" w:eastAsia="Arial" w:hAnsi="Arial"/>
          <w:sz w:val="12"/>
          <w:szCs w:val="12"/>
          <w:b w:val="1"/>
          <w:bCs w:val="1"/>
          <w:color w:val="auto"/>
        </w:rPr>
        <w:t>CVT-TCR-01 Shows Comparable Cytotoxic Activity in Three Donors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114935</wp:posOffset>
            </wp:positionV>
            <wp:extent cx="3457575" cy="20116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5757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1"/>
          <w:szCs w:val="11"/>
          <w:b w:val="1"/>
          <w:bCs w:val="1"/>
          <w:color w:val="auto"/>
        </w:rPr>
        <w:t>CVT-TCR-01 Transduced Effector Cells Secrete Th1-Type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121920</wp:posOffset>
            </wp:positionV>
            <wp:extent cx="2486025" cy="12515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211</w:t>
      </w:r>
    </w:p>
    <w:p>
      <w:pPr>
        <w:sectPr>
          <w:pgSz w:w="11900" w:h="16838" w:orient="portrait"/>
          <w:cols w:equalWidth="0" w:num="1">
            <w:col w:w="10159"/>
          </w:cols>
          <w:pgMar w:left="300" w:top="372"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135890</wp:posOffset>
            </wp:positionV>
            <wp:extent cx="2486025" cy="12515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There are multiple competing cellular therapeutics targeting NY-ESO-1 in development both globally and in Asia specifically. Among global programs, the most advanced is letetresgene autoleucel, which GlaxoSmithKline is currently developing in multiple solid tumor types in several Phase 1 and 2 studies. Prior studies of letetresgene autoleucel demonstrated strong antitumor activity in patients with NY-ESO-1-positive soft tissue sarcoma, in which overall response rates of up to 50% were observed. Among Asia- and China-specific programs, competing NY-ESO-1-targeting TCR-Ts include TAEST-16001, which is being developed by Xiangxue Life Sciences; TBI-1301, which is being developed by Takara Bio and Otsuka Pharmaceutical Co.; and a program in development by Shenzhen Binde Bio.</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Cytovant is developing CVT-TCR-01 for the treatment of tumors with high disease burden in Asia. We expect to initiate CMC activities for</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CVT-TCR-01 in the second half of 2021.</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212</w:t>
      </w:r>
    </w:p>
    <w:p>
      <w:pPr>
        <w:sectPr>
          <w:pgSz w:w="11900" w:h="16838" w:orient="portrait"/>
          <w:cols w:equalWidth="0" w:num="1">
            <w:col w:w="10159"/>
          </w:cols>
          <w:pgMar w:left="300" w:top="372"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60"/>
        <w:spacing w:after="0"/>
        <w:rPr>
          <w:sz w:val="20"/>
          <w:szCs w:val="20"/>
          <w:color w:val="auto"/>
        </w:rPr>
      </w:pPr>
      <w:r>
        <w:rPr>
          <w:rFonts w:ascii="Arial" w:cs="Arial" w:eastAsia="Arial" w:hAnsi="Arial"/>
          <w:sz w:val="12"/>
          <w:szCs w:val="12"/>
          <w:b w:val="1"/>
          <w:bCs w:val="1"/>
          <w:u w:val="single" w:color="auto"/>
          <w:color w:val="auto"/>
        </w:rPr>
        <w:t>Arbutus Overview</w:t>
      </w:r>
    </w:p>
    <w:p>
      <w:pPr>
        <w:spacing w:after="0" w:line="87" w:lineRule="exact"/>
        <w:rPr>
          <w:sz w:val="20"/>
          <w:szCs w:val="20"/>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ind w:left="2620" w:right="979" w:hanging="288"/>
        <w:spacing w:after="0" w:line="263"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Arbutus Biopharma Corporation is a clinical-stage biopharmaceutical company primarily focused on discovering, developing and commercializing a broad portfolio of wholly-owned assets with different mechanisms of action to provide a cure for people with chronic hepatitis B virus (HBV) infection and to treat coronaviruses (including COVID-19).</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programs:</w:t>
      </w:r>
    </w:p>
    <w:p>
      <w:pPr>
        <w:spacing w:after="0" w:line="91" w:lineRule="exact"/>
        <w:rPr>
          <w:rFonts w:ascii="Arial" w:cs="Arial" w:eastAsia="Arial" w:hAnsi="Arial"/>
          <w:sz w:val="12"/>
          <w:szCs w:val="12"/>
          <w:b w:val="1"/>
          <w:bCs w:val="1"/>
          <w:color w:val="auto"/>
        </w:rPr>
      </w:pPr>
    </w:p>
    <w:p>
      <w:pPr>
        <w:ind w:left="2620" w:right="979" w:hanging="288"/>
        <w:spacing w:after="0" w:line="27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i w:val="1"/>
          <w:iCs w:val="1"/>
          <w:color w:val="auto"/>
        </w:rPr>
        <w:t xml:space="preserve">AB-729: </w:t>
      </w:r>
      <w:r>
        <w:rPr>
          <w:rFonts w:ascii="Arial" w:cs="Arial" w:eastAsia="Arial" w:hAnsi="Arial"/>
          <w:sz w:val="12"/>
          <w:szCs w:val="12"/>
          <w:color w:val="auto"/>
        </w:rPr>
        <w:t>Subcutaneously-delivered RNAi therapeutic targeted to hepatocytes using Arbutus’s proprietary covalently conjugated GalNAc</w:t>
      </w:r>
      <w:r>
        <w:rPr>
          <w:rFonts w:ascii="Arial" w:cs="Arial" w:eastAsia="Arial" w:hAnsi="Arial"/>
          <w:sz w:val="12"/>
          <w:szCs w:val="12"/>
          <w:i w:val="1"/>
          <w:iCs w:val="1"/>
          <w:color w:val="auto"/>
        </w:rPr>
        <w:t xml:space="preserve"> </w:t>
      </w:r>
      <w:r>
        <w:rPr>
          <w:rFonts w:ascii="Arial" w:cs="Arial" w:eastAsia="Arial" w:hAnsi="Arial"/>
          <w:sz w:val="12"/>
          <w:szCs w:val="12"/>
          <w:color w:val="auto"/>
        </w:rPr>
        <w:t>delivery technology that inhibits viral replication.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i w:val="1"/>
          <w:iCs w:val="1"/>
          <w:color w:val="auto"/>
        </w:rPr>
        <w:t xml:space="preserve">AB-836: </w:t>
      </w:r>
      <w:r>
        <w:rPr>
          <w:rFonts w:ascii="Arial" w:cs="Arial" w:eastAsia="Arial" w:hAnsi="Arial"/>
          <w:sz w:val="12"/>
          <w:szCs w:val="12"/>
          <w:color w:val="auto"/>
        </w:rPr>
        <w:t>Proprietary advanced-generation oral capsid inhibitor that suppresses HBV DNA replication.</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879" w:hanging="288"/>
        <w:spacing w:after="0" w:line="25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Hepatitis B is a potentially life-threatening liver infection caused by HBV. HBV can cause chronic infection which leads to a higher risk of death from cirrhosis and liver cancer. The World Health Organization estimates that over 250 million people worldwide suffer from chronic HBV infection, while other estimates indicate that approximately 2 million people in the United States suffer from chronic HBV infection. Approximately 900,000 people die every year from complications related to chronic HBV infection despite the availability of effective vaccines and current treatment options.</w:t>
      </w:r>
    </w:p>
    <w:p>
      <w:pPr>
        <w:spacing w:after="0" w:line="61" w:lineRule="exact"/>
        <w:rPr>
          <w:rFonts w:ascii="Arial" w:cs="Arial" w:eastAsia="Arial" w:hAnsi="Arial"/>
          <w:sz w:val="12"/>
          <w:szCs w:val="12"/>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right="839" w:hanging="288"/>
        <w:spacing w:after="0" w:line="263"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Current treatment options include nucleos(t)ide analogs (“NA”) and pegylated interferon regimens. However, fewer than 5% of patients are functionally cured by these current treatment options after a finite treatment duration. With such low cure rates, most patients with chronic HBV infection are required to take NA therapy daily for the rest of their lives.</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859" w:hanging="288"/>
        <w:spacing w:after="0" w:line="263"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Preliminary data from ongoing single- and multi-dose Phase 1a/1b clinical trials for AB-729 demonstrate robust hepatitis B surface antigen (HBsAg) reductions in multiple patient cohorts. AB-729 has been observed to be well-tolerated after single and repeat doses based on results to date. These data support dosing intervals of up to 8 weeks.</w:t>
      </w:r>
    </w:p>
    <w:p>
      <w:pPr>
        <w:spacing w:after="0" w:line="59" w:lineRule="exact"/>
        <w:rPr>
          <w:rFonts w:ascii="Arial" w:cs="Arial" w:eastAsia="Arial" w:hAnsi="Arial"/>
          <w:sz w:val="12"/>
          <w:szCs w:val="12"/>
          <w:color w:val="auto"/>
        </w:rPr>
      </w:pPr>
    </w:p>
    <w:p>
      <w:pPr>
        <w:ind w:left="2620" w:right="999" w:hanging="288"/>
        <w:spacing w:after="0" w:line="27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Repeat dosing of AB-729 60 mg every 8 weeks results in comparable mean HBsAg declines relative to 60 mg every 4 weeks at week 44 (-1.87 log10 IU/mL vs -1.81 log10 IU/mL, p=0.8).</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In HBV DNA positive chronic hepatitis B subjects, a single 90 mg AB-729 dose resulted in robust mean HBsAg (-1.02 log10 IU/mL) and HBV DNA (-1.53 log10 IU/mL) declines at week 12, as well as decreases in HBV RNA and core-related antigen.</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right="939" w:hanging="288"/>
        <w:spacing w:after="0" w:line="27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Arbutus expects to report data from the 90 mg every 12 weeks cohort and 90 mg every 8 weeks cohort in HBV DNA positive subjects, in the fourth quarter of 2021.</w:t>
      </w:r>
    </w:p>
    <w:p>
      <w:pPr>
        <w:spacing w:after="0" w:line="51"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Arbutus initiated a Phase 2 clinical trial of a triple combination of AB-729, Assembly Biosciences’ vebicorvir, and an NA in February 2021.</w:t>
      </w:r>
    </w:p>
    <w:p>
      <w:pPr>
        <w:spacing w:after="0" w:line="51" w:lineRule="exact"/>
        <w:rPr>
          <w:rFonts w:ascii="Arial" w:cs="Arial" w:eastAsia="Arial" w:hAnsi="Arial"/>
          <w:sz w:val="12"/>
          <w:szCs w:val="12"/>
          <w:color w:val="auto"/>
        </w:rPr>
      </w:pPr>
    </w:p>
    <w:p>
      <w:pPr>
        <w:ind w:left="2620" w:right="899" w:hanging="288"/>
        <w:spacing w:after="0" w:line="289" w:lineRule="auto"/>
        <w:tabs>
          <w:tab w:leader="none" w:pos="262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Arbutus announced plans to evaluate a triple combination of AB-729, Antios Therapeutics’s proprietary active site polymerase inhibitor nucleuotide ATI-2173, and Viread (tenofovir disoproxil fumarate) in a single cohort in the ongoing Antios Phase 2a ANTT201 clinical trial. The multi-center, double-blind, placebo-controlled, multiple-dose cohort will evaluate the safety, pharmacokinetics, immunogenicity, and antiviral activity of this triple combination and is expected to initiate in the second half of 2021.</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213</w:t>
      </w:r>
    </w:p>
    <w:p>
      <w:pPr>
        <w:sectPr>
          <w:pgSz w:w="11900" w:h="16838" w:orient="portrait"/>
          <w:cols w:equalWidth="0" w:num="1">
            <w:col w:w="10159"/>
          </w:cols>
          <w:pgMar w:left="300" w:top="372"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2620" w:right="1219" w:hanging="288"/>
        <w:spacing w:after="0" w:line="298" w:lineRule="auto"/>
        <w:tabs>
          <w:tab w:leader="none" w:pos="2620" w:val="left"/>
        </w:tabs>
        <w:numPr>
          <w:ilvl w:val="1"/>
          <w:numId w:val="116"/>
        </w:numPr>
        <w:rPr>
          <w:rFonts w:ascii="Arial" w:cs="Arial" w:eastAsia="Arial" w:hAnsi="Arial"/>
          <w:sz w:val="11"/>
          <w:szCs w:val="11"/>
          <w:color w:val="auto"/>
        </w:rPr>
      </w:pPr>
      <w:r>
        <w:rPr>
          <w:rFonts w:ascii="Arial" w:cs="Arial" w:eastAsia="Arial" w:hAnsi="Arial"/>
          <w:sz w:val="11"/>
          <w:szCs w:val="11"/>
          <w:color w:val="auto"/>
        </w:rPr>
        <w:t>Arbutus expects to initiate a Phase 2a trial evaluating a triple combination of AB-729, Vaccitech’s VTP-300, an immunotherapeutic designed to elicit an HBV specific immune response, and an NA compared to the double combinations of AB-729 with an NA and VTP-300 with an NA in subjects with chronic HBV infection in early calendar year 2022.</w:t>
      </w:r>
    </w:p>
    <w:p>
      <w:pPr>
        <w:spacing w:after="0" w:line="41" w:lineRule="exact"/>
        <w:rPr>
          <w:rFonts w:ascii="Arial" w:cs="Arial" w:eastAsia="Arial" w:hAnsi="Arial"/>
          <w:sz w:val="11"/>
          <w:szCs w:val="11"/>
          <w:color w:val="auto"/>
        </w:rPr>
      </w:pPr>
    </w:p>
    <w:p>
      <w:pPr>
        <w:ind w:left="2620" w:right="939" w:hanging="288"/>
        <w:spacing w:after="0" w:line="263" w:lineRule="auto"/>
        <w:tabs>
          <w:tab w:leader="none" w:pos="2620" w:val="left"/>
        </w:tabs>
        <w:numPr>
          <w:ilvl w:val="1"/>
          <w:numId w:val="116"/>
        </w:numPr>
        <w:rPr>
          <w:rFonts w:ascii="Arial" w:cs="Arial" w:eastAsia="Arial" w:hAnsi="Arial"/>
          <w:sz w:val="12"/>
          <w:szCs w:val="12"/>
          <w:color w:val="auto"/>
        </w:rPr>
      </w:pPr>
      <w:r>
        <w:rPr>
          <w:rFonts w:ascii="Arial" w:cs="Arial" w:eastAsia="Arial" w:hAnsi="Arial"/>
          <w:sz w:val="12"/>
          <w:szCs w:val="12"/>
          <w:color w:val="auto"/>
        </w:rPr>
        <w:t>Arbutus received authorization from the FDA to proceed with its IND application for AB-729 in a Phase 2a clinical trial. The Phase 2a proof-of-concept clinical trial will evaluate the safety and efficacy of AB-729 in combination with ongoing NA therapy and short courses of Peg-IFN-2a in subjects with chronic HBV infection.</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1"/>
          <w:numId w:val="116"/>
        </w:numPr>
        <w:rPr>
          <w:rFonts w:ascii="Arial" w:cs="Arial" w:eastAsia="Arial" w:hAnsi="Arial"/>
          <w:sz w:val="12"/>
          <w:szCs w:val="12"/>
          <w:color w:val="auto"/>
        </w:rPr>
      </w:pPr>
      <w:r>
        <w:rPr>
          <w:rFonts w:ascii="Arial" w:cs="Arial" w:eastAsia="Arial" w:hAnsi="Arial"/>
          <w:sz w:val="12"/>
          <w:szCs w:val="12"/>
          <w:color w:val="auto"/>
        </w:rPr>
        <w:t>Arbutus expects to provide initial data from the Phase 1a/1b clinical trial of AB-836 in the fourth quarter of 2021.</w:t>
      </w:r>
    </w:p>
    <w:p>
      <w:pPr>
        <w:spacing w:after="0" w:line="83" w:lineRule="exact"/>
        <w:rPr>
          <w:rFonts w:ascii="Arial" w:cs="Arial" w:eastAsia="Arial" w:hAnsi="Arial"/>
          <w:sz w:val="12"/>
          <w:szCs w:val="12"/>
          <w:color w:val="auto"/>
        </w:rPr>
      </w:pPr>
    </w:p>
    <w:p>
      <w:pPr>
        <w:ind w:left="2260" w:hanging="288"/>
        <w:spacing w:after="0"/>
        <w:tabs>
          <w:tab w:leader="none" w:pos="226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right="919" w:hanging="288"/>
        <w:spacing w:after="0" w:line="323" w:lineRule="auto"/>
        <w:tabs>
          <w:tab w:leader="none" w:pos="2620" w:val="left"/>
        </w:tabs>
        <w:numPr>
          <w:ilvl w:val="1"/>
          <w:numId w:val="116"/>
        </w:numPr>
        <w:rPr>
          <w:rFonts w:ascii="Arial" w:cs="Arial" w:eastAsia="Arial" w:hAnsi="Arial"/>
          <w:sz w:val="11"/>
          <w:szCs w:val="11"/>
          <w:color w:val="auto"/>
        </w:rPr>
      </w:pPr>
      <w:r>
        <w:rPr>
          <w:rFonts w:ascii="Arial" w:cs="Arial" w:eastAsia="Arial" w:hAnsi="Arial"/>
          <w:sz w:val="11"/>
          <w:szCs w:val="11"/>
          <w:color w:val="auto"/>
        </w:rPr>
        <w:t>As of June 30, 2021, we own 32% of the issued and outstanding common shares of Arbutus and 29% on a fully diluted basis, in each case including the conversion of preferred shares held by Roivant into common shares, which was completed on October 18, 2021.</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214</w:t>
      </w:r>
    </w:p>
    <w:p>
      <w:pPr>
        <w:sectPr>
          <w:pgSz w:w="11900" w:h="16838" w:orient="portrait"/>
          <w:cols w:equalWidth="0" w:num="1">
            <w:col w:w="10159"/>
          </w:cols>
          <w:pgMar w:left="300" w:top="372"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80"/>
        <w:spacing w:after="0"/>
        <w:rPr>
          <w:sz w:val="20"/>
          <w:szCs w:val="20"/>
          <w:color w:val="auto"/>
        </w:rPr>
      </w:pPr>
      <w:r>
        <w:rPr>
          <w:rFonts w:ascii="Arial" w:cs="Arial" w:eastAsia="Arial" w:hAnsi="Arial"/>
          <w:sz w:val="12"/>
          <w:szCs w:val="12"/>
          <w:b w:val="1"/>
          <w:bCs w:val="1"/>
          <w:u w:val="single" w:color="auto"/>
          <w:color w:val="auto"/>
        </w:rPr>
        <w:t>Sio Gene Therapies Overview</w:t>
      </w:r>
    </w:p>
    <w:p>
      <w:pPr>
        <w:spacing w:after="0" w:line="87" w:lineRule="exact"/>
        <w:rPr>
          <w:sz w:val="20"/>
          <w:szCs w:val="20"/>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Overview:</w:t>
      </w:r>
    </w:p>
    <w:p>
      <w:pPr>
        <w:spacing w:after="0" w:line="91" w:lineRule="exact"/>
        <w:rPr>
          <w:rFonts w:ascii="Arial" w:cs="Arial" w:eastAsia="Arial" w:hAnsi="Arial"/>
          <w:sz w:val="12"/>
          <w:szCs w:val="12"/>
          <w:b w:val="1"/>
          <w:bCs w:val="1"/>
          <w:color w:val="auto"/>
        </w:rPr>
      </w:pPr>
    </w:p>
    <w:p>
      <w:pPr>
        <w:jc w:val="both"/>
        <w:ind w:left="2620" w:right="1019" w:hanging="288"/>
        <w:spacing w:after="0" w:line="263"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Sio Gene Therapies is a clinical-stage company focused on developing gene therapies for neurodegenerative diseases, with a pipeline of innovative product candidates for the treatment of GM1 gangliosidosis, GM2 gangliosidosis (including Tay-Sachs disease and Sandhoff disease) and Parkinson’s disease.</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Lead programs:</w:t>
      </w:r>
    </w:p>
    <w:p>
      <w:pPr>
        <w:spacing w:after="0" w:line="91" w:lineRule="exact"/>
        <w:rPr>
          <w:rFonts w:ascii="Arial" w:cs="Arial" w:eastAsia="Arial" w:hAnsi="Arial"/>
          <w:sz w:val="12"/>
          <w:szCs w:val="12"/>
          <w:b w:val="1"/>
          <w:bCs w:val="1"/>
          <w:color w:val="auto"/>
        </w:rPr>
      </w:pPr>
    </w:p>
    <w:p>
      <w:pPr>
        <w:ind w:left="2620" w:right="1039" w:hanging="288"/>
        <w:spacing w:after="0" w:line="289" w:lineRule="auto"/>
        <w:tabs>
          <w:tab w:leader="none" w:pos="2620" w:val="left"/>
        </w:tabs>
        <w:numPr>
          <w:ilvl w:val="1"/>
          <w:numId w:val="117"/>
        </w:numPr>
        <w:rPr>
          <w:rFonts w:ascii="Arial" w:cs="Arial" w:eastAsia="Arial" w:hAnsi="Arial"/>
          <w:sz w:val="11"/>
          <w:szCs w:val="11"/>
          <w:color w:val="auto"/>
        </w:rPr>
      </w:pPr>
      <w:r>
        <w:rPr>
          <w:rFonts w:ascii="Arial" w:cs="Arial" w:eastAsia="Arial" w:hAnsi="Arial"/>
          <w:sz w:val="11"/>
          <w:szCs w:val="11"/>
          <w:i w:val="1"/>
          <w:iCs w:val="1"/>
          <w:color w:val="auto"/>
        </w:rPr>
        <w:t xml:space="preserve">AXO-AAV-GM1: </w:t>
      </w:r>
      <w:r>
        <w:rPr>
          <w:rFonts w:ascii="Arial" w:cs="Arial" w:eastAsia="Arial" w:hAnsi="Arial"/>
          <w:sz w:val="11"/>
          <w:szCs w:val="11"/>
          <w:color w:val="auto"/>
        </w:rPr>
        <w:t>Investigational gene therapy currently being developed as a potential one-time disease modifying treatment for GM1</w:t>
      </w:r>
      <w:r>
        <w:rPr>
          <w:rFonts w:ascii="Arial" w:cs="Arial" w:eastAsia="Arial" w:hAnsi="Arial"/>
          <w:sz w:val="11"/>
          <w:szCs w:val="11"/>
          <w:i w:val="1"/>
          <w:iCs w:val="1"/>
          <w:color w:val="auto"/>
        </w:rPr>
        <w:t xml:space="preserve"> </w:t>
      </w:r>
      <w:r>
        <w:rPr>
          <w:rFonts w:ascii="Arial" w:cs="Arial" w:eastAsia="Arial" w:hAnsi="Arial"/>
          <w:sz w:val="11"/>
          <w:szCs w:val="11"/>
          <w:color w:val="auto"/>
        </w:rPr>
        <w:t>gangliosidosis, a rare disease caused by loss-of-function mutations in the GLB1 gene. The program utilizes an adeno-associated virus (AAV) vector to deliver a functional copy of the GLB1 gene with the goals of restoring ß -gal enzyme activity in the CNS and reducing GM1 ganglioside accumulation, to ultimately improve neurological function and extend survival.</w:t>
      </w:r>
    </w:p>
    <w:p>
      <w:pPr>
        <w:spacing w:after="0" w:line="47" w:lineRule="exact"/>
        <w:rPr>
          <w:rFonts w:ascii="Arial" w:cs="Arial" w:eastAsia="Arial" w:hAnsi="Arial"/>
          <w:sz w:val="11"/>
          <w:szCs w:val="11"/>
          <w:color w:val="auto"/>
        </w:rPr>
      </w:pPr>
    </w:p>
    <w:p>
      <w:pPr>
        <w:ind w:left="2620" w:right="1059" w:hanging="288"/>
        <w:spacing w:after="0" w:line="259"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AXO-AAV-GM2: </w:t>
      </w:r>
      <w:r>
        <w:rPr>
          <w:rFonts w:ascii="Arial" w:cs="Arial" w:eastAsia="Arial" w:hAnsi="Arial"/>
          <w:sz w:val="12"/>
          <w:szCs w:val="12"/>
          <w:color w:val="auto"/>
        </w:rPr>
        <w:t>Investigational gene therapy currently being developed as a potential one-time disease modifying treatment for GM2</w:t>
      </w:r>
      <w:r>
        <w:rPr>
          <w:rFonts w:ascii="Arial" w:cs="Arial" w:eastAsia="Arial" w:hAnsi="Arial"/>
          <w:sz w:val="12"/>
          <w:szCs w:val="12"/>
          <w:i w:val="1"/>
          <w:iCs w:val="1"/>
          <w:color w:val="auto"/>
        </w:rPr>
        <w:t xml:space="preserve"> </w:t>
      </w:r>
      <w:r>
        <w:rPr>
          <w:rFonts w:ascii="Arial" w:cs="Arial" w:eastAsia="Arial" w:hAnsi="Arial"/>
          <w:sz w:val="12"/>
          <w:szCs w:val="12"/>
          <w:color w:val="auto"/>
        </w:rPr>
        <w:t>gangliosidosis (including Tay-Sachs disease and Sandhoff disease). The AXO-AAV-GM2 program utilizes AAV dual vectors to deliver functional copies of both the HEXA gene and the HEXB gene, with the goal of restoring normal Hex A enzyme function in the central nervous system.</w:t>
      </w:r>
    </w:p>
    <w:p>
      <w:pPr>
        <w:spacing w:after="0" w:line="61" w:lineRule="exact"/>
        <w:rPr>
          <w:rFonts w:ascii="Arial" w:cs="Arial" w:eastAsia="Arial" w:hAnsi="Arial"/>
          <w:sz w:val="12"/>
          <w:szCs w:val="12"/>
          <w:color w:val="auto"/>
        </w:rPr>
      </w:pPr>
    </w:p>
    <w:p>
      <w:pPr>
        <w:ind w:left="2620" w:right="1179" w:hanging="288"/>
        <w:spacing w:after="0" w:line="263"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AXO-Lenti-PD: In vivo </w:t>
      </w:r>
      <w:r>
        <w:rPr>
          <w:rFonts w:ascii="Arial" w:cs="Arial" w:eastAsia="Arial" w:hAnsi="Arial"/>
          <w:sz w:val="12"/>
          <w:szCs w:val="12"/>
          <w:color w:val="auto"/>
        </w:rPr>
        <w:t>lentiviral gene therapy investigational product candidate currently being developed as a potential one-time</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of Parkinson’s disease. AXO-Lenti-PD delivers a construct of three genes that encode the critical enzymes required for the biochemical synthesis of dopamine from endogenous tyrosine.</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Disease overview:</w:t>
      </w:r>
    </w:p>
    <w:p>
      <w:pPr>
        <w:spacing w:after="0" w:line="91" w:lineRule="exact"/>
        <w:rPr>
          <w:rFonts w:ascii="Arial" w:cs="Arial" w:eastAsia="Arial" w:hAnsi="Arial"/>
          <w:sz w:val="12"/>
          <w:szCs w:val="12"/>
          <w:b w:val="1"/>
          <w:bCs w:val="1"/>
          <w:color w:val="auto"/>
        </w:rPr>
      </w:pPr>
    </w:p>
    <w:p>
      <w:pPr>
        <w:ind w:left="2620" w:right="1359" w:hanging="288"/>
        <w:spacing w:after="0" w:line="276"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GM1 gangliosidosis is a rare, inherited neurodegenerative lysosomal storage disorder characterized by the accumulation of GM1 ganglioside with an estimated incidence of approximately one in 100,000 live births worldwide.</w:t>
      </w:r>
    </w:p>
    <w:p>
      <w:pPr>
        <w:spacing w:after="0" w:line="51" w:lineRule="exact"/>
        <w:rPr>
          <w:rFonts w:ascii="Arial" w:cs="Arial" w:eastAsia="Arial" w:hAnsi="Arial"/>
          <w:sz w:val="12"/>
          <w:szCs w:val="12"/>
          <w:color w:val="auto"/>
        </w:rPr>
      </w:pPr>
    </w:p>
    <w:p>
      <w:pPr>
        <w:ind w:left="2620" w:right="1119" w:hanging="288"/>
        <w:spacing w:after="0" w:line="263"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GM2 gangliosidosis, also known as Tay-Sachs or Sandhoff diseases, is a rare, inherited neurodegenerative lysosomal storage disorder characterized by buildup of GM2 ganglioside in lysosomes with an estimated incidence of approximately one in 150,000 live births worldwide.</w:t>
      </w:r>
    </w:p>
    <w:p>
      <w:pPr>
        <w:spacing w:after="0" w:line="59" w:lineRule="exact"/>
        <w:rPr>
          <w:rFonts w:ascii="Arial" w:cs="Arial" w:eastAsia="Arial" w:hAnsi="Arial"/>
          <w:sz w:val="12"/>
          <w:szCs w:val="12"/>
          <w:color w:val="auto"/>
        </w:rPr>
      </w:pPr>
    </w:p>
    <w:p>
      <w:pPr>
        <w:ind w:left="2620" w:right="1079" w:hanging="288"/>
        <w:spacing w:after="0" w:line="323" w:lineRule="auto"/>
        <w:tabs>
          <w:tab w:leader="none" w:pos="2620" w:val="left"/>
        </w:tabs>
        <w:numPr>
          <w:ilvl w:val="1"/>
          <w:numId w:val="117"/>
        </w:numPr>
        <w:rPr>
          <w:rFonts w:ascii="Arial" w:cs="Arial" w:eastAsia="Arial" w:hAnsi="Arial"/>
          <w:sz w:val="11"/>
          <w:szCs w:val="11"/>
          <w:color w:val="auto"/>
        </w:rPr>
      </w:pPr>
      <w:r>
        <w:rPr>
          <w:rFonts w:ascii="Arial" w:cs="Arial" w:eastAsia="Arial" w:hAnsi="Arial"/>
          <w:sz w:val="11"/>
          <w:szCs w:val="11"/>
          <w:color w:val="auto"/>
        </w:rPr>
        <w:t>Parkinson’s disease is a chronic neurodegenerative disorder that primarily results in progressive and debilitating motor symptoms. It is estimated that up to 1 million people in the U.S. and 7 to 10 million people worldwide suffer from Parkinson’s disease.</w:t>
      </w:r>
    </w:p>
    <w:p>
      <w:pPr>
        <w:spacing w:after="0" w:line="24" w:lineRule="exact"/>
        <w:rPr>
          <w:rFonts w:ascii="Arial" w:cs="Arial" w:eastAsia="Arial" w:hAnsi="Arial"/>
          <w:sz w:val="11"/>
          <w:szCs w:val="11"/>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Limitations of current treatments:</w:t>
      </w:r>
    </w:p>
    <w:p>
      <w:pPr>
        <w:spacing w:after="0" w:line="91" w:lineRule="exact"/>
        <w:rPr>
          <w:rFonts w:ascii="Arial" w:cs="Arial" w:eastAsia="Arial" w:hAnsi="Arial"/>
          <w:sz w:val="12"/>
          <w:szCs w:val="12"/>
          <w:b w:val="1"/>
          <w:bCs w:val="1"/>
          <w:color w:val="auto"/>
        </w:rPr>
      </w:pPr>
    </w:p>
    <w:p>
      <w:pPr>
        <w:ind w:left="2620" w:right="979" w:hanging="288"/>
        <w:spacing w:after="0" w:line="276"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AXO-AAV-GM1: </w:t>
      </w:r>
      <w:r>
        <w:rPr>
          <w:rFonts w:ascii="Arial" w:cs="Arial" w:eastAsia="Arial" w:hAnsi="Arial"/>
          <w:sz w:val="12"/>
          <w:szCs w:val="12"/>
          <w:color w:val="auto"/>
        </w:rPr>
        <w:t>GM1 gangliosidosis is uniformly fatal, and there are no disease-modifying treatment options. Management is limited to</w:t>
      </w:r>
      <w:r>
        <w:rPr>
          <w:rFonts w:ascii="Arial" w:cs="Arial" w:eastAsia="Arial" w:hAnsi="Arial"/>
          <w:sz w:val="12"/>
          <w:szCs w:val="12"/>
          <w:i w:val="1"/>
          <w:iCs w:val="1"/>
          <w:color w:val="auto"/>
        </w:rPr>
        <w:t xml:space="preserve"> </w:t>
      </w:r>
      <w:r>
        <w:rPr>
          <w:rFonts w:ascii="Arial" w:cs="Arial" w:eastAsia="Arial" w:hAnsi="Arial"/>
          <w:sz w:val="12"/>
          <w:szCs w:val="12"/>
          <w:color w:val="auto"/>
        </w:rPr>
        <w:t>symptomatic treatment and palliative care.</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AXO-AAV-GM2: </w:t>
      </w:r>
      <w:r>
        <w:rPr>
          <w:rFonts w:ascii="Arial" w:cs="Arial" w:eastAsia="Arial" w:hAnsi="Arial"/>
          <w:sz w:val="12"/>
          <w:szCs w:val="12"/>
          <w:color w:val="auto"/>
        </w:rPr>
        <w:t>There are no disease-modifying treatment options for either Tay-Sachs disease or Sandhoff disease, and management is</w:t>
      </w:r>
      <w:r>
        <w:rPr>
          <w:rFonts w:ascii="Arial" w:cs="Arial" w:eastAsia="Arial" w:hAnsi="Arial"/>
          <w:sz w:val="12"/>
          <w:szCs w:val="12"/>
          <w:i w:val="1"/>
          <w:iCs w:val="1"/>
          <w:color w:val="auto"/>
        </w:rPr>
        <w:t xml:space="preserve"> </w:t>
      </w:r>
      <w:r>
        <w:rPr>
          <w:rFonts w:ascii="Arial" w:cs="Arial" w:eastAsia="Arial" w:hAnsi="Arial"/>
          <w:sz w:val="12"/>
          <w:szCs w:val="12"/>
          <w:color w:val="auto"/>
        </w:rPr>
        <w:t>limited to symptomatic treatment and palliative care.</w:t>
      </w:r>
    </w:p>
    <w:p>
      <w:pPr>
        <w:spacing w:after="0" w:line="51" w:lineRule="exact"/>
        <w:rPr>
          <w:rFonts w:ascii="Arial" w:cs="Arial" w:eastAsia="Arial" w:hAnsi="Arial"/>
          <w:sz w:val="12"/>
          <w:szCs w:val="12"/>
          <w:color w:val="auto"/>
        </w:rPr>
      </w:pPr>
    </w:p>
    <w:p>
      <w:pPr>
        <w:ind w:left="2620" w:right="1039" w:hanging="288"/>
        <w:spacing w:after="0" w:line="259"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AXO-Lenti-PD: </w:t>
      </w:r>
      <w:r>
        <w:rPr>
          <w:rFonts w:ascii="Arial" w:cs="Arial" w:eastAsia="Arial" w:hAnsi="Arial"/>
          <w:sz w:val="12"/>
          <w:szCs w:val="12"/>
          <w:color w:val="auto"/>
        </w:rPr>
        <w:t>The treatment of Parkinson’s disease is limited to symptomatic treatments, as no therapies have proven effective in</w:t>
      </w:r>
      <w:r>
        <w:rPr>
          <w:rFonts w:ascii="Arial" w:cs="Arial" w:eastAsia="Arial" w:hAnsi="Arial"/>
          <w:sz w:val="12"/>
          <w:szCs w:val="12"/>
          <w:i w:val="1"/>
          <w:iCs w:val="1"/>
          <w:color w:val="auto"/>
        </w:rPr>
        <w:t xml:space="preserve"> </w:t>
      </w:r>
      <w:r>
        <w:rPr>
          <w:rFonts w:ascii="Arial" w:cs="Arial" w:eastAsia="Arial" w:hAnsi="Arial"/>
          <w:sz w:val="12"/>
          <w:szCs w:val="12"/>
          <w:color w:val="auto"/>
        </w:rPr>
        <w:t>altering the course of the disease or addressing the underlying pathophysiological processes. One-time gene therapy has the potential to reduce reliance on levodopa-based therapies, reduce troublesome side effects such as dyskinesia, and slow the course of disease progression.</w:t>
      </w:r>
    </w:p>
    <w:p>
      <w:pPr>
        <w:spacing w:after="0" w:line="57" w:lineRule="exact"/>
        <w:rPr>
          <w:rFonts w:ascii="Arial" w:cs="Arial" w:eastAsia="Arial" w:hAnsi="Arial"/>
          <w:sz w:val="12"/>
          <w:szCs w:val="12"/>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Clinical data:</w:t>
      </w:r>
    </w:p>
    <w:p>
      <w:pPr>
        <w:spacing w:after="0" w:line="91" w:lineRule="exact"/>
        <w:rPr>
          <w:rFonts w:ascii="Arial" w:cs="Arial" w:eastAsia="Arial" w:hAnsi="Arial"/>
          <w:sz w:val="12"/>
          <w:szCs w:val="12"/>
          <w:b w:val="1"/>
          <w:bCs w:val="1"/>
          <w:color w:val="auto"/>
        </w:rPr>
      </w:pPr>
    </w:p>
    <w:p>
      <w:pPr>
        <w:ind w:left="2620" w:right="859" w:hanging="288"/>
        <w:spacing w:after="0" w:line="276" w:lineRule="auto"/>
        <w:tabs>
          <w:tab w:leader="none" w:pos="262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 xml:space="preserve">AXO-AAV-GM1: </w:t>
      </w:r>
      <w:r>
        <w:rPr>
          <w:rFonts w:ascii="Arial" w:cs="Arial" w:eastAsia="Arial" w:hAnsi="Arial"/>
          <w:sz w:val="12"/>
          <w:szCs w:val="12"/>
          <w:color w:val="auto"/>
        </w:rPr>
        <w:t>Data from the ongoing Phase 1/2 trial have shown AXO-AAV-GM1 to be generally well-tolerated, with a dose-dependent</w:t>
      </w:r>
      <w:r>
        <w:rPr>
          <w:rFonts w:ascii="Arial" w:cs="Arial" w:eastAsia="Arial" w:hAnsi="Arial"/>
          <w:sz w:val="12"/>
          <w:szCs w:val="12"/>
          <w:i w:val="1"/>
          <w:iCs w:val="1"/>
          <w:color w:val="auto"/>
        </w:rPr>
        <w:t xml:space="preserve"> </w:t>
      </w:r>
      <w:r>
        <w:rPr>
          <w:rFonts w:ascii="Arial" w:cs="Arial" w:eastAsia="Arial" w:hAnsi="Arial"/>
          <w:sz w:val="12"/>
          <w:szCs w:val="12"/>
          <w:color w:val="auto"/>
        </w:rPr>
        <w:t>improvement in key biomarkers of disease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215</w:t>
      </w:r>
    </w:p>
    <w:p>
      <w:pPr>
        <w:sectPr>
          <w:pgSz w:w="11900" w:h="16838" w:orient="portrait"/>
          <w:cols w:equalWidth="0" w:num="1">
            <w:col w:w="10159"/>
          </w:cols>
          <w:pgMar w:left="300" w:top="372"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spacing w:after="0" w:line="259" w:lineRule="auto"/>
        <w:rPr>
          <w:sz w:val="20"/>
          <w:szCs w:val="20"/>
          <w:color w:val="auto"/>
        </w:rPr>
      </w:pPr>
      <w:r>
        <w:rPr>
          <w:rFonts w:ascii="Arial" w:cs="Arial" w:eastAsia="Arial" w:hAnsi="Arial"/>
          <w:sz w:val="12"/>
          <w:szCs w:val="12"/>
          <w:color w:val="auto"/>
        </w:rPr>
        <w:t>activity and no overt disease progression in six out of seven patients treated across the low- and high-dose cohorts. At six months, in both patients in the high dose cohort, serum Î²-galactosidase activity achieved a normal range, increasing by 12x and 17x pre-treatment levels, respectively, and levels of GM1 ganglioside were normalized with 42% and 72% reductions, respectively. A total of ten patients have received AXO-AAV-GM1 to date, with no SAEs attributable to AXO-AAV-GM1.</w:t>
      </w:r>
    </w:p>
    <w:p>
      <w:pPr>
        <w:spacing w:after="0" w:line="61" w:lineRule="exact"/>
        <w:rPr>
          <w:sz w:val="20"/>
          <w:szCs w:val="20"/>
          <w:color w:val="auto"/>
        </w:rPr>
      </w:pPr>
    </w:p>
    <w:p>
      <w:pPr>
        <w:ind w:left="2620" w:right="879" w:hanging="288"/>
        <w:spacing w:after="0" w:line="263" w:lineRule="auto"/>
        <w:tabs>
          <w:tab w:leader="none" w:pos="262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 xml:space="preserve">AXO-AAV-GM2: </w:t>
      </w:r>
      <w:r>
        <w:rPr>
          <w:rFonts w:ascii="Arial" w:cs="Arial" w:eastAsia="Arial" w:hAnsi="Arial"/>
          <w:sz w:val="12"/>
          <w:szCs w:val="12"/>
          <w:color w:val="auto"/>
        </w:rPr>
        <w:t>Clinically meaningful improvement in motor skills and disease stabilization were observed in two infants with Tay-Sachs</w:t>
      </w:r>
      <w:r>
        <w:rPr>
          <w:rFonts w:ascii="Arial" w:cs="Arial" w:eastAsia="Arial" w:hAnsi="Arial"/>
          <w:sz w:val="12"/>
          <w:szCs w:val="12"/>
          <w:i w:val="1"/>
          <w:iCs w:val="1"/>
          <w:color w:val="auto"/>
        </w:rPr>
        <w:t xml:space="preserve"> </w:t>
      </w:r>
      <w:r>
        <w:rPr>
          <w:rFonts w:ascii="Arial" w:cs="Arial" w:eastAsia="Arial" w:hAnsi="Arial"/>
          <w:sz w:val="12"/>
          <w:szCs w:val="12"/>
          <w:color w:val="auto"/>
        </w:rPr>
        <w:t>disease following administration under expanded access protocol. An IND was cleared by FDA in November 2020 and two patients have been dosed to date.</w:t>
      </w:r>
    </w:p>
    <w:p>
      <w:pPr>
        <w:spacing w:after="0" w:line="59" w:lineRule="exact"/>
        <w:rPr>
          <w:rFonts w:ascii="Arial" w:cs="Arial" w:eastAsia="Arial" w:hAnsi="Arial"/>
          <w:sz w:val="12"/>
          <w:szCs w:val="12"/>
          <w:color w:val="auto"/>
        </w:rPr>
      </w:pPr>
    </w:p>
    <w:p>
      <w:pPr>
        <w:ind w:left="2620" w:right="879" w:hanging="288"/>
        <w:spacing w:after="0" w:line="263" w:lineRule="auto"/>
        <w:tabs>
          <w:tab w:leader="none" w:pos="262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 xml:space="preserve">AXO-Lenti-PD: </w:t>
      </w:r>
      <w:r>
        <w:rPr>
          <w:rFonts w:ascii="Arial" w:cs="Arial" w:eastAsia="Arial" w:hAnsi="Arial"/>
          <w:sz w:val="12"/>
          <w:szCs w:val="12"/>
          <w:color w:val="auto"/>
        </w:rPr>
        <w:t>Preliminary data from ongoing Phase 2 trial have shown AXO-Lenti-PD to be generally well-tolerated and to demonstrate</w:t>
      </w:r>
      <w:r>
        <w:rPr>
          <w:rFonts w:ascii="Arial" w:cs="Arial" w:eastAsia="Arial" w:hAnsi="Arial"/>
          <w:sz w:val="12"/>
          <w:szCs w:val="12"/>
          <w:i w:val="1"/>
          <w:iCs w:val="1"/>
          <w:color w:val="auto"/>
        </w:rPr>
        <w:t xml:space="preserve"> </w:t>
      </w:r>
      <w:r>
        <w:rPr>
          <w:rFonts w:ascii="Arial" w:cs="Arial" w:eastAsia="Arial" w:hAnsi="Arial"/>
          <w:sz w:val="12"/>
          <w:szCs w:val="12"/>
          <w:color w:val="auto"/>
        </w:rPr>
        <w:t>dose-dependent improvements in motor function. To date, 21 patients have received gene therapy in dose-escalation studies spanning 5 dose cohorts.</w:t>
      </w:r>
    </w:p>
    <w:p>
      <w:pPr>
        <w:spacing w:after="0" w:line="55" w:lineRule="exact"/>
        <w:rPr>
          <w:rFonts w:ascii="Arial" w:cs="Arial" w:eastAsia="Arial" w:hAnsi="Arial"/>
          <w:sz w:val="12"/>
          <w:szCs w:val="12"/>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Development plan and upcoming milestones:</w:t>
      </w:r>
    </w:p>
    <w:p>
      <w:pPr>
        <w:spacing w:after="0" w:line="91" w:lineRule="exact"/>
        <w:rPr>
          <w:rFonts w:ascii="Arial" w:cs="Arial" w:eastAsia="Arial" w:hAnsi="Arial"/>
          <w:sz w:val="12"/>
          <w:szCs w:val="12"/>
          <w:b w:val="1"/>
          <w:bCs w:val="1"/>
          <w:color w:val="auto"/>
        </w:rPr>
      </w:pPr>
    </w:p>
    <w:p>
      <w:pPr>
        <w:ind w:left="2620" w:right="1219" w:hanging="288"/>
        <w:spacing w:after="0" w:line="276" w:lineRule="auto"/>
        <w:tabs>
          <w:tab w:leader="none" w:pos="262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 xml:space="preserve">AXO-AAV-GM1: </w:t>
      </w:r>
      <w:r>
        <w:rPr>
          <w:rFonts w:ascii="Arial" w:cs="Arial" w:eastAsia="Arial" w:hAnsi="Arial"/>
          <w:sz w:val="12"/>
          <w:szCs w:val="12"/>
          <w:color w:val="auto"/>
        </w:rPr>
        <w:t>Sio expects to provide a data update from Stage 1 of its ongoing Phase 1/2 trial, including both Type 1 and Type II</w:t>
      </w:r>
      <w:r>
        <w:rPr>
          <w:rFonts w:ascii="Arial" w:cs="Arial" w:eastAsia="Arial" w:hAnsi="Arial"/>
          <w:sz w:val="12"/>
          <w:szCs w:val="12"/>
          <w:i w:val="1"/>
          <w:iCs w:val="1"/>
          <w:color w:val="auto"/>
        </w:rPr>
        <w:t xml:space="preserve"> </w:t>
      </w:r>
      <w:r>
        <w:rPr>
          <w:rFonts w:ascii="Arial" w:cs="Arial" w:eastAsia="Arial" w:hAnsi="Arial"/>
          <w:sz w:val="12"/>
          <w:szCs w:val="12"/>
          <w:color w:val="auto"/>
        </w:rPr>
        <w:t>patients, in the first half of calendar year 2022.</w:t>
      </w:r>
    </w:p>
    <w:p>
      <w:pPr>
        <w:spacing w:after="0" w:line="51" w:lineRule="exact"/>
        <w:rPr>
          <w:rFonts w:ascii="Arial" w:cs="Arial" w:eastAsia="Arial" w:hAnsi="Arial"/>
          <w:sz w:val="12"/>
          <w:szCs w:val="12"/>
          <w:color w:val="auto"/>
        </w:rPr>
      </w:pPr>
    </w:p>
    <w:p>
      <w:pPr>
        <w:ind w:left="2620" w:right="1359" w:hanging="288"/>
        <w:spacing w:after="0" w:line="276" w:lineRule="auto"/>
        <w:tabs>
          <w:tab w:leader="none" w:pos="262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 xml:space="preserve">AXO-AAV-GM2: </w:t>
      </w:r>
      <w:r>
        <w:rPr>
          <w:rFonts w:ascii="Arial" w:cs="Arial" w:eastAsia="Arial" w:hAnsi="Arial"/>
          <w:sz w:val="12"/>
          <w:szCs w:val="12"/>
          <w:color w:val="auto"/>
        </w:rPr>
        <w:t>Sio expects to continue patient identification, screening and enrollment in Stage 1 of its ongoing Phase 1/2 trial</w:t>
      </w:r>
      <w:r>
        <w:rPr>
          <w:rFonts w:ascii="Arial" w:cs="Arial" w:eastAsia="Arial" w:hAnsi="Arial"/>
          <w:sz w:val="12"/>
          <w:szCs w:val="12"/>
          <w:i w:val="1"/>
          <w:iCs w:val="1"/>
          <w:color w:val="auto"/>
        </w:rPr>
        <w:t xml:space="preserve"> </w:t>
      </w:r>
      <w:r>
        <w:rPr>
          <w:rFonts w:ascii="Arial" w:cs="Arial" w:eastAsia="Arial" w:hAnsi="Arial"/>
          <w:sz w:val="12"/>
          <w:szCs w:val="12"/>
          <w:color w:val="auto"/>
        </w:rPr>
        <w:t>throughout 2021.</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 xml:space="preserve">AXO-Lenti-PD: </w:t>
      </w:r>
      <w:r>
        <w:rPr>
          <w:rFonts w:ascii="Arial" w:cs="Arial" w:eastAsia="Arial" w:hAnsi="Arial"/>
          <w:sz w:val="12"/>
          <w:szCs w:val="12"/>
          <w:color w:val="auto"/>
        </w:rPr>
        <w:t>Sio expects to complete Qualified Person certification of clinical trial material in the fourth quarter of 2021 and resume</w:t>
      </w:r>
      <w:r>
        <w:rPr>
          <w:rFonts w:ascii="Arial" w:cs="Arial" w:eastAsia="Arial" w:hAnsi="Arial"/>
          <w:sz w:val="12"/>
          <w:szCs w:val="12"/>
          <w:i w:val="1"/>
          <w:iCs w:val="1"/>
          <w:color w:val="auto"/>
        </w:rPr>
        <w:t xml:space="preserve"> </w:t>
      </w:r>
      <w:r>
        <w:rPr>
          <w:rFonts w:ascii="Arial" w:cs="Arial" w:eastAsia="Arial" w:hAnsi="Arial"/>
          <w:sz w:val="12"/>
          <w:szCs w:val="12"/>
          <w:color w:val="auto"/>
        </w:rPr>
        <w:t>enrollment of patients in calendar year 2022.</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Roivant ownership:</w:t>
      </w:r>
    </w:p>
    <w:p>
      <w:pPr>
        <w:spacing w:after="0" w:line="91" w:lineRule="exact"/>
        <w:rPr>
          <w:rFonts w:ascii="Arial" w:cs="Arial" w:eastAsia="Arial" w:hAnsi="Arial"/>
          <w:sz w:val="12"/>
          <w:szCs w:val="12"/>
          <w:b w:val="1"/>
          <w:bCs w:val="1"/>
          <w:color w:val="auto"/>
        </w:rPr>
      </w:pPr>
    </w:p>
    <w:p>
      <w:pPr>
        <w:ind w:left="2620" w:hanging="288"/>
        <w:spacing w:after="0"/>
        <w:tabs>
          <w:tab w:leader="none" w:pos="2620" w:val="left"/>
        </w:tabs>
        <w:numPr>
          <w:ilvl w:val="1"/>
          <w:numId w:val="118"/>
        </w:numPr>
        <w:rPr>
          <w:rFonts w:ascii="Arial" w:cs="Arial" w:eastAsia="Arial" w:hAnsi="Arial"/>
          <w:sz w:val="11"/>
          <w:szCs w:val="11"/>
          <w:color w:val="auto"/>
        </w:rPr>
      </w:pPr>
      <w:r>
        <w:rPr>
          <w:rFonts w:ascii="Arial" w:cs="Arial" w:eastAsia="Arial" w:hAnsi="Arial"/>
          <w:sz w:val="11"/>
          <w:szCs w:val="11"/>
          <w:color w:val="auto"/>
        </w:rPr>
        <w:t>As of June 30, 2021, we own 27% of the issued and outstanding shares of Sio common stock and 24% on a fully diluted basis.</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Asset Acquisition and License Agreements; Other Vant Agreements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Immunovant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License Agreement with HanAll Biopharma Co., Ltd.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color w:val="auto"/>
        </w:rPr>
        <w:t>In December 2017, our wholly owned subsidiary, Roivant Sciences GmbH (“RSG”), entered into a license agreement with HanAll Biopharma Co., Ltd. (“HanAll”) (the “HanAll Agreement”). Under the HanAll Agreement, RSG received (i) the non-exclusive right to manufacture and (ii) the exclusive, royalty-bearing right to develop, import and use the antibody referred to as IMVT-1401 and certain back-up and next-generation antibodies, and products containing such antibodies, and to commercialize such products, in the United States, Canada, Mexico, the E.U., the U.K., Switzerland, the Middle East, North Africa and Latin America (the “HanAll Licensed Territory”), for all human and animal uses. RSG also received the right to grant a sublicense, with prior written notice to HanAll of such sublicense, to: (i) a third party in any country in the HanAll Licensed Territory outside of the United States and E.U.; (ii) an affiliate of RSG in any country in the HanAll Licensed Territory; and (iii) a third party in the United States and E.U. only after submission of a biologics license application in the United States or a Marketing Authorization Application in the E.U. Pursuant to the HanAll Agreement, RSG granted to HanAll an exclusive, royalty-free license under certain RSG patents, know-how and other intellectual property relating to such antibodies and products to develop, manufacture and commercialize such antibodies and products for use outside of the HanAll Licensed Territory.</w:t>
      </w:r>
    </w:p>
    <w:p>
      <w:pPr>
        <w:spacing w:after="0" w:line="103"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December 2018, Immunovant Sciences GmbH, (“ISG”) obtained and assumed all rights, title, interest and obligations under the HanAll Agreement from RSG, including all rights to IMVT-1401 in the HanAll Licensed Territory, for an aggregate purchase price of $37.8 million plus Swiss value-added tax of $2.9 million. HanAll and RSG have agreed that neither they nor certain of their affiliates will clinically develop or commercialize certain competitive products in the HanAll Licensed Territory.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216</w:t>
      </w:r>
    </w:p>
    <w:p>
      <w:pPr>
        <w:sectPr>
          <w:pgSz w:w="11900" w:h="16838" w:orient="portrait"/>
          <w:cols w:equalWidth="0" w:num="1">
            <w:col w:w="10159"/>
          </w:cols>
          <w:pgMar w:left="300" w:top="372"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Under the HanAll Agreement, the parties may choose to collaborate on a research program directed to the research and development of next generation FcRn inhibitors in accordance with an agreed plan and budget. ISG is obligated to reimburse HanAll for half of such research and development expenses incurred by HanAll, up to an aggregate reimbursement amount of $20.0 million.</w:t>
      </w:r>
    </w:p>
    <w:p>
      <w:pPr>
        <w:spacing w:after="0" w:line="122" w:lineRule="exact"/>
        <w:rPr>
          <w:sz w:val="20"/>
          <w:szCs w:val="20"/>
          <w:color w:val="auto"/>
        </w:rPr>
      </w:pPr>
    </w:p>
    <w:p>
      <w:pPr>
        <w:ind w:left="1980" w:right="899" w:firstLine="294"/>
        <w:spacing w:after="0" w:line="303" w:lineRule="auto"/>
        <w:rPr>
          <w:sz w:val="20"/>
          <w:szCs w:val="20"/>
          <w:color w:val="auto"/>
        </w:rPr>
      </w:pPr>
      <w:r>
        <w:rPr>
          <w:rFonts w:ascii="Arial" w:cs="Arial" w:eastAsia="Arial" w:hAnsi="Arial"/>
          <w:sz w:val="10"/>
          <w:szCs w:val="10"/>
          <w:color w:val="auto"/>
        </w:rPr>
        <w:t>Pursuant to the HanAll Agreement, RSG made an upfront payment of $30.0 million to HanAll in December 2017. In May 2019, ISG achieved its first development and regulatory milestone, which resulted in a $10.0 million milestone payment that ISG subsequently paid to HanAll in August 2019. ISG will be responsible for future contingent payments and royalties, including up to a maximum of $442.5 million upon the achievement of certain development, regulatory and sales milestone events. ISG is also obligated to pay HanAll tiered royalties ranging from the mid-single digits to mid-teens on net sales of licensed products, subject to standard offsets and reductions as set forth in the HanAll Agreement. These royalty obligations apply on a product-by-product and country-by-country basis and end upon the latest of (i) the date on which the last valid claim of the licensed patents that cover such licensed product in such country expires, (ii) the date on which the data or market exclusivity for such licensed product in such country expires or</w:t>
      </w:r>
    </w:p>
    <w:p>
      <w:pPr>
        <w:spacing w:after="0" w:line="1" w:lineRule="exact"/>
        <w:rPr>
          <w:sz w:val="20"/>
          <w:szCs w:val="20"/>
          <w:color w:val="auto"/>
        </w:rPr>
      </w:pPr>
    </w:p>
    <w:p>
      <w:pPr>
        <w:ind w:left="1980" w:right="859" w:hanging="8"/>
        <w:spacing w:after="0" w:line="279" w:lineRule="auto"/>
        <w:tabs>
          <w:tab w:leader="none" w:pos="219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11 years after the first commercial sale of such licensed product in such country. The HanAll Agreement will expire on 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Proteovant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Michigan Research Agreement</w:t>
      </w:r>
    </w:p>
    <w:p>
      <w:pPr>
        <w:spacing w:after="0" w:line="78"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In January 2018, our subsidiary Oncopia Therapeutics, Inc. (“Oncopia”) entered into a research agreement with the Regents of the University of Michigan (the “University of Michigan”) (the “Michigan Research Agreement”). Pursuant to the Michigan Research Agreement, Oncopia and the University of Michigan are collaborating to discover and optimize small molecule protein degraders. Any intellectual property developed under the Michigan Research Agreement that is directed to certain targets will be licensed by the University of Michigan to Oncopia pursuant to the Michigan License Agreement, as described below. Pursuant to the Michigan Research Agreement, Oncopia is obligated to provide a low eight-digit amount in funding between 2021 and 2023. Unless earlier terminated based on customary termination rights or extended by mutual agreement, the Research Agreement continues until December 2023.</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Michigan License Agreement</w:t>
      </w:r>
    </w:p>
    <w:p>
      <w:pPr>
        <w:spacing w:after="0" w:line="7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In November 2020, Oncopia entered into an amended and restated patent license agreement with the University of Michigan (the “Michigan License Agreement”), pursuant to which the University of Michigan granted Oncopia an exclusive, worldwide, sublicensable license under certain patents related to certain existing small molecule protein degraders and certain future small molecule protein degraders that may be developed under the Michigan Research Agreement to make, use and commercialize certain products covered by such patents. Such license grant is subject to, among other things, certain rights required to be granted under prior research or sponsorship agreements.</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Under the Michigan License Agreement, Oncopia is obligated to pay the University of Michigan a low-to-mid single-digit royalty on net sales of each licensed product. Oncopia’s royalty obligations apply on product-by-product, country-by-country basis and end upon the expiration of the last-to-expire valid claim of the licensed patents under the University of Michigan Agreement which covers such licensed product in such country. The patents and pending patent applications, if granted, currently licensed under the Michigan License Agreement are expected to expire as early as 2037, and as late as 2042, without giving effect to any potential</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217</w:t>
      </w:r>
    </w:p>
    <w:p>
      <w:pPr>
        <w:sectPr>
          <w:pgSz w:w="11900" w:h="16838" w:orient="portrait"/>
          <w:cols w:equalWidth="0" w:num="1">
            <w:col w:w="10159"/>
          </w:cols>
          <w:pgMar w:left="300" w:top="372"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patent term extensions or patent term adjustments. Oncopia is obligated to pay the University of Michigan minimum annual royalties in the low five-digit range from March 2021 until the first commercial sale of a licensed product, at which time such minimum annual royalties will increase to a low six-digit amount. Oncopia may also be obligated to pay up to a maximum of a high seven-digit amount in development and commercial milestone payments on a per product basis. Unless earlier terminated based on customary termination rights, the term of the Michigan License Agreement will continue until the expiration of the last-to-expire valid claim of the licensed patents.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Dermavant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Agreements Relating to Tapinarof</w:t>
      </w:r>
    </w:p>
    <w:p>
      <w:pPr>
        <w:spacing w:after="0" w:line="78"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In July 2018, our subsidiary Dermavant Sciences GmbH (“DSG”) acquired the worldwide rights (other than for China) with respect to certain intellectual property rights retained by Welichem Biotech Inc. (“Welichem”) to tapinarof and related compounds from Glaxo Group Limited and GlaxoSmithKline Intellectual Property Development Ltd. (collectively, “GSK”) pursuant to an asset purchase agreement (the “GSK Agreement”). GSK previously acquired rights to a predecessor formulation of tapinarof from Welichem pursuant to an asset purchase agreement between GSK and Welichem entered into in May 2012 (the “Welichem Agreement”). Under the GSK Agreement, DSG made an upfront payment of £150.0 million (approximately $191 million) to GSK.</w:t>
      </w:r>
    </w:p>
    <w:p>
      <w:pPr>
        <w:spacing w:after="0" w:line="128" w:lineRule="exact"/>
        <w:rPr>
          <w:sz w:val="20"/>
          <w:szCs w:val="20"/>
          <w:color w:val="auto"/>
        </w:rPr>
      </w:pPr>
    </w:p>
    <w:p>
      <w:pPr>
        <w:jc w:val="both"/>
        <w:ind w:left="1980" w:right="1079" w:firstLine="294"/>
        <w:spacing w:after="0" w:line="298" w:lineRule="auto"/>
        <w:rPr>
          <w:sz w:val="20"/>
          <w:szCs w:val="20"/>
          <w:color w:val="auto"/>
        </w:rPr>
      </w:pPr>
      <w:r>
        <w:rPr>
          <w:rFonts w:ascii="Arial" w:cs="Arial" w:eastAsia="Arial" w:hAnsi="Arial"/>
          <w:sz w:val="11"/>
          <w:szCs w:val="11"/>
          <w:color w:val="auto"/>
        </w:rPr>
        <w:t>DSG is also obligated to pay GSK £100.0 million (approximately $133 million) within 70 days following the receipt of marketing approval of tapinarof in the United States. The GSK Agreement does not require DSG to pay any royalties on sales of tapinarof following commercialization or make any commercial milestone payments, except for milestones owed to Welichem as described below.</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under the GSK Agreement, DSG assumed all obligations under the Welichem Agreement, including payment of up to C$80.0 million (approximately $61 million) in potential development milestone payments and up to C$100.0 million (approximately $76 million) in potential commercial milestone payments. Following the commencement of the two pivotal Phase 3 clinical trials of tapinarof for the treatment of psoriasis in May 2019, on June 5, 2019, DSG paid to Welichem a milestone payment of C$30.0 million (approximately $23 million). In the future DSG may seek to enter into a royalty financing or similar transaction to fund its milestone payments.</w:t>
      </w:r>
    </w:p>
    <w:p>
      <w:pPr>
        <w:spacing w:after="0" w:line="128"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In August 2018, in connection with the GSK Agreement, DSG and GlaxoSmithKline Trading Services Limited (“GSK Trading”) entered into a clinical manufacturing and supply agreement for tapinarof pursuant to which DSG obtained an existing supply of tapinarof drug product and drug substance as well as additional supply of tapinarof drug product for clinical trials on a cost plus basis. As required under the GSK Agreement, in April 2019, DSG and GSK Trading also entered into a commercial manufacturing and supply agreement (the “Commercial Supply Agreement”) pursuant to which DSG will obtain tapinarof drug product and drug substance from GSK Trading. Under the Commercial Supply Agreement, GSK Trading will provide development services to prepare for the manufacture and supply of tapinarof at commercial scale. DSG will obtain commercial supply of tapinarof on a cost plus basis under the commercial supply agreement. As required under the GSK Agreement, DSG entered into a letter agreement with GSK whereby GSK has agreed to make certain planned capital improvements, including design work, the purchase and modification of additional equipment items, and the reconfiguration of the existing production modules at GSK’s manufacturing site in Cork, Ireland with DSG agreeing to reimburse GSK an anticipated aggregate capital expenditure amount, which is not expected to exceed approximately €11.4 million (approximately $13 million). DSG is not required to reimburse GSK for any actual amounts incurred in excess of 110% of the anticipated aggregate capital expenditure amount and the letter agreement will terminate at the later of (i) the completion of the Planned Capital Improvements and (ii) reimbursement by DSG of GSK’s actual capital expenditures related to such planned capital improvements.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Collaboration and License Agreement with Japan Tobacco Inc.</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January 2020, DSG entered into a collaboration and license agreement with Japan Tobacco Inc. (“Japan Tobacco”) (the “Japan Tobacco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Agreement”). Pursuant to the Japan Tobacco Agreement, DSG granted Japan</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218</w:t>
      </w:r>
    </w:p>
    <w:p>
      <w:pPr>
        <w:sectPr>
          <w:pgSz w:w="11900" w:h="16838" w:orient="portrait"/>
          <w:cols w:equalWidth="0" w:num="1">
            <w:col w:w="10159"/>
          </w:cols>
          <w:pgMar w:left="300" w:top="372"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Tobacco exclusive rights to develop, register and market tapinarof in Japan for the treatment of dermatological diseases and conditions, including psoriasis and atopic dermatitis. In connection with the Japan Tobacco Agreement, Japan Tobacco has signed an exclusive license with its subsidiary, Torii, for co-development and commercialization of tapinarof in Japan.</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Japan Tobacco Agreement, in January 2020, DSG received an upfront payment of $60.0 million and may receive up to an additional</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$53.0 million upon the achievement of certain development milestones for tapinarof in psoriasis and atopic dermatitis. In addition, DSG will be entitled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tiered purchase prices specified in the Japan Tobacco Agreement in consideration of DSG’s commercial supply of tapinarof to Japan Tobacco under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terms of a separate commercial supply agreement to be negotiated by the parties. DSG also has the right to receive royalties, to be negotiated by the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parties and consistent with the purchase prices, based on product sales of tapinarof in the indications to the extent that DSG is no longer responsible for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supplying tapinarof to Japan Tobacco.</w:t>
      </w:r>
    </w:p>
    <w:p>
      <w:pPr>
        <w:spacing w:after="0" w:line="141"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The Japan Tobacco Agreement will remain in effect until expiration of the obligation to pay royalties, unless terminated in accordance with the following: (1) for any reason by Japan Tobacco upon written notice to DSG, which notice must be provided (x) at least 90 days in advance, if the termination is prior to regulatory approval of tapinarof in Japan for any dermatological disease or condition, and (y) at least 180 days in advance, if the termination is subsequent to regulatory approval of tapinarof in Japan for any dermatological disease or condition; (2) by either party upon written notice for the other party’s material breach if such party fails to cure such breach within the specified cure period; or (3) by DSG if Japan Tobacco or its affiliates or sublicenses participate in a challenge to certain of our patents.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Dermavant Financing Agreements—Dermavant Revenue Interest Purchase and Sale Agreement</w:t>
      </w:r>
    </w:p>
    <w:p>
      <w:pPr>
        <w:spacing w:after="0" w:line="78"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In May 2021, DSG, as seller, entered into a Revenue Interest Purchase and Sale Agreement (the “RIPSA”) with XYQ Luxco S.À R.L. (“XYQ Luxco”), NovaQuest Co-Investment Fund XVII, L.P., an affiliate of NovaQuest Capital Management, LLC, and MAM Tapir Lender, LLC, an affiliate of Marathon Asset Management, L.P. (collectively, the “Purchasers”), together with U.S. Bank National Association, as collateral agent.</w:t>
      </w:r>
    </w:p>
    <w:p>
      <w:pPr>
        <w:spacing w:after="0" w:line="105"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Following satisfaction of the funding conditions set forth in the RIPSA, including receipt of marketing approval from the FDA for tapinarof, the Purchasers are obligated to pay DSG a total of $160.0 million in accordance with the terms and conditions set forth in the RIPSA (the “Purchase Price”). In consideration therefor, each of the Purchasers will have the right to receive a low single-digit to high single-digit tiered percentage of quarterly revenues based on the achievement of specified net sales thresholds for tapinarof in the U.S., up to a cap set at a multiple of the Purchase Price paid to DSG by the Purchasers. Payments of such quarterly revenues to the Purchasers under the RIPSA are secured by a security interest in certain tapinarof-related assets, including intellectual property rights and certain other assets that are owned by, licensed to or otherwise controlled by DSG related to the development and commercialization of tapinarof.</w:t>
      </w:r>
    </w:p>
    <w:p>
      <w:pPr>
        <w:spacing w:after="0" w:line="115"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The RIPSA contains certain representations and warranties and covenants applicable to DSL and its subsidiaries. The RIPSA also contains certain Events of Default (as defined in the RIPSA) such as the breach of payment and other obligations, bankruptcy-related events and cross-defaults with respect to other related documents and agreements creating indebtedness. The occurrence of an Event of Default following the Purchasers’ funding of the Purchase Price triggers DSG’s obligation to pay an Event of Default Fee (as defined in the RIPSA) of $160.0 million, less revenue payments previously paid, as liquidated damages. In addition, the occurrence of a change of control of DSG prior to the Purchasers funding the Purchase Price triggers DSG’s right, but not the obligation, to terminate the RIPSA by payment of the Pre-Funding Change of Control Option Price (as defined in the RIPSA) to all of the Purchasers, which varies based on the date of termination and certain milestones with respect to tapinarof.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219</w:t>
      </w:r>
    </w:p>
    <w:p>
      <w:pPr>
        <w:sectPr>
          <w:pgSz w:w="11900" w:h="16838" w:orient="portrait"/>
          <w:cols w:equalWidth="0" w:num="1">
            <w:col w:w="10159"/>
          </w:cols>
          <w:pgMar w:left="300" w:top="372"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Dermavant Financing Agreements—Dermavant Credit Agreement with XYQ Luxco</w:t>
      </w:r>
    </w:p>
    <w:p>
      <w:pPr>
        <w:spacing w:after="0" w:line="78"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May 2021, our subsidiaries Dermavant Sciences Ltd. (“DSL”), Dermavant Holdings Limited, Dermavant Sciences IRL Limited and DSG, as borrowers (the “Borrowers”), and certain other subsidiaries of DSL, as initial guarantors, entered into a credit agreement (the “Credit Agreement”) with XYQ Luxco, as lender, and U.S. Bank National Association, as collateral agent. The Credit Agreement provides for a term loan of $40.0 million (the “Term Loan”), the proceeds of which were used by the Borrowers to repay in full and terminate an existing credit facility with Hercules Capital Inc., with the remaining proceeds to be used for working capital and other general corporate purposes.</w:t>
      </w:r>
    </w:p>
    <w:p>
      <w:pPr>
        <w:spacing w:after="0" w:line="113" w:lineRule="exact"/>
        <w:rPr>
          <w:sz w:val="20"/>
          <w:szCs w:val="20"/>
          <w:color w:val="auto"/>
        </w:rPr>
      </w:pPr>
    </w:p>
    <w:p>
      <w:pPr>
        <w:ind w:left="1980" w:right="899" w:firstLine="294"/>
        <w:spacing w:after="0" w:line="304" w:lineRule="auto"/>
        <w:rPr>
          <w:sz w:val="20"/>
          <w:szCs w:val="20"/>
          <w:color w:val="auto"/>
        </w:rPr>
      </w:pPr>
      <w:r>
        <w:rPr>
          <w:rFonts w:ascii="Arial" w:cs="Arial" w:eastAsia="Arial" w:hAnsi="Arial"/>
          <w:sz w:val="10"/>
          <w:szCs w:val="10"/>
          <w:color w:val="auto"/>
        </w:rPr>
        <w:t>The Term Loan bears interest at a fixed interest rate of 10.0% per annum, with interest paid quarterly in arrears until maturity in May 2026, at which time the principal amount is due. The Borrowers have the option to prepay the Term Loan in whole or in part, subject to (i) until May 2023, a prepayment premium of 5.0% of the principal amount being repaid (plus the present value of all future scheduled interest on the principal being prepaid that would accrue through May 2023 calculated based on a discount rate equal to the treasury rate plus 100 basis points, except in the event the prepayment is due to a change of control), (ii) from May 2023 to May 2024, a prepayment premium of 5.0% of the principal amount being repaid, and</w:t>
      </w:r>
    </w:p>
    <w:p>
      <w:pPr>
        <w:spacing w:after="0" w:line="1" w:lineRule="exact"/>
        <w:rPr>
          <w:sz w:val="20"/>
          <w:szCs w:val="20"/>
          <w:color w:val="auto"/>
        </w:rPr>
      </w:pPr>
    </w:p>
    <w:p>
      <w:pPr>
        <w:ind w:left="1980" w:right="919" w:hanging="8"/>
        <w:spacing w:after="0" w:line="253" w:lineRule="auto"/>
        <w:tabs>
          <w:tab w:leader="none" w:pos="219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from May 2024 to May 2025, a prepayment premium of 2.5% of the principal amount being repaid. From May 2025 through maturity, the Term Loan may be prepaid in whole or part without a prepayment premium. Optional and mandatory prepayment of the Term Loan, as well as other forms of prepayment, repayment, applications or reductions, will also require that DSL pays an Exit Fee (as defined in the Credit Agreement), calculated based on the amount so prepaid, repaid, applied or reduced.</w:t>
      </w:r>
    </w:p>
    <w:p>
      <w:pPr>
        <w:spacing w:after="0" w:line="129" w:lineRule="exact"/>
        <w:rPr>
          <w:sz w:val="20"/>
          <w:szCs w:val="20"/>
          <w:color w:val="auto"/>
        </w:rPr>
      </w:pPr>
    </w:p>
    <w:p>
      <w:pPr>
        <w:ind w:left="1980" w:right="939" w:firstLine="294"/>
        <w:spacing w:after="0" w:line="340" w:lineRule="auto"/>
        <w:rPr>
          <w:sz w:val="20"/>
          <w:szCs w:val="20"/>
          <w:color w:val="auto"/>
        </w:rPr>
      </w:pPr>
      <w:r>
        <w:rPr>
          <w:rFonts w:ascii="Arial" w:cs="Arial" w:eastAsia="Arial" w:hAnsi="Arial"/>
          <w:sz w:val="10"/>
          <w:szCs w:val="10"/>
          <w:color w:val="auto"/>
        </w:rPr>
        <w:t>The Borrowers’ obligations under the Credit Agreement are unconditionally guaranteed by the initial guarantors and secured by first priority security interests in substantially all of the tangible and intangible assets of the Borrowers and guarantors, including certain intellectual property rights, bank accounts, any and all insurance receivables, intercompany receivables and/or trade receivables and certain quotas and/or participation rights.</w:t>
      </w:r>
    </w:p>
    <w:p>
      <w:pPr>
        <w:spacing w:after="0" w:line="8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Credit Agreement contains certain representations and warranties, affirmative covenants, negative covenants and conditions that are customarily required for similar financings, including a covenant against the occurrence of a “change in control” (subject to the Borrowers’ right to prepay the Term Loan), financial reporting obligations and certain limitations on indebtedness, liens (including on intellectual property and other assets), investments, distributions (including dividends), collateral, transfers, mergers or acquisitions, taxes, corporate changes and deposit accounts.</w:t>
      </w:r>
    </w:p>
    <w:p>
      <w:pPr>
        <w:spacing w:after="0" w:line="111"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The Credit Agreement contains a minimum cash covenant that requires the initial Borrowers and the guarantors thereunder to maintain a minimum cash balance of $10.0 million until the earlier of (a) a Qualified IPO (as defined in the Credit Agreement), (b) an Ultimate Parent Spinout (as defined in the Credit Agreement), and (c) the date that XYQ Luxco, in its capacity as a purchaser under the RIPSA, has received cumulative payments from DSG under the RIPSA in an aggregate amount equal to its pro rata portion of the funding amount thereunder. The Credit Agreement also contains customary events of default (subject, in certain instances, to specified grace periods) including, but not limited to, the failure to make payments of interest, premium, fees, indemnity or principal under the Term Loan, the failure to comply with certain covenants and agreements specified in the Credit Agreement, defaults in respect of certain other indebtedness and certain events relating to bankruptcy or insolvency. If any event of default occurs, the principal, premium, if any, interest and any other monetary obligations on all the then outstanding amounts under the Term Loan may become due and payable immediately. Upon the occurrence of an event of default, a default interest rate of an additional 2% per year may be applied to the outstanding principal balance, and the lender may declare all outstanding obligations immediately due and payable and take such other actions as set forth in the Credit Agreement. Upon the occurrence of certain bankruptcy and insolvency events, the obligations under the Credit Agreement would automatically become due and payable.</w:t>
      </w:r>
    </w:p>
    <w:p>
      <w:pPr>
        <w:spacing w:after="0" w:line="7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220</w:t>
      </w:r>
    </w:p>
    <w:p>
      <w:pPr>
        <w:sectPr>
          <w:pgSz w:w="11900" w:h="16838" w:orient="portrait"/>
          <w:cols w:equalWidth="0" w:num="1">
            <w:col w:w="10159"/>
          </w:cols>
          <w:pgMar w:left="300" w:top="372"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On the closing date of the Term Loan and in accordance with the Credit Agreement, DSL issued to XYQ Luxco a warrant to purchase an aggregate of 1,199,072 common shares of DSL. The warrant is exercisable at any time until the earlier of (x) seven years from the date of issuance and</w:t>
      </w:r>
    </w:p>
    <w:p>
      <w:pPr>
        <w:spacing w:after="0" w:line="1" w:lineRule="exact"/>
        <w:rPr>
          <w:sz w:val="20"/>
          <w:szCs w:val="20"/>
          <w:color w:val="auto"/>
        </w:rPr>
      </w:pPr>
    </w:p>
    <w:p>
      <w:pPr>
        <w:ind w:left="1980" w:right="859" w:hanging="8"/>
        <w:spacing w:after="0" w:line="289" w:lineRule="auto"/>
        <w:tabs>
          <w:tab w:leader="none" w:pos="215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three years from the closing of an underwritten initial public offering of DSL’s common shares pursuant to an effective registration statement. The warrant includes customary registration rights and customary anti-dilution provisions for the common shares underlying the warrant in respect of certain corporate events (including share splits, share combinations, share dividends and other recapitalization transactions).</w:t>
      </w:r>
    </w:p>
    <w:p>
      <w:pPr>
        <w:spacing w:after="0" w:line="1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Genevant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Cross-License Agreement with Arbutus Biopharma Corporation</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In April 2018, our subsidiary, Genevant Sciences Ltd (“Genevant”), entered into a cross-license agreement with our affiliate, Arbutus Biopharma Corporation (“Arbutus”), which the parties amended twice in June 2018 (as amended, the “Arbutus Cross-License Agreement”). Pursuant to the Arbutus Cross-License Agreement Arbutus granted Genevant an exclusive, sublicensable, worldwide, transferable, irrevocable and perpetual license under certain patents and know-how relating to Arbutus’s lipid nanoparticle and GaINAc technology for RNA-based applications other than hepatitis B virus (“HBV”), and certain other excluded fields. The license is subject to certain rights which have previously licensed by Arbutus to other third parties. Under the Arbutus Cross-License Agreement, Genevant granted back to Arbutus an exclusive, sublicensable, worldwide, irrevocable, perpetual, royalty-free license under the intellectual property licensed under the Arbutus Cross-License Agreement and certain intellectual property acquired by Genevant after the effective date of the Arbutus Cross-License Agreement for applications involving the treatment and prevention of HBV.</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Genevant is obligated to pay Arbutus tiered low single-digit percentage royalties on sales of products covered by the licensed patents. If Genevant sublicenses intellectual property licensed from Arbutus or collaborates with any third party to develop, manufacture or commercialize any products covered by the intellectual property licensed by Arbutus, it will be required to pay Arbutus the lesser of (i) up to 20% of the Royalty-Related Receipts (as defined in the Arbutus Cross-License Agreement) received by Genevant from such sublicensees or collaborators and (ii) tiered low single-digit royalties on net sales by sublicensees. Genevant’s royalty obligations apply on product-by-product, country-by-country basis and end on the date on which the last valid claim of the licensed patents in such country that covers such licensed product expires. The patents and pending patent applications, if granted, currently licensed under the Arbutus Cross-License Agreement are expected to expire as early as 2023, and as late as 2039, without giving effect to any potential patent term extensions or patent term adjustments. Unless earlier terminated based on customary termination rights, the Arbutus Cross-License Agreement will continue until the expiration of Genevant’s royalty obligations.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Aruvant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License Agreement with Cincinnati Children’s Hospital Medical Center</w:t>
      </w:r>
    </w:p>
    <w:p>
      <w:pPr>
        <w:spacing w:after="0" w:line="78"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In November 2018, our subsidiary Aruvant Sciences Ltd. (“Aruvant”), through its wholly owned subsidiary Aruvant Sciences GmbH (“ASG”), entered into a license agreement with Cincinnati Children’s Hospital Medical Center (“CCHMC”), pursuant to which CCHMC granted ASG (i) an exclusive, royalty-bearing, worldwide license for the use of certain patents, know-how and data relating to certain gene therapies for sickle cell anemia and certain other hemoglobinopathies, including ARU-1801, and for related manufacturing processes, and (ii) a non-exclusive, royalty-bearing, worldwide license for the use of relevant future CCHMC’s patents and general manufacturing know-how (the “CCHMC License Agreement”). The license is subject to, among other things, a non-exclusive license previously granted by CCHMC to another party.</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consideration for entering into the CCHMC License Agreement, Aruvant issued nine million common shares to CCHMC. Aruvant is obligated to issue additional shares to CCHMC upon the earliest of (i) immediately prior to a change of control event, (ii) immediately following Aruvant’s issuance, in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221</w:t>
      </w:r>
    </w:p>
    <w:p>
      <w:pPr>
        <w:sectPr>
          <w:pgSz w:w="11900" w:h="16838" w:orient="portrait"/>
          <w:cols w:equalWidth="0" w:num="1">
            <w:col w:w="10159"/>
          </w:cols>
          <w:pgMar w:left="300" w:top="372"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aggregate, of equity securities, convertible or exchangeable securities, or other securities in exchange for cash equal to or in excess of $150.0 million or</w:t>
      </w:r>
    </w:p>
    <w:p>
      <w:pPr>
        <w:spacing w:after="0" w:line="38" w:lineRule="exact"/>
        <w:rPr>
          <w:sz w:val="20"/>
          <w:szCs w:val="20"/>
          <w:color w:val="auto"/>
        </w:rPr>
      </w:pPr>
    </w:p>
    <w:p>
      <w:pPr>
        <w:ind w:left="1980" w:right="999" w:hanging="8"/>
        <w:spacing w:after="0" w:line="255" w:lineRule="auto"/>
        <w:tabs>
          <w:tab w:leader="none" w:pos="219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immediately prior to the effectiveness of a registration statement in connection with an initial public offering by Aruvant. When such a triggering event occurs, Aruvant must issue CCHMC additional shares equal to the difference between 12% of Aruvant’s fully diluted share capital, less the closing shares.</w:t>
      </w:r>
    </w:p>
    <w:p>
      <w:pPr>
        <w:spacing w:after="0" w:line="127"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1"/>
          <w:szCs w:val="11"/>
          <w:color w:val="auto"/>
        </w:rPr>
        <w:t>ASG has paid CCHMC approximately $25.0 million in upfront licensing fees and is obligated to pay up to $30.0 million in the aggregate in sales, development and regulatory milestones for the first licensed product to reach certain specified milestones. Additionally, ASG is obligated to pay to CCHMC a low to mid single-digit royalty on net sales of licensed products subject to certain potential downward adjustments for third-party licenses, expiration of certain patent claims or the entry into the market of a competing generic product. ASG’s royalty obligations continue on product-by-product and country-by-country basis until the latest to occur of (i) the date on which the last valid claim of the licensed patents covering such licensed product in such country expires, (ii) the ten-year anniversary of the first commercial sale of such licensed product in such country or</w:t>
      </w:r>
    </w:p>
    <w:p>
      <w:pPr>
        <w:ind w:left="1980" w:right="919" w:hanging="8"/>
        <w:spacing w:after="0" w:line="278" w:lineRule="auto"/>
        <w:tabs>
          <w:tab w:leader="none" w:pos="2190" w:val="left"/>
        </w:tabs>
        <w:numPr>
          <w:ilvl w:val="0"/>
          <w:numId w:val="123"/>
        </w:numPr>
        <w:rPr>
          <w:rFonts w:ascii="Arial" w:cs="Arial" w:eastAsia="Arial" w:hAnsi="Arial"/>
          <w:sz w:val="11"/>
          <w:szCs w:val="11"/>
          <w:color w:val="auto"/>
        </w:rPr>
      </w:pPr>
      <w:r>
        <w:rPr>
          <w:rFonts w:ascii="Arial" w:cs="Arial" w:eastAsia="Arial" w:hAnsi="Arial"/>
          <w:sz w:val="11"/>
          <w:szCs w:val="11"/>
          <w:color w:val="auto"/>
        </w:rPr>
        <w:t>the expiration of regulatory exclusivity for such licensed product in such country. Unless earlier terminated based on customary termination rights, the CCHMC License Agreement will continue on a product-by-product basis until the expiration of the royalty term for such licensed product. In the event of termination, the license granted to ASG under the agreement will terminate and, in the case of ASG’s termination for convenience or CCHMC termination for ASG’s material breach or bankruptcy, ASG will be deemed to grant CCHMC a non-exclusive, worldwide, perpetual license under ASG’s patents and know-how that relate to the licensed products and any patents for jointly developed inventions to develop and commercialize any product. Such license is royalty-free in the case of termination for ASG’s material breach or bankruptcy, and will be royalty-bearing on terms to be negotiated in good faith in the case of termination by ASG for convenience.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Lysovant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License Agreement with iNtRON Biotechnology, Inc.</w:t>
      </w:r>
    </w:p>
    <w:p>
      <w:pPr>
        <w:spacing w:after="0" w:line="150"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In November 2018, our subsidiary, Lysovant Sciences GmbH (“LSG”), entered into a license agreement with iNtRON Biotechnology, Inc. (“iNtRON”), which the parties amended in March 2019 and August 2019 (the “iNtRON License Agreement”). Pursuant to the iNtRON License Agreement, iNtRON granted LSG an exclusive, worldwide, sublicensable, royalty-bearing license under certain patents and know-how to develop and commercialize certain antimicrobial bacteriophage-derived endolysins for any use other than uses involving topical administration. iNtRON also granted LSG an exclusive option during a specified exclusivity period extending until the expiration of a certain evaluation period to obtain an exclusive license to develop, manufacture and commercialize products containing certain other endolysins. LSG granted iNtRON a non-exclusive, worldwide, sublicensable, royalty-free, license under certain patents and know-how to develop and commercialize products containing the endolysins licensed under the iNtRON License Agreement formulated for topical administration.</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LSG paid iNtRON an upfront fee of $10.0 million and is obligated to pay an option exercise fee to iNtRON upon each exercise of its option to obtain a license to additional endolysins. LSG may also be obligated up pay up to a maximum of $42.5 million in development and regulatory milestone payments (with respect to the originally licensed endolysin), up to a maximum of $37.5 million in development and regulatory milestone payments (with respect to each of any new endolysins) and a maximum of $940.0 million in commercial milestone payments. LSG may also be obligated to pay a tiered low-to-mid teens percentage royalty, subject to certain customary reductions, on net sales of products covered by licensed patents. LSG’s royalty obligations apply on product-by-product, country-by-country basis and end upon the latest of (i) the date on which the last valid claim of the licensed patents that covers such licensed product in such country expires, (ii) ten years after the first commercial sale of such licensed product in such country and (iii) the date on which the regulatory exclusivity for such licensed product in such country expires. Unless earlier terminated based on customary termination rights, the iNtRON License Agreement will continue in effect on a product-by-product basis until the expiration of all royalty obligations.</w:t>
      </w:r>
    </w:p>
    <w:p>
      <w:pPr>
        <w:spacing w:after="0" w:line="5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222</w:t>
      </w:r>
    </w:p>
    <w:p>
      <w:pPr>
        <w:sectPr>
          <w:pgSz w:w="11900" w:h="16838" w:orient="portrait"/>
          <w:cols w:equalWidth="0" w:num="1">
            <w:col w:w="10159"/>
          </w:cols>
          <w:pgMar w:left="300" w:top="372"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82"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Our commercial success depends in part on our ability to obtain and maintain proprietary protection for current and future products and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 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The patent positions of companies like us are generally uncertain and involve complex legal and factual questions. No consistent policy regarding the scope of claims allowable in patents in the fields of genetic therapy, cell therapy, biologics or pharmaceutical products generally has emerged in the United States or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issue in the future may not guarantee us the right to practice our technology in relation to the commercialization of our product candidates or technology. The area of patents and other intellectual property rights in biotechnology is an evolving one with many risks and uncertainties, which may prevent us from commercializing our current and future products and product candidates and practicing our proprietary technology.</w:t>
      </w:r>
    </w:p>
    <w:p>
      <w:pPr>
        <w:spacing w:after="0" w:line="11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Our issued patents and those that may issue in the future may be challenged, narrowed, circumvented or invalidated, which could limit our ability to stop competitors from marketing related products or technologies or limit the length of the term of patent protection that we may have for our current and future products and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Factors—Risks Related to Roivant’s Business and Industry—Risks Related to Our Intellectual Property.”</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Patents and Patent Applications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ARU-1801</w:t>
      </w:r>
    </w:p>
    <w:p>
      <w:pPr>
        <w:spacing w:after="0" w:line="78"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As of June 30, 2021, ASG has licensed rights to six patent families containing at least 18 issued patents and 21 pending patent applications in the U.S. and other jurisdictions, including the European Union and Japan, with claims relating to a mutant human-Globin gene, lentiviral vectors and methods for producing lentiviral vectors. These patents and pending applications, if issued, are expected to expire as early as 2035, in each case without taking into account any possible patent term adjustment or extensions and assuming payment of all appropriate maintenance, renewal, annuity, or other governmental fees.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223</w:t>
      </w:r>
    </w:p>
    <w:p>
      <w:pPr>
        <w:sectPr>
          <w:pgSz w:w="11900" w:h="16838" w:orient="portrait"/>
          <w:cols w:equalWidth="0" w:num="1">
            <w:col w:w="10159"/>
          </w:cols>
          <w:pgMar w:left="300" w:top="372"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Tapinarof</w:t>
      </w:r>
    </w:p>
    <w:p>
      <w:pPr>
        <w:spacing w:after="0" w:line="7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As of June 30, 2021, DSG is the exclusive owner of patent families that include five issued U.S. patents and at least 10 pending U.S. patent applications, as well as more than 20 issued patents and at least 55 pending patent applications in other jurisdictions, including the European Union and Japan, relating to tapinarof, the synthesis of tapinarof, intermediates made in the synthesis, the drug substance crystal form, topical formulations of tapinarof and uses thereof in certain diseases and disorders.</w:t>
      </w:r>
    </w:p>
    <w:p>
      <w:pPr>
        <w:spacing w:after="0" w:line="12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One of these patent families is directed to the topical formulation of tapinarof, and its use to treat plaque psoriasis, that Dermavant has evaluated in Phase 3 clinical trials, as well as its use to treat atopic dermatitis which has been evaluated in Phase 2b clinical trials, which includes a patent that was issued in the United States and has a natural expiration date in 2036, without taking into account any possible patent term adjustment or extensions and assuming payment of all appropriate maintenance, renewal, annuity, or other governmental fees. This formulation patent includes 113 claims directed to topical, homogeneous, oil-in-water micro-emulsions containing tapinarof, an oil phase, a surfactant and other specific ingredients. DSG also owns an issued patent in the United States covering methods of using the patented formulations to treat inflammatory diseases, including psoriasis and atopic dermatitis. Like the formulation patent, the method-of-use patent has a natural expiration date in 2036 in the United States, without taking into account any possible patent term adjustment or extensions and assuming payment of all appropriate maintenance, renewal, annuity, or other governmental fees. The foreign counterpart formulation and method-of-use applications are pending, and if patents issue from these applications, they will also have a natural expiration date in 2036, without taking into account any possible patent term adjustment or extensions and assuming payment of all appropriate maintenance, renewal, annuity, or other governmental fees.</w:t>
      </w:r>
    </w:p>
    <w:p>
      <w:pPr>
        <w:spacing w:after="0" w:line="116"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DSG also owns a drug substance (“DS”) patent in the United States covering the high purity crystal form of tapinarof, as DS, the DS synthesis and several novel intermediates that are formed in the synthesis. This DS patent has a natural expiration date in 2038, without taking into account any possible patent term adjustment or extensions and assuming payment of all appropriate maintenance, renewal, annuity, or other governmental fees. DSG has also filed foreign counterpart DS applications that are still pending in foreign jurisdictions and, if patents issue from these applications, they will similarly have a natural expiration date in 2038, without taking into account any possible patent term adjustment or extensions and assuming payment of all appropriate maintenance, renewal, annuity, or other governmental fees.</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Genevant</w:t>
      </w:r>
    </w:p>
    <w:p>
      <w:pPr>
        <w:spacing w:after="0" w:line="78"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As of June 30, 2021, we own or co-own 16 patent families containing at least 44 issued patents and at least 46 pending patent applications in the U.S., European Union and numerous other jurisdictions, including claims relating to lipid nanoparticle delivery technology and polymers. These patents and pending applications, if issued, are expected to expire between 2024 and 2041, in each case without taking into account any possible patent term adjustment or extensions and assuming payment of all appropriate maintenance, renewal, annuity or other governmental fees.</w:t>
      </w:r>
    </w:p>
    <w:p>
      <w:pPr>
        <w:spacing w:after="0" w:line="111" w:lineRule="exact"/>
        <w:rPr>
          <w:sz w:val="20"/>
          <w:szCs w:val="20"/>
          <w:color w:val="auto"/>
        </w:rPr>
      </w:pPr>
    </w:p>
    <w:p>
      <w:pPr>
        <w:jc w:val="both"/>
        <w:ind w:left="1980" w:right="859" w:firstLine="294"/>
        <w:spacing w:after="0" w:line="289" w:lineRule="auto"/>
        <w:rPr>
          <w:sz w:val="20"/>
          <w:szCs w:val="20"/>
          <w:color w:val="auto"/>
        </w:rPr>
      </w:pPr>
      <w:r>
        <w:rPr>
          <w:rFonts w:ascii="Arial" w:cs="Arial" w:eastAsia="Arial" w:hAnsi="Arial"/>
          <w:sz w:val="11"/>
          <w:szCs w:val="11"/>
          <w:color w:val="auto"/>
        </w:rPr>
        <w:t>As of June 30, 2021, we have licensed 40 patent families containing at least 465 issued patents and at least 218 pending patent applications in the U.S., European Union and numerous other jurisdictions, including claims relating to delivery systems. These patents and pending applications, if issued, are expected to expire between 2021 and 2039, in each case without taking into account any possible patent term adjustment or extensions and assuming payment of all appropriate maintenance, renewal, annuity or other governmental fees.</w:t>
      </w:r>
    </w:p>
    <w:p>
      <w:pPr>
        <w:spacing w:after="0" w:line="18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IMVT-1401</w:t>
      </w:r>
    </w:p>
    <w:p>
      <w:pPr>
        <w:spacing w:after="0" w:line="7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Following ISG’s assumption of all rights, title, interest and obligations under the license agreement between RSG and HanAll Biophama (the “HanAll Agreement”) from RSG in December 2018, by virtue of the license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224</w:t>
      </w:r>
    </w:p>
    <w:p>
      <w:pPr>
        <w:sectPr>
          <w:pgSz w:w="11900" w:h="16838" w:orient="portrait"/>
          <w:cols w:equalWidth="0" w:num="1">
            <w:col w:w="10159"/>
          </w:cols>
          <w:pgMar w:left="300" w:top="372"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patent rights under the HanAll Agreement, ISG is the exclusive licensee of technology directed to IMVT-1401, and certain back-up and next-generation antibodies, and products containing such antibodies, in the licensed territory. As of June 30, 2021, the patent portfolio includes pending patent applications and/or issued patent(s) in the U.S. and other jurisdictions. The in-licensed patent portfolio includes a patent family that discloses anti-FcRn antibodies,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This patent family includes an issued U.S. patent with claims directed to an isolated anti-FcRn antibody or antigen-binding fragment thereof, and a pharmaceutical composition comprising such antibody or antigen-binding fragment thereof and a second issued U.S. patent with claims directed to an isolated anti-FcRn antibody or antigen-binding fragment thereof, a pharmaceutical composition thereof as well as methods of treating various autoimmune diseases using such antibody or antigen-binding fragment, polynucleotides and expression vectors encoding the same, host cells capable of expressing the same and methods of producing such antibody or antigen-binding fragment. The patents and pending applications of this patent family, if issued, are expected to expire as early as 2035, in each case without taking into account any possible patent term adjustment or extensions and assuming payment of all appropriate maintenance, renewal, annuity, or other governmental fees. For information regarding ISG’s license agreement with HanAll, please see “—Asset Acquisitions and License Arrangements.”</w:t>
      </w:r>
    </w:p>
    <w:p>
      <w:pPr>
        <w:spacing w:after="0" w:line="116"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Additionally, as of June 30, 2021, independent of the licensed patent portfolio, ISG has a patent family directed to methods of treating thyroid eye disease using anti-FcRn antibodies that includes patent applications in the U.S. as well as counterparts in certain other jurisdictions within its licensed territory and another patent family that includes an internationally filed patent application directed to methods of treating warm autoimmune hemolytic anemia using anti-FcRn antibodies. Any patent issued from these patent families is expected to expire in 2039 and 2040, respectively, exclusive of any patent term adjustment or extension.</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LSVT-1701</w:t>
      </w:r>
    </w:p>
    <w:p>
      <w:pPr>
        <w:spacing w:after="0" w:line="78"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As of June 30, 2021, we have licensed rights to six patent families containing at least 47 issued patents and at least 33 pending patent applications in numerous jurisdictions, including the U.S. and European Union, with claims relating to LSVT-1701, formulations thereof and methods of treatment. These patents and pending applications, if issued, are expected to expire as early as 2027, in each case without taking into account any possible patent term adjustment or extensions and assuming payment of all appropriate maintenance, renewal, annuity, or other governmental fees.</w:t>
      </w:r>
    </w:p>
    <w:p>
      <w:pPr>
        <w:spacing w:after="0" w:line="18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Targeted Protein Degradation Platform</w:t>
      </w:r>
    </w:p>
    <w:p>
      <w:pPr>
        <w:spacing w:after="0" w:line="78"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As of June 30, 2021, we have licensed rights to 21 patent families containing three issued U.S. patents, two issued European patents, one issued South African patent, one issued Ukraine patent and at least 70 pending patent applications in the U.S., European Union and a number of other jurisdictions. These patents and pending applications, if issued, are expected to expire as early as 2037, without taking into account any possible patent term adjustment or extensions and assuming payment of all appropriate maintenance, renewal, annuity, or other governmental fees.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cannot predict whether the patent applications we pursue or license will issue as patents in any particular jurisdiction. Even if our pending patent applications are granted as issued patents, those patents, as well as any patents we license from third parties now or in the future, may be challenged, circumvented or invalidated by third parties. While we seek broad coverage under our existing patent applications, there is always a risk that an alteration to the products or technologies may provide sufficient basis for a competitor or other third party to avoid infringing our patent claims. In addition, patents, if granted, expire and we cannot provide any assurance that any patents will be issued from our pending or any future applications or that any potentially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225</w:t>
      </w:r>
    </w:p>
    <w:p>
      <w:pPr>
        <w:sectPr>
          <w:pgSz w:w="11900" w:h="16838" w:orient="portrait"/>
          <w:cols w:equalWidth="0" w:num="1">
            <w:col w:w="10159"/>
          </w:cols>
          <w:pgMar w:left="300" w:top="372"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issued patents will adequately protect our products or product candidates. Consequently, we may not obtain or maintain adequate patent protection for any of our products or product candidates.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The duration of foreign patents varies in accordance with provisions of applicable local law, but typically is also 20 years from the earliest effective non-provisional filing date.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PTE, which permits patent term restoration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certain other jurisdictions to extend the term of a patent that covers an approved drug. In the future, if and when our products receive FDA approval, we expect to apply for PTEs on patents covering products eligible for PTE. We plan to seek PTEs for any of our issued patents in any jurisdiction where these are available; however, there is no guarantee that the applicable authorities, including the USPTO in the United States, will agree with our assessment of whether such extensions should be granted, and if granted, the length of such extensions.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1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Our commercial success will also depend in part on not infringing upon the proprietary rights of third parties. It is uncertain whether the issuance of any third-party patent would require us to alter our development or commercial strategies for our products or processes, or to obtain licenses or cease certain activities. Our breach of any license agreements or failure to obtain a license to proprietary rights that we may require to develop or commercialize our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“Risk Factors—Risks Related to Roivant’s Business and Industry—Risks Related to Our Intellectual Property.”</w:t>
      </w:r>
    </w:p>
    <w:p>
      <w:pPr>
        <w:spacing w:after="0" w:line="20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Trade Secrets</w:t>
      </w:r>
    </w:p>
    <w:p>
      <w:pPr>
        <w:spacing w:after="0" w:line="78"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to our reliance on patent protection for our inventions, product candidates and research programs, we also rely on trade 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 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226</w:t>
      </w:r>
    </w:p>
    <w:p>
      <w:pPr>
        <w:sectPr>
          <w:pgSz w:w="11900" w:h="16838" w:orient="portrait"/>
          <w:cols w:equalWidth="0" w:num="1">
            <w:col w:w="10159"/>
          </w:cols>
          <w:pgMar w:left="300" w:top="372"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Government Regulation</w:t>
      </w:r>
    </w:p>
    <w:p>
      <w:pPr>
        <w:spacing w:after="0" w:line="8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Government authorities in the United States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including gene therapies,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U.S. Government Regulation of Drug and Biological Products</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In the United States,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products and our reputation.</w:t>
      </w:r>
    </w:p>
    <w:p>
      <w:pPr>
        <w:spacing w:after="0" w:line="11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product candidates must be approved by the FDA through either an NDA or a BLA, process before they may be legally marketed in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United States. The process generally involves the following:</w:t>
      </w:r>
    </w:p>
    <w:p>
      <w:pPr>
        <w:spacing w:after="0" w:line="78" w:lineRule="exact"/>
        <w:rPr>
          <w:sz w:val="20"/>
          <w:szCs w:val="20"/>
          <w:color w:val="auto"/>
        </w:rPr>
      </w:pPr>
    </w:p>
    <w:p>
      <w:pPr>
        <w:ind w:left="2620" w:right="879" w:hanging="288"/>
        <w:spacing w:after="0" w:line="276" w:lineRule="auto"/>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completion of extensive preclinical studies in accordance with applicable regulations, including studies conducted in accordance with GLP requirements;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submission to the FDA of an IND, which must become effective before human clinical trials may begin;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approval by an IRB, or independent ethics committee at each clinical trial site before each human trial may be initiated;</w:t>
      </w:r>
    </w:p>
    <w:p>
      <w:pPr>
        <w:spacing w:after="0" w:line="87"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submission to the FDA of an NDA or BLA;</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an NDA or BLA to accept the filing for review;</w:t>
      </w:r>
    </w:p>
    <w:p>
      <w:pPr>
        <w:spacing w:after="0" w:line="87" w:lineRule="exact"/>
        <w:rPr>
          <w:rFonts w:ascii="Arial" w:cs="Arial" w:eastAsia="Arial" w:hAnsi="Arial"/>
          <w:sz w:val="12"/>
          <w:szCs w:val="12"/>
          <w:color w:val="auto"/>
        </w:rPr>
      </w:pPr>
    </w:p>
    <w:p>
      <w:pPr>
        <w:jc w:val="both"/>
        <w:ind w:left="2620" w:right="899" w:hanging="288"/>
        <w:spacing w:after="0" w:line="263" w:lineRule="auto"/>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227</w:t>
      </w:r>
    </w:p>
    <w:p>
      <w:pPr>
        <w:sectPr>
          <w:pgSz w:w="11900" w:h="16838" w:orient="portrait"/>
          <w:cols w:equalWidth="0" w:num="1">
            <w:col w:w="10159"/>
          </w:cols>
          <w:pgMar w:left="300" w:top="372"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potential FDA inspection of the clinical trial sites that generated the data in support of the NDA or BLA and/or us as the sponsor</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payment of user fees for FDA review of the NDA or BLA (unless a fee waiver applies)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agreement with FDA on the final labeling for the product and the design and implementation of any required REMS; and</w:t>
      </w:r>
    </w:p>
    <w:p>
      <w:pPr>
        <w:spacing w:after="0" w:line="87" w:lineRule="exact"/>
        <w:rPr>
          <w:rFonts w:ascii="Arial" w:cs="Arial" w:eastAsia="Arial" w:hAnsi="Arial"/>
          <w:sz w:val="12"/>
          <w:szCs w:val="12"/>
          <w:color w:val="auto"/>
        </w:rPr>
      </w:pPr>
    </w:p>
    <w:p>
      <w:pPr>
        <w:ind w:left="2620" w:right="1279" w:hanging="288"/>
        <w:spacing w:after="0" w:line="276" w:lineRule="auto"/>
        <w:tabs>
          <w:tab w:leader="none" w:pos="26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FDA review and approval of the NDA or BLA, including consideration of the views of any FDA advisory committee, prior to any commercial marketing or sale of the drug or biologic in the United States.</w:t>
      </w:r>
    </w:p>
    <w:p>
      <w:pPr>
        <w:spacing w:after="0" w:line="11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Preclinical Studies</w:t>
      </w:r>
    </w:p>
    <w:p>
      <w:pPr>
        <w:spacing w:after="0" w:line="7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Before testing any drug, biological or gene therapy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safety/toxicology studies.</w:t>
      </w:r>
    </w:p>
    <w:p>
      <w:pPr>
        <w:spacing w:after="0" w:line="12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FDA to, among other things, scrutinize existing INDs or marketed products and could generate requests for information or clinical holds on other product candidates or programs.</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Clinical Trials</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1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to the submission of an IND to the FDA before initiation of a clinical trial in the United States, certain human clinical trials involving recombinant or synthetic nucleic acid molecules had historically been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228</w:t>
      </w:r>
    </w:p>
    <w:p>
      <w:pPr>
        <w:sectPr>
          <w:pgSz w:w="11900" w:h="16838" w:orient="portrait"/>
          <w:cols w:equalWidth="0" w:num="1">
            <w:col w:w="10159"/>
          </w:cols>
          <w:pgMar w:left="300" w:top="372"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subject to review by the NIH Recombinant DNA Advisory Committee (the “RAC”), of the NIH Office of Biotechnology Activities (the “OBA”), pursuant to the NIH Guideline.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clarify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being conducted at or sponsored by institutions receiving NIH funding of recombinant or synthetic nucleic acid molecule research, many companies and other institutions not otherwise subject to the NIH Guidelines voluntarily follow them.</w:t>
      </w:r>
    </w:p>
    <w:p>
      <w:pPr>
        <w:spacing w:after="0" w:line="118"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Clinical trials generally are conducted in three sequential phases, known as Phase 1, Phase 2 and Phase 3, and may overlap or be combined.</w:t>
      </w:r>
    </w:p>
    <w:p>
      <w:pPr>
        <w:spacing w:after="0" w:line="99" w:lineRule="exact"/>
        <w:rPr>
          <w:sz w:val="20"/>
          <w:szCs w:val="20"/>
          <w:color w:val="auto"/>
        </w:rPr>
      </w:pPr>
    </w:p>
    <w:p>
      <w:pPr>
        <w:ind w:left="2620" w:right="1059" w:hanging="288"/>
        <w:spacing w:after="0" w:line="263" w:lineRule="auto"/>
        <w:tabs>
          <w:tab w:leader="none" w:pos="26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59"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Phase 2 clinical trials involve studies in disease-affected patients to evaluate proof of concept and/or determine the dose required to produce the desired benefits. At the same time, safety and further PK and PD information is collected, possible adverse effects and safety risks are identified, and a preliminary evaluation of efficacy is conducted.</w:t>
      </w:r>
    </w:p>
    <w:p>
      <w:pPr>
        <w:spacing w:after="0" w:line="59"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w:t>
      </w:r>
    </w:p>
    <w:p>
      <w:pPr>
        <w:spacing w:after="0" w:line="12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August 2018, the FDA released a draft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113"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Post-approval trials, sometimes referred to as Phase 4 clinical trials, may be conducted after initial marketing approval. These trials are used to gain additional experience from the treatment of patients in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229</w:t>
      </w:r>
    </w:p>
    <w:p>
      <w:pPr>
        <w:sectPr>
          <w:pgSz w:w="11900" w:h="16838" w:orient="portrait"/>
          <w:cols w:equalWidth="0" w:num="1">
            <w:col w:w="10159"/>
          </w:cols>
          <w:pgMar w:left="300" w:top="372"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spacing w:after="0" w:line="92"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13"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FDA Review Process</w:t>
      </w:r>
    </w:p>
    <w:p>
      <w:pPr>
        <w:spacing w:after="0" w:line="7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1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the Prescription Drug User Fee Act (the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FDA reviews all submitted NDAs and BLAs before it accepts them for filing, and may request additional information rather than accepting the NDA or BLA for filing. The FDA must make a decision 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230</w:t>
      </w:r>
    </w:p>
    <w:p>
      <w:pPr>
        <w:sectPr>
          <w:pgSz w:w="11900" w:h="16838" w:orient="portrait"/>
          <w:cols w:equalWidth="0" w:num="1">
            <w:col w:w="10159"/>
          </w:cols>
          <w:pgMar w:left="300" w:top="372"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has significantly curtailed its inspection program. The reduction in pre-approval inspections has resulted in delays to some product approvals. There may be delays to product approvals in the future based on continuing problems with respect to the FDA’s ability to conduct inspections and then, even after a resumption of the FDA’s normal inspection program, a possible backlog in applications under review by the agency.</w:t>
      </w:r>
    </w:p>
    <w:p>
      <w:pPr>
        <w:spacing w:after="0" w:line="117"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The FDA has developed the Oncology Center of Excellence RTOR pilot program to facilitate a more efficient review process for certain oncology product candidates. Although this program allows FDA to begin reviewing clinical data prior to submission of a complete NDA or BLA, the program is not intended to change the PDUFA review timelines.</w:t>
      </w:r>
    </w:p>
    <w:p>
      <w:pPr>
        <w:spacing w:after="0" w:line="12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335"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Orphan Drug Designation and Exclusivity</w:t>
      </w:r>
    </w:p>
    <w:p>
      <w:pPr>
        <w:spacing w:after="0" w:line="78"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24"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231</w:t>
      </w:r>
    </w:p>
    <w:p>
      <w:pPr>
        <w:sectPr>
          <w:pgSz w:w="11900" w:h="16838" w:orient="portrait"/>
          <w:cols w:equalWidth="0" w:num="1">
            <w:col w:w="10159"/>
          </w:cols>
          <w:pgMar w:left="300" w:top="372"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91"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Rare Pediatric Disease Designation and Priority Review Vouchers</w:t>
      </w:r>
    </w:p>
    <w:p>
      <w:pPr>
        <w:spacing w:after="0" w:line="7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Expedited Development and Review Programs</w:t>
      </w:r>
    </w:p>
    <w:p>
      <w:pPr>
        <w:spacing w:after="0" w:line="78"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spacing w:after="0" w:line="117"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A product submitted to the FDA for marketing, including under a fast-track program, may be eligible for other types of FDA programs intended to expedite development or review, such as priority review and accelerated approval. Priority review means that, for a new molecular entity or original BLA, the FDA sets a target date for FDA action on the marketing application at six months after accepting the application for filing as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232</w:t>
      </w:r>
    </w:p>
    <w:p>
      <w:pPr>
        <w:sectPr>
          <w:pgSz w:w="11900" w:h="16838" w:orient="portrait"/>
          <w:cols w:equalWidth="0" w:num="1">
            <w:col w:w="10159"/>
          </w:cols>
          <w:pgMar w:left="300" w:top="372"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5" w:lineRule="auto"/>
        <w:rPr>
          <w:sz w:val="20"/>
          <w:szCs w:val="20"/>
          <w:color w:val="auto"/>
        </w:rPr>
      </w:pPr>
      <w:r>
        <w:rPr>
          <w:rFonts w:ascii="Arial" w:cs="Arial" w:eastAsia="Arial" w:hAnsi="Arial"/>
          <w:sz w:val="12"/>
          <w:szCs w:val="12"/>
          <w:color w:val="auto"/>
        </w:rPr>
        <w:t>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application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28"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31"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16"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As part of the 21st Century Cures Act, Congress amended the FDCA to facilitate an efficient development program for, and expedite review of regenerative medicine advanced therapies (“RMATs”), which include cell and gene therapies, therapeutic tissue engineering products, human cell and tissue products, and combination products using any such therapies or products. RMATs do not include those human cells, tissues, and cellular and tissue-based products regulated solely under section 361 of the PHSA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although ideally no later than the end-of-Phase 2 meeting. The FDA has 60 calendar days to determine whether the therapy meets the criteria, including whether there is preliminary clinical evidence indicating that the product has the potential to address unmet medical needs for a serious or life-threatening disease or condition. A BLA for a regenerative medicine therapy that has received RMAT</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233</w:t>
      </w:r>
    </w:p>
    <w:p>
      <w:pPr>
        <w:sectPr>
          <w:pgSz w:w="11900" w:h="16838" w:orient="portrait"/>
          <w:cols w:equalWidth="0" w:num="1">
            <w:col w:w="10159"/>
          </w:cols>
          <w:pgMar w:left="300" w:top="372"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113"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115" w:lineRule="exact"/>
        <w:rPr>
          <w:sz w:val="20"/>
          <w:szCs w:val="20"/>
          <w:color w:val="auto"/>
        </w:rPr>
      </w:pPr>
    </w:p>
    <w:p>
      <w:pPr>
        <w:jc w:val="both"/>
        <w:ind w:left="1980" w:right="1139" w:firstLine="294"/>
        <w:spacing w:after="0" w:line="263" w:lineRule="auto"/>
        <w:rPr>
          <w:sz w:val="20"/>
          <w:szCs w:val="20"/>
          <w:color w:val="auto"/>
        </w:rPr>
      </w:pPr>
      <w:r>
        <w:rPr>
          <w:rFonts w:ascii="Arial" w:cs="Arial" w:eastAsia="Arial" w:hAnsi="Arial"/>
          <w:sz w:val="12"/>
          <w:szCs w:val="12"/>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and RMAT designation do not change the standards for approval.</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Pediatric Information and Pediatric Exclusivity</w:t>
      </w:r>
    </w:p>
    <w:p>
      <w:pPr>
        <w:spacing w:after="0" w:line="7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(the “FDASIA”),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0"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Post-Marketing Requirements</w:t>
      </w:r>
    </w:p>
    <w:p>
      <w:pPr>
        <w:spacing w:after="0" w:line="7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Following approval of a new product, the manufacturer and the approved product are subject to continuing regulation by the FDA, including, among other things, monitoring and record-keeping activities, reporting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234</w:t>
      </w:r>
    </w:p>
    <w:p>
      <w:pPr>
        <w:sectPr>
          <w:pgSz w:w="11900" w:h="16838" w:orient="portrait"/>
          <w:cols w:equalWidth="0" w:num="1">
            <w:col w:w="10159"/>
          </w:cols>
          <w:pgMar w:left="300" w:top="372"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adverse experiences and certain problems in the manufacturing process,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17"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28"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129"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50" w:lineRule="exact"/>
        <w:rPr>
          <w:sz w:val="20"/>
          <w:szCs w:val="20"/>
          <w:color w:val="auto"/>
        </w:rPr>
      </w:pPr>
    </w:p>
    <w:p>
      <w:pPr>
        <w:ind w:left="2620" w:right="959" w:hanging="288"/>
        <w:spacing w:after="0" w:line="276" w:lineRule="auto"/>
        <w:tabs>
          <w:tab w:leader="none" w:pos="26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drug or biologic, suspension of the approval, complete withdrawal of the drug from the market or product recalls;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refusal of the FDA to approve applications or supplements to approved applications, or suspension or revocation of drug or biologic approvals;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235</w:t>
      </w:r>
    </w:p>
    <w:p>
      <w:pPr>
        <w:sectPr>
          <w:pgSz w:w="11900" w:h="16838" w:orient="portrait"/>
          <w:cols w:equalWidth="0" w:num="1">
            <w:col w:w="10159"/>
          </w:cols>
          <w:pgMar w:left="300" w:top="372" w:right="1440" w:bottom="1440" w:gutter="0" w:footer="0" w:header="0"/>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drug or biologic seizure or detention, or refusal to permit the import or export of drugs;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debarment from producing or marketing drug products or biologics.</w:t>
      </w:r>
    </w:p>
    <w:p>
      <w:pPr>
        <w:spacing w:after="0" w:line="22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Regulation of Companion Diagnostics</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 xml:space="preserve">Success of certain product candidates may depend, in part, on the development and commercialization of a companion diagnostic. A companion diagnostic is a medical device, often an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device, which provides 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premarket approval application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17"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 a pre-approval inspection of the manufacturing facility or facilities to ensure compliance with the Quality System Regulation (the “QSR”), which requires manufacturers to follow design, testing, control, corrective and 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quality system regulation, adverse event reporting, recalls and</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236</w:t>
      </w:r>
    </w:p>
    <w:p>
      <w:pPr>
        <w:sectPr>
          <w:pgSz w:w="11900" w:h="16838" w:orient="portrait"/>
          <w:cols w:equalWidth="0" w:num="1">
            <w:col w:w="10159"/>
          </w:cols>
          <w:pgMar w:left="300" w:top="372"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spacing w:after="0" w:line="122"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 xml:space="preserve">FDA has taken the position that developers of companion diagnostic tests associated with novel therapeutic products should seek clearance or approval at the same time that the therapeutic developer seeks approval. FDA has recognized that contemporaneous clearance or approval of a companion diagnostic with a therapeutic is not always possible, though FDA has indicated that coordination of contemporaneous clearances/approvals is a policy goal. In October 2018, FDA issued a safety alert warning against the use of unapproved or uncleared genetic tests to predict patient response to specific medications. While FDA has historically exercised enforcement discretion against laboratory developed tests—tests which are developed and performed in a single Clinical Laboratory Improvement Amendments (CLIA) certified laboratory—the 2018 alert and a subsequent 2019 Warning Letter against Inova Genomics Laboratory suggest that FDA may prioritize for enforcement certain uncleared or unapproved tests marketed as companion diagnostic tests. Subsequently, FDA has attempted to encourage collaboration between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diagnostic test developers and therapeutic developers and to clarify FDA expectations as to companion diagnostic labeling, particularly through guidance in the oncology area. In June 2021, the Verifying Accurate Leading-edge IVCT Development Act of 2021 (the “VALID Act”) was introduced in the U.S. House of Representatives and Senate. Similar to the 2020 iteration of the bill, among other things, the VALID Act would likely classify all companion diagnostic tests as requiring FDA premarket review and would formalize and arguably expand FDA’s regulatory authority over diagnostic testing. Though passage of the VALID Act is uncertain, strong bipartisan support remains for some kind of diagnostic testing legislative reform in the near term.</w:t>
      </w:r>
    </w:p>
    <w:p>
      <w:pPr>
        <w:spacing w:after="0" w:line="19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Biosimilars and Exclusivity</w:t>
      </w:r>
    </w:p>
    <w:p>
      <w:pPr>
        <w:spacing w:after="0" w:line="78" w:lineRule="exact"/>
        <w:rPr>
          <w:sz w:val="20"/>
          <w:szCs w:val="20"/>
          <w:color w:val="auto"/>
        </w:rPr>
      </w:pPr>
    </w:p>
    <w:p>
      <w:pPr>
        <w:ind w:left="1980" w:right="939" w:firstLine="294"/>
        <w:spacing w:after="0" w:line="277" w:lineRule="auto"/>
        <w:rPr>
          <w:sz w:val="20"/>
          <w:szCs w:val="20"/>
          <w:color w:val="auto"/>
        </w:rPr>
      </w:pPr>
      <w:r>
        <w:rPr>
          <w:rFonts w:ascii="Arial" w:cs="Arial" w:eastAsia="Arial" w:hAnsi="Arial"/>
          <w:sz w:val="11"/>
          <w:szCs w:val="11"/>
          <w:color w:val="auto"/>
        </w:rPr>
        <w:t>Certain of our product candidates, including IMVT-1401 and ARU-1801, are regulated as biologics. An abbreviated approval pathway for biological products shown to be similar to, or interchangeable with, an FDA-licensed reference biological product was created by the Biologics Price Competition and Innovation Act of 2009 (the “BPCI Act”), as part of the Affordable Care Act (the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20"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237</w:t>
      </w:r>
    </w:p>
    <w:p>
      <w:pPr>
        <w:sectPr>
          <w:pgSz w:w="11900" w:h="16838" w:orient="portrait"/>
          <w:cols w:equalWidth="0" w:num="1">
            <w:col w:w="10159"/>
          </w:cols>
          <w:pgMar w:left="300" w:top="372"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0" w:lineRule="auto"/>
        <w:rPr>
          <w:sz w:val="20"/>
          <w:szCs w:val="20"/>
          <w:color w:val="auto"/>
        </w:rPr>
      </w:pPr>
      <w:r>
        <w:rPr>
          <w:rFonts w:ascii="Arial" w:cs="Arial" w:eastAsia="Arial" w:hAnsi="Arial"/>
          <w:sz w:val="10"/>
          <w:szCs w:val="10"/>
          <w:color w:val="auto"/>
        </w:rPr>
        <w:t>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69"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Other Regulatory Matters</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Manufacturing, sales, promotion and other activities following product approval are also subject to regulation by numerous regulatory authorities in the United States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28"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Healthcare providers, physicians, and third-party payors will play a primary role in the recommendation and prescription of any products for which we obtain marketing approval. Our current and future arrangements with healthcare providers and physicians and any future arrangements with third party payers, may expose us to broadly applicable fraud and abuse and other healthcare laws and regulations that may constrain the business or financial arrangements and relationships through which we market, sell and distribute any drugs for which we obtain marketing approval. In the United States, these laws include: the federal Anti-Kickback Statute, the False Claims Act, and HIPAA.</w:t>
      </w:r>
    </w:p>
    <w:p>
      <w:pPr>
        <w:spacing w:after="0" w:line="113"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products, and the sale and marketing of our product candidates, are subject to scrutiny under this law.</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238</w:t>
      </w:r>
    </w:p>
    <w:p>
      <w:pPr>
        <w:sectPr>
          <w:pgSz w:w="11900" w:h="16838" w:orient="portrait"/>
          <w:cols w:equalWidth="0" w:num="1">
            <w:col w:w="10159"/>
          </w:cols>
          <w:pgMar w:left="300" w:top="372"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15"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2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data privacy and security regulations administered and enforced by the federal government as well as statutes and regulations adopted in the states in which we conduct our business. At the federal level, the data privacy and security regulations implementing HIPAA, as amended by the Health Information and Technology for Economic and Clinical Health Act, mandate, among other things, compliance with standards relating to the privacy and security of individually identifiable health information, which requires, among other things, the adoption of administrative, physical and technical safeguards to protect such information. Civil and criminal penalties may be imposed on entities subject to HIPAA, both by the HHS Office for Civil Rights and by state attorneys general, who have the authority to file civil actions for damages or injunctions in federal courts to enforce the HIPAA privacy and security regulations and to seek attorney’s fees and costs associated with pursuing such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 criminal penalties. Further, the states are rapidly expanding their data privacy and security laws and we may be subject to a variety of different restrictions and requirements under such laws.</w:t>
      </w:r>
    </w:p>
    <w:p>
      <w:pPr>
        <w:spacing w:after="0" w:line="116" w:lineRule="exact"/>
        <w:rPr>
          <w:sz w:val="20"/>
          <w:szCs w:val="20"/>
          <w:color w:val="auto"/>
        </w:rPr>
      </w:pPr>
    </w:p>
    <w:p>
      <w:pPr>
        <w:ind w:left="1980" w:right="919" w:firstLine="294"/>
        <w:spacing w:after="0" w:line="279" w:lineRule="auto"/>
        <w:rPr>
          <w:sz w:val="20"/>
          <w:szCs w:val="20"/>
          <w:color w:val="auto"/>
        </w:rPr>
      </w:pPr>
      <w:r>
        <w:rPr>
          <w:rFonts w:ascii="Arial" w:cs="Arial" w:eastAsia="Arial" w:hAnsi="Arial"/>
          <w:sz w:val="11"/>
          <w:szCs w:val="11"/>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 and their immediate family members. Effective January 1, 2022, these reporting obligations will extend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17"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239</w:t>
      </w:r>
    </w:p>
    <w:p>
      <w:pPr>
        <w:sectPr>
          <w:pgSz w:w="11900" w:h="16838" w:orient="portrait"/>
          <w:cols w:equalWidth="0" w:num="1">
            <w:col w:w="10159"/>
          </w:cols>
          <w:pgMar w:left="300" w:top="372"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spacing w:after="0" w:line="19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Current and Future Legislation</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2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For example, in March 2010, the ACA was enacted in the United States. The ACA includes measures that have significantly changed, and are expected to continue to significantly change, the way healthcare is financed by both governmental and private insurers. Among the changes made by the ACA to preexisting law of importance to the pharmaceutical industry are that the ACA:</w:t>
      </w:r>
    </w:p>
    <w:p>
      <w:pPr>
        <w:spacing w:after="0" w:line="59" w:lineRule="exact"/>
        <w:rPr>
          <w:sz w:val="20"/>
          <w:szCs w:val="20"/>
          <w:color w:val="auto"/>
        </w:rPr>
      </w:pPr>
    </w:p>
    <w:p>
      <w:pPr>
        <w:ind w:left="2620" w:right="979" w:hanging="288"/>
        <w:spacing w:after="0" w:line="289" w:lineRule="auto"/>
        <w:tabs>
          <w:tab w:leader="none" w:pos="2620" w:val="left"/>
        </w:tabs>
        <w:numPr>
          <w:ilvl w:val="0"/>
          <w:numId w:val="129"/>
        </w:numPr>
        <w:rPr>
          <w:rFonts w:ascii="Arial" w:cs="Arial" w:eastAsia="Arial" w:hAnsi="Arial"/>
          <w:sz w:val="11"/>
          <w:szCs w:val="11"/>
          <w:color w:val="auto"/>
        </w:rPr>
      </w:pPr>
      <w:r>
        <w:rPr>
          <w:rFonts w:ascii="Arial" w:cs="Arial" w:eastAsia="Arial" w:hAnsi="Arial"/>
          <w:sz w:val="11"/>
          <w:szCs w:val="11"/>
          <w:color w:val="auto"/>
        </w:rPr>
        <w:t>made several changes to the Medicaid Drug Rebate Program, including increasing pharmaceutical manufacturers’ rebate liability by raising the minimum basic Medicaid rebate on most branded prescription drugs to 23.1% of average manufacturer price (“AMP”), and adding a new rebate calculation for “line extensions” (i.e., new formulations, such as extended release formulations) of solid oral dosage forms of branded products, as well as potentially impacting their rebate liability by modifying the statutory definition of AMP.</w:t>
      </w:r>
    </w:p>
    <w:p>
      <w:pPr>
        <w:spacing w:after="0" w:line="47" w:lineRule="exact"/>
        <w:rPr>
          <w:rFonts w:ascii="Arial" w:cs="Arial" w:eastAsia="Arial" w:hAnsi="Arial"/>
          <w:sz w:val="11"/>
          <w:szCs w:val="11"/>
          <w:color w:val="auto"/>
        </w:rPr>
      </w:pPr>
    </w:p>
    <w:p>
      <w:pPr>
        <w:jc w:val="both"/>
        <w:ind w:left="2620" w:right="1079" w:hanging="288"/>
        <w:spacing w:after="0" w:line="340" w:lineRule="auto"/>
        <w:tabs>
          <w:tab w:leader="none" w:pos="2620" w:val="left"/>
        </w:tabs>
        <w:numPr>
          <w:ilvl w:val="0"/>
          <w:numId w:val="129"/>
        </w:numPr>
        <w:rPr>
          <w:rFonts w:ascii="Arial" w:cs="Arial" w:eastAsia="Arial" w:hAnsi="Arial"/>
          <w:sz w:val="10"/>
          <w:szCs w:val="10"/>
          <w:color w:val="auto"/>
        </w:rPr>
      </w:pPr>
      <w:r>
        <w:rPr>
          <w:rFonts w:ascii="Arial" w:cs="Arial" w:eastAsia="Arial" w:hAnsi="Arial"/>
          <w:sz w:val="10"/>
          <w:szCs w:val="10"/>
          <w:color w:val="auto"/>
        </w:rPr>
        <w:t>imposed a requirement on manufacturers of branded drugs to provide a 70% (increased pursuant to the Bipartisan Budget Act of 2018, effective as of 2019) point-of-sale discount off the negotiated price of branded drugs dispensed to Medicare Part D beneficiaries in the coverage gap (i.e., “donut hole”) as a condition for a manufacturer’s outpatient drugs being covered under Medicare Part D.</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240</w:t>
      </w:r>
    </w:p>
    <w:p>
      <w:pPr>
        <w:sectPr>
          <w:pgSz w:w="11900" w:h="16838" w:orient="portrait"/>
          <w:cols w:equalWidth="0" w:num="1">
            <w:col w:w="10159"/>
          </w:cols>
          <w:pgMar w:left="300" w:top="372"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9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extended a manufacturer’s Medicaid rebate liability to covered drugs dispensed to individuals who are enrolled in Medicaid managed care organizations.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expanded the entities eligible for discounts under the 340B Drug Discount Program.</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established a new methodology by which rebates owed by manufacturers under the Medicaid Drug Rebate Program are calculated for drugs that are inhaled, infused, instilled, implanted, or injected.</w:t>
      </w:r>
    </w:p>
    <w:p>
      <w:pPr>
        <w:spacing w:after="0" w:line="51" w:lineRule="exact"/>
        <w:rPr>
          <w:rFonts w:ascii="Arial" w:cs="Arial" w:eastAsia="Arial" w:hAnsi="Arial"/>
          <w:sz w:val="12"/>
          <w:szCs w:val="12"/>
          <w:color w:val="auto"/>
        </w:rPr>
      </w:pPr>
    </w:p>
    <w:p>
      <w:pPr>
        <w:ind w:left="2620" w:right="99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imposed an annual, nondeductible fee on any entity that manufactures or imports certain branded prescription drugs, apportioned among these entities according to their market share in certain government healthcare programs.</w:t>
      </w:r>
    </w:p>
    <w:p>
      <w:pPr>
        <w:spacing w:after="0" w:line="51" w:lineRule="exact"/>
        <w:rPr>
          <w:rFonts w:ascii="Arial" w:cs="Arial" w:eastAsia="Arial" w:hAnsi="Arial"/>
          <w:sz w:val="12"/>
          <w:szCs w:val="12"/>
          <w:color w:val="auto"/>
        </w:rPr>
      </w:pPr>
    </w:p>
    <w:p>
      <w:pPr>
        <w:ind w:left="2620" w:right="899" w:hanging="288"/>
        <w:spacing w:after="0" w:line="25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established a new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2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Since its enactment, there have been numerous judicial, administrative, executive, and legislative challenges to certain aspects of the ACA, and we expect there will be additional challenges and amendments to the ACA in the future. Most recently, the Supreme Court upheld the constitutionality of the law in June 2021; however, future legal disputes remain possible. Additionally, Congress has introduced several pieces of legislation aimed at significantly revising or repealing the ACA, and the law may be subjected to various Executive Orders and/or regulatory action to expand or reduce the scope of the law, based on the administration controlling the White House. The implementation of the ACA is ongoing, and the law may continue to exert significant pressure on pharmaceutical pricing and our profitability.</w:t>
      </w:r>
    </w:p>
    <w:p>
      <w:pPr>
        <w:spacing w:after="0" w:line="113"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Moreover, in May 2018, the Trump administration released its “Blueprint to Lower Drug Prices and Reduce Out-of-Pocket Costs,” or the Blueprint, and former President Trump also issued a number of Executive Orders in 2020 that were aimed at lowering the prices of prescription drugs. Some rules enacted under the Trump Administration have been stayed as a result of pending litigation or are under review or have been rescinded by the Biden Administration. For example, a rule enacted under the Trump Administration known as the “Most Favored Nations” rule would set Medicare Part B reimbursement at an amount no higher than the lowest price that a drug manufacturer receives on a particular product in an index of foreign countries. This rule currently was the subject of litigation, and was formally rescinded the Biden Administration in August 2021. Other initiatives under the Trump administration have taken effect. For example, in May 2019, CMS issued a final rule to allow Medicare Advantage Plans the option of using step therapy, a form of drug utilization management, for Part B drugs beginning January 1, 2020.</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2029 unless additional congressional action is taken. Pursuant to the CARES Act and subsequent legislation, these reductions were suspended from May 1, 2020 through December 31, 2021 due to the COVID-19 pandemic. As the legislation currently stands, the reductions will go back into effect as of January 2022 and remain in effect through 2030 unless additional Congressional action is take, The American Rescue Plan Act of 2021 eliminates the Medicaid unit rebate cap effective as of January 1, 2024, and the removal of this rebate cap could significantly impact our Medicaid rebate liability beginning in 2024.</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241</w:t>
      </w:r>
    </w:p>
    <w:p>
      <w:pPr>
        <w:sectPr>
          <w:pgSz w:w="11900" w:h="16838" w:orient="portrait"/>
          <w:cols w:equalWidth="0" w:num="1">
            <w:col w:w="10159"/>
          </w:cols>
          <w:pgMar w:left="300" w:top="372"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1"/>
          <w:szCs w:val="11"/>
          <w:color w:val="auto"/>
        </w:rPr>
        <w:t>Specifically, there have been several recent U.S. Congressional inquiries and proposed bills designed to, among other things, require drug pricing negotiations in Medicare, redesign the Part D benefit to lower patient costs and overall spending, introduce enhanced transparency measures into drug pricing, and reform government program reimbursement methodologies for drugs, for example, by introducing inflationary penalties for Parts B and D drugs. The Biden Administration has indicated that lowering prescription drug prices is a priority.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Additionally, Democratic leadership has elected to pursue drug pricing reform as a part of a broader legislative package encompassing President Biden’s Build Back Better reconciliation bill, which aims to incorporate components of H.R. 3 passed by the House of Representatives in 2020. In particular, H.R. 3 would require the federal government to negotiate the pricing for certain prescription drugs and set a cap on the price Medicare would pay that is tied to the price of the drug in other wealthy nations. Manufacturers also would face fines if their drug prices increase faster than the rate of inflation. The Build Back Better Act, as well as various other legislative proposals, also include reforms to redesign the Part D benefit to protect beneficiaries from high out-of-pocket costs and reduce overall program spending. We cannot predict whether these or other drug pricing initiatives will be adopted in the future. Further federal, state and foreign legislative and regulatory developments are likely, and we expect ongoing initiatives to increase pressure on drug pricing. Reforms could have an adverse effect on anticipated revenues from product candidates and may affect our overall financial condition and ability to develop product candidates.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Packaging and Distribution in the United States</w:t>
      </w:r>
    </w:p>
    <w:p>
      <w:pPr>
        <w:spacing w:after="0" w:line="7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0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5"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Changes in regulations, statutes or the interpretation of existing regulations could impact our business in the future by requiring, for example:</w:t>
      </w:r>
    </w:p>
    <w:p>
      <w:pPr>
        <w:spacing w:after="0" w:line="26" w:lineRule="exact"/>
        <w:rPr>
          <w:sz w:val="20"/>
          <w:szCs w:val="20"/>
          <w:color w:val="auto"/>
        </w:rPr>
      </w:pPr>
    </w:p>
    <w:p>
      <w:pPr>
        <w:ind w:left="2120" w:hanging="148"/>
        <w:spacing w:after="0"/>
        <w:tabs>
          <w:tab w:leader="none" w:pos="212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changes to our manufacturing arrangements; (ii) additions or modifications to product labeling; (iii) the recall or discontinuation of our products; or</w:t>
      </w:r>
    </w:p>
    <w:p>
      <w:pPr>
        <w:spacing w:after="0" w:line="17" w:lineRule="exact"/>
        <w:rPr>
          <w:rFonts w:ascii="Arial" w:cs="Arial" w:eastAsia="Arial" w:hAnsi="Arial"/>
          <w:sz w:val="11"/>
          <w:szCs w:val="11"/>
          <w:color w:val="auto"/>
        </w:rPr>
      </w:pPr>
    </w:p>
    <w:p>
      <w:pPr>
        <w:ind w:left="2180" w:hanging="208"/>
        <w:spacing w:after="0"/>
        <w:tabs>
          <w:tab w:leader="none" w:pos="218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additional record-keeping requirements. If any such changes were to be imposed, they could adversely affect the operation of our business.</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Other U.S. Environmental, Health and Safety Laws and Regulations</w:t>
      </w:r>
    </w:p>
    <w:p>
      <w:pPr>
        <w:spacing w:after="0" w:line="78" w:lineRule="exact"/>
        <w:rPr>
          <w:sz w:val="20"/>
          <w:szCs w:val="20"/>
          <w:color w:val="auto"/>
        </w:rPr>
      </w:pPr>
    </w:p>
    <w:p>
      <w:pPr>
        <w:jc w:val="both"/>
        <w:ind w:left="1980" w:right="979" w:firstLine="294"/>
        <w:spacing w:after="0" w:line="340" w:lineRule="auto"/>
        <w:rPr>
          <w:sz w:val="20"/>
          <w:szCs w:val="20"/>
          <w:color w:val="auto"/>
        </w:rPr>
      </w:pPr>
      <w:r>
        <w:rPr>
          <w:rFonts w:ascii="Arial" w:cs="Arial" w:eastAsia="Arial" w:hAnsi="Arial"/>
          <w:sz w:val="10"/>
          <w:szCs w:val="10"/>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242</w:t>
      </w:r>
    </w:p>
    <w:p>
      <w:pPr>
        <w:sectPr>
          <w:pgSz w:w="11900" w:h="16838" w:orient="portrait"/>
          <w:cols w:equalWidth="0" w:num="1">
            <w:col w:w="10159"/>
          </w:cols>
          <w:pgMar w:left="300" w:top="372"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24"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U.S. Patent Term Restoration and Marketing Exclusivity</w:t>
      </w:r>
    </w:p>
    <w:p>
      <w:pPr>
        <w:spacing w:after="0" w:line="7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Depending upon the timing, duration and specifics of FDA approval of our future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2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243</w:t>
      </w:r>
    </w:p>
    <w:p>
      <w:pPr>
        <w:sectPr>
          <w:pgSz w:w="11900" w:h="16838" w:orient="portrait"/>
          <w:cols w:equalWidth="0" w:num="1">
            <w:col w:w="10159"/>
          </w:cols>
          <w:pgMar w:left="300" w:top="372"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Drug Development</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the European Union and European Economic Area and United Kingdom, our future products also may be subject to extensive regulatory requirements. As in the United States, medicinal products can be marketed only if a marketing authorization from the competent regulatory agencies has been obtained.</w:t>
      </w:r>
    </w:p>
    <w:p>
      <w:pPr>
        <w:spacing w:after="0" w:line="122"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Similar to the United States, the various phases of preclinical and clinical research in the European Union and European Economic Area and United Kingdom are subject to significant regulatory controls. Although the EU Clinical Trials Directive 2001/20/EC (the “Directive”), has sought to harmonize the EU clinical trials regulatory framework, setting out common rules for the control and authorization of clinical trials in the EU, the EU Member States have transposed and applied the provisions of the Directive differently into their national laws, including in the UK. This has led to significant variations in the Member State regimes. Under the current regime, before a clinical trial can be initiated it must be approved in each of the EU/UK countries where the trial is to be conducted by two distinct bodies: the National Competent Authority (the “NCA”), and one or more Ethics Committees (“ECs”). Under the current regime all suspected unexpected serious adverse reactions to the investigated drug that occur during the clinical trial have to be reported to the NCA and ECs of the country where they occurred.</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The EU clinical trials legislation currently is undergoing a transition process mainly aimed at harmonizing and streamlining clinical trial authorization, simplifying adverse-event reporting procedures, improving the supervision of clinical trials and increasing their transparency. In April 2014, the EU adopted a new Clinical Trials Regulation (EU) No 536/2014 (the “Regulation”), which is set to replace the current Directive. Specifically, the new Regulation, which will be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 Following confirmation of full functionality of the Clinical Trials Information System, the centralized EU portal and database for clinical trials foreseen by the Regulation, through an independent audit, the System will go live at the end of Janurary 2022. This Regulation will not be applicable in the UK.</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Drug Marketing</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Much like the federal Anti-Kickback Statue prohibition in the United States, the provision of benefits or advantages to physicians to induce or encourage the prescription, recommendation, endorsement, purchase, supply, order or use of medicinal products is also prohibited in the European Union and European Economic Area and United Kingdom. The provision of benefits or advantages to induce or reward improper performance generally is governed by Directive 2001/83/EC as implemented in the relevant country, the national anti-bribery laws of the European Union Member States, and the Bribery Act 2010 in the UK, as well as the industry Codes of Practice that are based on the European Federation of Pharmaceutical Industries and Associations (EFPIA) Code of Practice. Infringement of these laws could result in substantial fines and imprisonment. EU Directive 2001/83/EC, which is the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Human Medicines Regulations 2012 and so remains applicable in the UK despite its departure from the EU.</w:t>
      </w:r>
    </w:p>
    <w:p>
      <w:pPr>
        <w:spacing w:after="0" w:line="119"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European Economic Area must be publicly disclosed. Moreover, agreements with physicians often must be the subject of prior notification and approval by the physician’s employer, his or her competent professional organization and/or the regulatory authorities of the individual country. These requirements are provided in the national laws,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244</w:t>
      </w:r>
    </w:p>
    <w:p>
      <w:pPr>
        <w:sectPr>
          <w:pgSz w:w="11900" w:h="16838" w:orient="portrait"/>
          <w:cols w:equalWidth="0" w:num="1">
            <w:col w:w="10159"/>
          </w:cols>
          <w:pgMar w:left="300" w:top="372"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39"/>
        <w:spacing w:after="0" w:line="276" w:lineRule="auto"/>
        <w:rPr>
          <w:sz w:val="20"/>
          <w:szCs w:val="20"/>
          <w:color w:val="auto"/>
        </w:rPr>
      </w:pPr>
      <w:r>
        <w:rPr>
          <w:rFonts w:ascii="Arial" w:cs="Arial" w:eastAsia="Arial" w:hAnsi="Arial"/>
          <w:sz w:val="12"/>
          <w:szCs w:val="12"/>
          <w:color w:val="auto"/>
        </w:rPr>
        <w:t>industry codes or professional codes of conduct, applicable in the relevant country. Failure to comply with these requirements could result in reputational risk, public reprimands, administrative penalties, fines or imprisonment.</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Drug Review and Approval</w:t>
      </w:r>
    </w:p>
    <w:p>
      <w:pPr>
        <w:spacing w:after="0" w:line="78" w:lineRule="exact"/>
        <w:rPr>
          <w:sz w:val="20"/>
          <w:szCs w:val="20"/>
          <w:color w:val="auto"/>
        </w:rPr>
      </w:pPr>
    </w:p>
    <w:p>
      <w:pPr>
        <w:ind w:left="1980" w:right="1119" w:firstLine="294"/>
        <w:spacing w:after="0" w:line="259" w:lineRule="auto"/>
        <w:rPr>
          <w:sz w:val="20"/>
          <w:szCs w:val="20"/>
          <w:color w:val="auto"/>
        </w:rPr>
      </w:pPr>
      <w:r>
        <w:rPr>
          <w:rFonts w:ascii="Arial" w:cs="Arial" w:eastAsia="Arial" w:hAnsi="Arial"/>
          <w:sz w:val="12"/>
          <w:szCs w:val="12"/>
          <w:color w:val="auto"/>
        </w:rPr>
        <w:t>In the European Economic Area (the “EEA”), which is comprised of the Member States of the European Union plus Norway, Iceland and Liechtenstein, medicinal products can only be commercialized after obtaining a marketing authorization (“MA”). There are two types of marketing authorizations which, however, are based on identical regulatory rules, requirements and timelines, including identical requirements concerning the presentation and content of the application for marketing authorization.</w:t>
      </w:r>
    </w:p>
    <w:p>
      <w:pPr>
        <w:spacing w:after="0" w:line="61" w:lineRule="exact"/>
        <w:rPr>
          <w:sz w:val="20"/>
          <w:szCs w:val="20"/>
          <w:color w:val="auto"/>
        </w:rPr>
      </w:pPr>
    </w:p>
    <w:p>
      <w:pPr>
        <w:ind w:left="2620" w:right="919" w:hanging="288"/>
        <w:spacing w:after="0" w:line="254" w:lineRule="auto"/>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centralized MA is issued by the European Commission through the centralized procedure, based on the opinion of the Committee for Medicinal Products for Human Use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55" w:lineRule="exact"/>
        <w:rPr>
          <w:rFonts w:ascii="Arial" w:cs="Arial" w:eastAsia="Arial" w:hAnsi="Arial"/>
          <w:sz w:val="12"/>
          <w:szCs w:val="12"/>
          <w:color w:val="auto"/>
        </w:rPr>
      </w:pPr>
    </w:p>
    <w:p>
      <w:pPr>
        <w:ind w:left="2640" w:right="879"/>
        <w:spacing w:after="0" w:line="279" w:lineRule="auto"/>
        <w:rPr>
          <w:rFonts w:ascii="Arial" w:cs="Arial" w:eastAsia="Arial" w:hAnsi="Arial"/>
          <w:sz w:val="12"/>
          <w:szCs w:val="12"/>
          <w:color w:val="auto"/>
        </w:rPr>
      </w:pPr>
      <w:r>
        <w:rPr>
          <w:rFonts w:ascii="Arial" w:cs="Arial" w:eastAsia="Arial" w:hAnsi="Arial"/>
          <w:sz w:val="11"/>
          <w:szCs w:val="11"/>
          <w:color w:val="auto"/>
        </w:rPr>
        <w:t>Under the centralized procedure the maximum timeframe for the evaluation of a marketing authorization application (a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53" w:lineRule="exact"/>
        <w:rPr>
          <w:rFonts w:ascii="Arial" w:cs="Arial" w:eastAsia="Arial" w:hAnsi="Arial"/>
          <w:sz w:val="12"/>
          <w:szCs w:val="12"/>
          <w:color w:val="auto"/>
        </w:rPr>
      </w:pPr>
    </w:p>
    <w:p>
      <w:pPr>
        <w:ind w:left="2620" w:right="839" w:hanging="288"/>
        <w:spacing w:after="0" w:line="277" w:lineRule="auto"/>
        <w:tabs>
          <w:tab w:leader="none" w:pos="262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245</w:t>
      </w:r>
    </w:p>
    <w:p>
      <w:pPr>
        <w:sectPr>
          <w:pgSz w:w="11900" w:h="16838" w:orient="portrait"/>
          <w:cols w:equalWidth="0" w:num="1">
            <w:col w:w="10159"/>
          </w:cols>
          <w:pgMar w:left="300" w:top="372"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Under the above-described procedures, during the assessment of the documents submitted in the MAA and before granting the MA, the EMA or the competent authorities of the Member States of the EEA make an assessment of the risk-benefit balance of the product on the basis of scientific criteria concerning its quality, safety and efficacy.</w:t>
      </w:r>
    </w:p>
    <w:p>
      <w:pPr>
        <w:spacing w:after="0" w:line="122"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Now that the United Kingdom (which comprises Great Britain and Northern Ireland) has left the European Union, Great Britain will no longer be covered by centralized MAs (under the Northern Irish Protocol of the Withdrawal Agreement, centralized MAs will continue to apply in Northern Ireland). All medicinal products with a valid centralized MA as of December 31, 2020, were automatically converted to Great Britain MAs on January, 1 2021 (unless the MA holder opted out of this procedure). For a period of two years from January 1, 2021, the Medicines and Healthcare products Regulatory Agency (the “MHRA”), the UK medicines regulator, may rely on a decision taken by the European Commission on the approval of a new MA in the centralized procedure, in order to more quickly grant a new Great Britain MA. A separate application will, however, still be required. The MHRA also has the power to have regard to MAs approved in EEA Member States through decentralized or mutual recognition procedures with a view to more quickly granting a MA in the United Kingdom or Great Britain.</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New Chemical Entity Exclusivity</w:t>
      </w:r>
    </w:p>
    <w:p>
      <w:pPr>
        <w:spacing w:after="0" w:line="78"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In the EEA and UK, innovative medicinal products, approved on the basis of a full dossier of preclinical and clinical data as part of the MAA,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innovative product when applying for a generic or biosimilar MA in the EEA/UK, for a period of eight years from the date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Orphan Designation and Exclusivity</w:t>
      </w:r>
    </w:p>
    <w:p>
      <w:pPr>
        <w:spacing w:after="0" w:line="78"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In the EEA,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spacing w:after="0" w:line="97"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In the EEA, orphan drug designation entitles a party to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246</w:t>
      </w:r>
    </w:p>
    <w:p>
      <w:pPr>
        <w:sectPr>
          <w:pgSz w:w="11900" w:h="16838" w:orient="portrait"/>
          <w:cols w:equalWidth="0" w:num="1">
            <w:col w:w="10159"/>
          </w:cols>
          <w:pgMar w:left="300" w:top="372"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 or otherwise clinically superior to the authorized product; (ii) the marketing authorization holder consents to the grant of the similar product; or (iii) 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w:t>
      </w:r>
    </w:p>
    <w:p>
      <w:pPr>
        <w:spacing w:after="0" w:line="128"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The upcoming legislative reforms in the EU, which are part of the new EU Pharmaceutical Strategy and some of which could materialize as early as 2022, may result in a reduction of market exclusivity periods for orphan medicinal products and/or imposition of additional requirements for grant of such exclusivity.</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From January 1, 2021, a separate process for orphan drug designation has applied in Great Britain. There is no pre-marketing authorization orphan designation (as there is in the EEA) and the application for orphan designation will be reviewed by the MHRA at the time of the marketing authorization application. The criteria are the same as in the EEA, save that they apply to Great Britain only (e.g., there must be no satisfactory method of diagnosis, prevention or treatment of the condition concerned in Great Britain). Orphan exclusivity granted to a centralized marketing authorization will also apply in Northern Ireland.</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Pediatric Investigation Plan</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44"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The upcoming legislative reforms in the EU, which are part of the new EU Pharmaceutical Strategy and some of which could materialize as early as 2022, may result in a reduction of the above pediatric rewards and/or imposition of additional requirements for grant of rewards.</w:t>
      </w:r>
    </w:p>
    <w:p>
      <w:pPr>
        <w:spacing w:after="0" w:line="16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Brexit and the Regulatory Framework in the United Kingdom</w:t>
      </w:r>
    </w:p>
    <w:p>
      <w:pPr>
        <w:spacing w:after="0" w:line="78"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United Kingdom formally left the European Union on January 31, 2020. A transition period began on February 1, 2020, during which EU pharmaceutical law remained applicable in the United Kingdom. However this ended on December 31, 2020. On December 30, 2020, the United Kingdom and European Union signed the Trade and Cooperation Agreement, which includes an agreement on free trade between the two parties. Since the regulatory framework in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247</w:t>
      </w:r>
    </w:p>
    <w:p>
      <w:pPr>
        <w:sectPr>
          <w:pgSz w:w="11900" w:h="16838" w:orient="portrait"/>
          <w:cols w:equalWidth="0" w:num="1">
            <w:col w:w="10159"/>
          </w:cols>
          <w:pgMar w:left="300" w:top="372"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United Kingdom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United Kingdom, as the UK legislation now has the potential to diverge from EU legislation. It remains to be seen how Brexit will impact regulatory requirements for medicinal products and devices in the United Kingdom in the long term. The MHRA has published detailed guidance for industry and organizations to follow now the transition period is over, which will be updated as the United Kingdom’s regulatory position on medicinal products and medical devices evolves over time. There are also a number of ongoing consultations on the future legislation in the UK.</w:t>
      </w:r>
    </w:p>
    <w:p>
      <w:pPr>
        <w:spacing w:after="0" w:line="20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European Union and United Kingdom data protection regime</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 xml:space="preserve">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w:t>
      </w:r>
      <w:r>
        <w:rPr>
          <w:rFonts w:ascii="Arial" w:cs="Arial" w:eastAsia="Arial" w:hAnsi="Arial"/>
          <w:sz w:val="11"/>
          <w:szCs w:val="11"/>
          <w:i w:val="1"/>
          <w:iCs w:val="1"/>
          <w:color w:val="auto"/>
        </w:rPr>
        <w:t>inter alia</w:t>
      </w:r>
      <w:r>
        <w:rPr>
          <w:rFonts w:ascii="Arial" w:cs="Arial" w:eastAsia="Arial" w:hAnsi="Arial"/>
          <w:sz w:val="11"/>
          <w:szCs w:val="11"/>
          <w:color w:val="auto"/>
        </w:rPr>
        <w:t xml:space="preserve">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United States. Until recently, one such data transfer mechanism was the EU-US Privacy Shield, but the Privacy Shield was invalidated for international transfers of personal data in July 2020 by the CJEU. 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It remains to be seen whether SCCs will remain available and whether additional means for lawful data transfers will become available.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With respect to transfers of personal data from the EEA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91"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Rest of the World Regulation</w:t>
      </w:r>
    </w:p>
    <w:p>
      <w:pPr>
        <w:spacing w:after="0" w:line="78"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For other countries outside of the European Union and the United States, such as countries in Eastern Europe, Latin America or Asia, the requirements governing the conduct of clinical trials, product licensing,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248</w:t>
      </w:r>
    </w:p>
    <w:p>
      <w:pPr>
        <w:sectPr>
          <w:pgSz w:w="11900" w:h="16838" w:orient="portrait"/>
          <w:cols w:equalWidth="0" w:num="1">
            <w:col w:w="10159"/>
          </w:cols>
          <w:pgMar w:left="300" w:top="372"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we fail to comply with applicable foreign regulatory requirements, we may be subject to, among other things, fines, suspension or withdrawal of regulatory approvals, product recalls, seizure of products, operating restrictions and</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Additional Laws and Regulations Governing International Operations</w:t>
      </w:r>
    </w:p>
    <w:p>
      <w:pPr>
        <w:spacing w:after="0" w:line="7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If we further expand our operations outside of the United States,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spacing w:after="0" w:line="113"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2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Coverage and Reimbursement</w:t>
      </w:r>
    </w:p>
    <w:p>
      <w:pPr>
        <w:spacing w:after="0" w:line="7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Successful commercialization of new drug products depends in part on the extent to which reimbursement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spacing w:after="0" w:line="130"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 primary trend in the U.S. healthcare industry and elsewhere is cost containment. Government authorities and third-party payors have attempted to control costs by limiting coverage and the amount of reimbursement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249</w:t>
      </w:r>
    </w:p>
    <w:p>
      <w:pPr>
        <w:sectPr>
          <w:pgSz w:w="11900" w:h="16838" w:orient="portrait"/>
          <w:cols w:equalWidth="0" w:num="1">
            <w:col w:w="10159"/>
          </w:cols>
          <w:pgMar w:left="300" w:top="372"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acquisition costs and reimbursement for drug products may lower than within the United States.</w:t>
      </w:r>
    </w:p>
    <w:p>
      <w:pPr>
        <w:spacing w:after="0" w:line="124"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In the United States,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Third-party payors may limit coverage to specific products on an approved list or formulary, which might not include all of 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 Further, due to the COVID-19 pandemic, millions of individuals have lost or are expected to lose employer-based insurance coverage, which may adversely affect our ability to successfully commercialize our products.</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The Medicare Prescription Drug, Improvement, and Modernization Act of 2003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1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(the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250</w:t>
      </w:r>
    </w:p>
    <w:p>
      <w:pPr>
        <w:sectPr>
          <w:pgSz w:w="11900" w:h="16838" w:orient="portrait"/>
          <w:cols w:equalWidth="0" w:num="1">
            <w:col w:w="10159"/>
          </w:cols>
          <w:pgMar w:left="300" w:top="372"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drugs that receive an orphan designation by the FDA. As 340B drug pricing is determined based on AMP and Medicaid rebate data, revisions to the statute and regulations governing the Medicaid Drug Rebate Program may cause the required 340B discount to increase. Additional legislation surrounding the 340B program, including which providers are eligible for the program, may be enacted in the future. These developments could affect our profitability.</w:t>
      </w:r>
    </w:p>
    <w:p>
      <w:pPr>
        <w:spacing w:after="0" w:line="124" w:lineRule="exact"/>
        <w:rPr>
          <w:sz w:val="20"/>
          <w:szCs w:val="20"/>
          <w:color w:val="auto"/>
        </w:rPr>
      </w:pPr>
    </w:p>
    <w:p>
      <w:pPr>
        <w:ind w:left="1980" w:right="839" w:firstLine="294"/>
        <w:spacing w:after="0" w:line="311" w:lineRule="auto"/>
        <w:rPr>
          <w:sz w:val="20"/>
          <w:szCs w:val="20"/>
          <w:color w:val="auto"/>
        </w:rPr>
      </w:pPr>
      <w:r>
        <w:rPr>
          <w:rFonts w:ascii="Arial" w:cs="Arial" w:eastAsia="Arial" w:hAnsi="Arial"/>
          <w:sz w:val="10"/>
          <w:szCs w:val="10"/>
          <w:color w:val="auto"/>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04"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22"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Outside of the United States,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Human Capital Management</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June 30, 2021, we and our subsidiaries had approximately 665 full-time employees.</w:t>
      </w:r>
    </w:p>
    <w:p>
      <w:pPr>
        <w:spacing w:after="0" w:line="1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Our human capital objectives include sourcing, recruiting, retaining, incentivizing and developing our existing and future employees. We seek to create nimble, entrepreneurial Vants that operate similar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and calculated risk-taking. In connection with becoming a public company, we expect to hire additional personnel and to implement procedures and processes to address public company regulatory requirements and customary practices.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Corporate and Other Information</w:t>
      </w:r>
    </w:p>
    <w:p>
      <w:pPr>
        <w:spacing w:after="0" w:line="8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We were registered as an exempted limited company in Bermuda in 2014, under the name Valor Biotechnology Ltd. In November 2014 we changed our name to Roivant Sciences Ltd. Our principal executive offices are located at Suite 1, 3rd Floor, 11-12 St. James’s Square, London SW1Y 4LB, United Kingdom. Our telephone number is +44 207 400 3347.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251</w:t>
      </w:r>
    </w:p>
    <w:p>
      <w:pPr>
        <w:sectPr>
          <w:pgSz w:w="11900" w:h="16838" w:orient="portrait"/>
          <w:cols w:equalWidth="0" w:num="1">
            <w:col w:w="10159"/>
          </w:cols>
          <w:pgMar w:left="300" w:top="372"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113"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82" w:lineRule="exact"/>
        <w:rPr>
          <w:sz w:val="20"/>
          <w:szCs w:val="20"/>
          <w:color w:val="auto"/>
        </w:rPr>
      </w:pPr>
    </w:p>
    <w:p>
      <w:pPr>
        <w:ind w:left="1980" w:right="1279" w:firstLine="294"/>
        <w:spacing w:after="0" w:line="379" w:lineRule="auto"/>
        <w:rPr>
          <w:sz w:val="20"/>
          <w:szCs w:val="20"/>
          <w:color w:val="auto"/>
        </w:rPr>
      </w:pPr>
      <w:r>
        <w:rPr>
          <w:rFonts w:ascii="Arial" w:cs="Arial" w:eastAsia="Arial" w:hAnsi="Arial"/>
          <w:sz w:val="10"/>
          <w:szCs w:val="10"/>
          <w:color w:val="auto"/>
        </w:rPr>
        <w:t>We are involved in various claims and legal actions arising in the ordinary course of business. In the opinion of management, the ultimate disposition of these matters will not have a material adverse effect on our consolidated financial position, results of operations or liquidity.</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252</w:t>
      </w:r>
    </w:p>
    <w:p>
      <w:pPr>
        <w:sectPr>
          <w:pgSz w:w="11900" w:h="16838" w:orient="portrait"/>
          <w:cols w:equalWidth="0" w:num="1">
            <w:col w:w="10159"/>
          </w:cols>
          <w:pgMar w:left="300" w:top="372"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Executive Officers and Directors</w:t>
      </w:r>
    </w:p>
    <w:p>
      <w:pPr>
        <w:spacing w:after="0" w:line="8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The following table sets forth certain information, as of October 29, 2021, regarding Roivant’s executive officers and directors. The executive officers of Roivant are employees of Roivant Sciences, Inc., a wholly owned subsidiary of Roivant, and provide services pursuant to an inter-company agreement. For biographical information concerning the executive officers and directors, see below.</w:t>
      </w: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368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4"/>
              </w:rPr>
              <w:t>Age</w:t>
            </w:r>
          </w:p>
        </w:tc>
        <w:tc>
          <w:tcPr>
            <w:tcW w:w="3300" w:type="dxa"/>
            <w:vAlign w:val="bottom"/>
          </w:tcPr>
          <w:p>
            <w:pPr>
              <w:ind w:left="1480"/>
              <w:spacing w:after="0"/>
              <w:rPr>
                <w:sz w:val="20"/>
                <w:szCs w:val="20"/>
                <w:color w:val="auto"/>
              </w:rPr>
            </w:pPr>
            <w:r>
              <w:rPr>
                <w:rFonts w:ascii="Arial" w:cs="Arial" w:eastAsia="Arial" w:hAnsi="Arial"/>
                <w:sz w:val="10"/>
                <w:szCs w:val="10"/>
                <w:b w:val="1"/>
                <w:bCs w:val="1"/>
                <w:color w:val="auto"/>
              </w:rPr>
              <w:t>Position</w:t>
            </w:r>
          </w:p>
        </w:tc>
      </w:tr>
      <w:tr>
        <w:trPr>
          <w:trHeight w:val="124"/>
        </w:trPr>
        <w:tc>
          <w:tcPr>
            <w:tcW w:w="35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Executive Officers</w:t>
            </w: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Borders>
              <w:top w:val="single" w:sz="8" w:color="auto"/>
            </w:tcBorders>
          </w:tcPr>
          <w:p>
            <w:pPr>
              <w:spacing w:after="0"/>
              <w:rPr>
                <w:sz w:val="10"/>
                <w:szCs w:val="10"/>
                <w:color w:val="auto"/>
              </w:rPr>
            </w:pP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Matthew Gline</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37</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Eric Venker</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35</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President and Chief Operating Officer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Mayukh Sukhatme</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46</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President and Chief Investment Officer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Richard Pulik</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42</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Rakhi Kumar</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41</w:t>
            </w:r>
          </w:p>
        </w:tc>
        <w:tc>
          <w:tcPr>
            <w:tcW w:w="16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Chief Accounting Officer</w:t>
            </w:r>
          </w:p>
        </w:tc>
      </w:tr>
      <w:tr>
        <w:trPr>
          <w:trHeight w:val="207"/>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Directors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Vivek Ramaswamy</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36</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Founder and Chair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Andrew Lo</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61</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Patrick Machado</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57</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Keith Manchester</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52</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Ilan Oren</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37</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Daniel Gold</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53</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Masayo Tada</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76</w:t>
            </w:r>
          </w:p>
        </w:tc>
        <w:tc>
          <w:tcPr>
            <w:tcW w:w="16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r>
        <w:trPr>
          <w:trHeight w:val="153"/>
        </w:trPr>
        <w:tc>
          <w:tcPr>
            <w:tcW w:w="3680" w:type="dxa"/>
            <w:vAlign w:val="bottom"/>
            <w:gridSpan w:val="2"/>
          </w:tcPr>
          <w:p>
            <w:pPr>
              <w:ind w:left="240"/>
              <w:spacing w:after="0"/>
              <w:rPr>
                <w:sz w:val="20"/>
                <w:szCs w:val="20"/>
                <w:color w:val="auto"/>
              </w:rPr>
            </w:pPr>
            <w:r>
              <w:rPr>
                <w:rFonts w:ascii="Arial" w:cs="Arial" w:eastAsia="Arial" w:hAnsi="Arial"/>
                <w:sz w:val="12"/>
                <w:szCs w:val="12"/>
                <w:color w:val="auto"/>
              </w:rPr>
              <w:t>James C. Momtazee</w:t>
            </w:r>
          </w:p>
        </w:tc>
        <w:tc>
          <w:tcPr>
            <w:tcW w:w="200" w:type="dxa"/>
            <w:vAlign w:val="bottom"/>
          </w:tcPr>
          <w:p>
            <w:pPr>
              <w:jc w:val="center"/>
              <w:spacing w:after="0"/>
              <w:rPr>
                <w:sz w:val="20"/>
                <w:szCs w:val="20"/>
                <w:color w:val="auto"/>
              </w:rPr>
            </w:pPr>
            <w:r>
              <w:rPr>
                <w:rFonts w:ascii="Arial" w:cs="Arial" w:eastAsia="Arial" w:hAnsi="Arial"/>
                <w:sz w:val="12"/>
                <w:szCs w:val="12"/>
                <w:color w:val="auto"/>
                <w:w w:val="89"/>
              </w:rPr>
              <w:t>49</w:t>
            </w:r>
          </w:p>
        </w:tc>
        <w:tc>
          <w:tcPr>
            <w:tcW w:w="16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20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Executive Officers</w:t>
      </w:r>
    </w:p>
    <w:p>
      <w:pPr>
        <w:spacing w:after="0" w:line="7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b w:val="1"/>
          <w:bCs w:val="1"/>
          <w:i w:val="1"/>
          <w:iCs w:val="1"/>
          <w:color w:val="auto"/>
        </w:rPr>
        <w:t xml:space="preserve">Matthew Gline </w:t>
      </w:r>
      <w:r>
        <w:rPr>
          <w:rFonts w:ascii="Arial" w:cs="Arial" w:eastAsia="Arial" w:hAnsi="Arial"/>
          <w:sz w:val="11"/>
          <w:szCs w:val="11"/>
          <w:color w:val="auto"/>
        </w:rPr>
        <w:t>has served as our Chief Executive Officer since January 2021 and as a Director of Roivant from the closing of the Business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Combination in September 2021. Mr. Gline joined Roivant in March 2016 and previously served as Chief Financial Officer, from September 2017 through his appointment as Chief Executive Officer, and as Senior VP, Finance and Business Operations. Prior to joining Roivant, Mr. Gline was a Vice President at Goldman Sachs, Fixed Income Digital Structuring, from 2014 to 2016, and co-founded Fourthree, a risk analytics technology and consulting company, from 2012 to 2014. Mr. Gline earned his A.B. in Physics from Harvard College. Our board of directors believes that Mr. Gline’s experience in various roles at our company and his prior professional experience qualify him to serve as a member of our board of directors.</w:t>
      </w:r>
    </w:p>
    <w:p>
      <w:pPr>
        <w:spacing w:after="0" w:line="113"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 xml:space="preserve">Eric Venker </w:t>
      </w:r>
      <w:r>
        <w:rPr>
          <w:rFonts w:ascii="Arial" w:cs="Arial" w:eastAsia="Arial" w:hAnsi="Arial"/>
          <w:sz w:val="11"/>
          <w:szCs w:val="11"/>
          <w:color w:val="auto"/>
        </w:rPr>
        <w:t>has served as our President and Chief Operating Officer since January 2021 and, prior to that role, as Chief Operating Officer, from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November 2018. From October 2017 to October 2018, Dr. Venker served as Chief of Staff to our Chief Executive Officer, and from 2014 to 2015, as an Analyst at Roivant. From 2015 to 2017, Dr. Venker was a physician at New York Presbyterian Hospital/Columbia University Medical Center, where he trained in internal medicine, and also served as Chair of the Housestaff Quality Council leading operational initiatives to improve efficiencies. From 2011 to 2015, Dr. Venker was a Clinical Pharmacist at Yale-New Haven Hospital. Dr. Venker also serves on the boards of directors of Immunovant, Arbutus Biopharma, Sio Gene Therapies and several private biopharmaceutical companies. He received his Pharm.D. from St. Louis College of Pharmacy and his M.D. from Yale School of Medicine.</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b w:val="1"/>
          <w:bCs w:val="1"/>
          <w:i w:val="1"/>
          <w:iCs w:val="1"/>
          <w:color w:val="auto"/>
        </w:rPr>
        <w:t xml:space="preserve">Mayukh Sukhatme </w:t>
      </w:r>
      <w:r>
        <w:rPr>
          <w:rFonts w:ascii="Arial" w:cs="Arial" w:eastAsia="Arial" w:hAnsi="Arial"/>
          <w:sz w:val="12"/>
          <w:szCs w:val="12"/>
          <w:color w:val="auto"/>
        </w:rPr>
        <w:t>has served as our President and Chief Investment Officer since January 2021, overseeing the creation and support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biopharmaceutical companies in the Roivant family. Dr. Sukhatme joined Roivant in 2015 and previously served as President of Roivant Pharma and as our Chief Business Officer. From 2000 to 2015, Dr. Sukhatme was a healthcare-focused analyst and portfolio manager for several large institutional investment firms, including both public markets and venture capital firms. His principal focus was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253</w:t>
      </w:r>
    </w:p>
    <w:p>
      <w:pPr>
        <w:sectPr>
          <w:pgSz w:w="11900" w:h="16838" w:orient="portrait"/>
          <w:cols w:equalWidth="0" w:num="1">
            <w:col w:w="10159"/>
          </w:cols>
          <w:pgMar w:left="300" w:top="372"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119"/>
        <w:spacing w:after="0" w:line="263" w:lineRule="auto"/>
        <w:rPr>
          <w:sz w:val="20"/>
          <w:szCs w:val="20"/>
          <w:color w:val="auto"/>
        </w:rPr>
      </w:pPr>
      <w:r>
        <w:rPr>
          <w:rFonts w:ascii="Arial" w:cs="Arial" w:eastAsia="Arial" w:hAnsi="Arial"/>
          <w:sz w:val="12"/>
          <w:szCs w:val="12"/>
          <w:color w:val="auto"/>
        </w:rPr>
        <w:t>on development-stage biotechnology and pharmaceutical companies, where he led diligence and investment decisions on numerous companies and pharmaceutical compounds across a wide variety of therapeutic areas. Dr. Sukhatme earned his M.D. from Harvard Medical School and his B.S. in Biology and B.S. in Literature from MIT.</w:t>
      </w:r>
    </w:p>
    <w:p>
      <w:pPr>
        <w:spacing w:after="0" w:line="122"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 xml:space="preserve">Richard Pulik </w:t>
      </w:r>
      <w:r>
        <w:rPr>
          <w:rFonts w:ascii="Arial" w:cs="Arial" w:eastAsia="Arial" w:hAnsi="Arial"/>
          <w:sz w:val="11"/>
          <w:szCs w:val="11"/>
          <w:color w:val="auto"/>
        </w:rPr>
        <w:t>has served as our Chief Financial Officer since October 2021. Prior to joining Roivant, Mr. Pulik was the Global Head of Business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Development &amp; Licensing and Portfolio Management, Oncology at Novartis and a member of Novartis’s Innovation Management Board and the Novartis Oncology Leadership Team, from August 2019 to September 2021. Mr. Pulik joined Novartis in 2012 as a Senior Director, Mergers &amp; Acquisitions based in Basel, Switzerland working on the strategy and execution of the deals that shaped Novartis. In 2015, Mr. Pulik was appointed as Vice President, Head of North America Investor Relations for Novartis. Prior to these roles at Novartis, Mr. Pulik worked at Bank of America Merrill Lynch, Monitor Group and UBS Investment Bank, focusing on mergers and acquisitions and strategy in the healthcare sector. Mr. Pulik received a B.S. in Finance from The Wharton School and a B.A. in Economics and International Relations at the University of Pennsylvania in 2001.</w:t>
      </w:r>
    </w:p>
    <w:p>
      <w:pPr>
        <w:spacing w:after="0" w:line="115"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b w:val="1"/>
          <w:bCs w:val="1"/>
          <w:i w:val="1"/>
          <w:iCs w:val="1"/>
          <w:color w:val="auto"/>
        </w:rPr>
        <w:t xml:space="preserve">Rakhi Kumar </w:t>
      </w:r>
      <w:r>
        <w:rPr>
          <w:rFonts w:ascii="Arial" w:cs="Arial" w:eastAsia="Arial" w:hAnsi="Arial"/>
          <w:sz w:val="11"/>
          <w:szCs w:val="11"/>
          <w:color w:val="auto"/>
        </w:rPr>
        <w:t>has served as our Chief Accounting Officer since August 2018, leading the accounting and financial operations and related internal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controls functions. Ms. Kumar joined Roivant in September 2015, and previously served as Vice President, Finance and External Reporting. Prior to joining Roivant, Ms. Kumar was responsible for external reporting, corporate and technical accounting at The Medicines Company from 2013 to 2015. Earlier in her career, Ms. Kumar was in the assurance services at Ernst and Young. Ms. Kumar also serves as a director and as chair of the audit committee for NeuroPace (Nasdaq: NPCE), a medical device company. She is a licensed Certified Public Accountant and a Chartered Professional Accountant in Ontario, Canada. She received her M.S. in Accounting and Taxation from the University of Hartford.</w:t>
      </w:r>
    </w:p>
    <w:p>
      <w:pPr>
        <w:spacing w:after="0" w:line="185"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Directors</w:t>
      </w:r>
    </w:p>
    <w:p>
      <w:pPr>
        <w:spacing w:after="0" w:line="78" w:lineRule="exact"/>
        <w:rPr>
          <w:sz w:val="20"/>
          <w:szCs w:val="20"/>
          <w:color w:val="auto"/>
        </w:rPr>
      </w:pPr>
    </w:p>
    <w:p>
      <w:pPr>
        <w:jc w:val="both"/>
        <w:ind w:left="1980" w:right="1019" w:firstLine="294"/>
        <w:spacing w:after="0" w:line="306" w:lineRule="auto"/>
        <w:rPr>
          <w:sz w:val="20"/>
          <w:szCs w:val="20"/>
          <w:color w:val="auto"/>
        </w:rPr>
      </w:pPr>
      <w:r>
        <w:rPr>
          <w:rFonts w:ascii="Arial" w:cs="Arial" w:eastAsia="Arial" w:hAnsi="Arial"/>
          <w:sz w:val="10"/>
          <w:szCs w:val="10"/>
          <w:b w:val="1"/>
          <w:bCs w:val="1"/>
          <w:i w:val="1"/>
          <w:iCs w:val="1"/>
          <w:color w:val="auto"/>
        </w:rPr>
        <w:t xml:space="preserve">Vivek Ramaswamy </w:t>
      </w:r>
      <w:r>
        <w:rPr>
          <w:rFonts w:ascii="Arial" w:cs="Arial" w:eastAsia="Arial" w:hAnsi="Arial"/>
          <w:sz w:val="10"/>
          <w:szCs w:val="10"/>
          <w:color w:val="auto"/>
        </w:rPr>
        <w:t>is our Founder and Chair of our board of directors. He has also served as our Executive Chairman since January 2021 and,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prior to taking that role, as Chief Executive Officer, from May 2014. Mr. Ramaswamy previously served as a member of the investment team at QVT Financial, from 2007 to 2014. Mr. Ramaswamy was previously as a director of Myovant Sciences, Axovant Sciences and Arbutus Biopharma.</w:t>
      </w:r>
    </w:p>
    <w:p>
      <w:pPr>
        <w:spacing w:after="0" w:line="1" w:lineRule="exact"/>
        <w:rPr>
          <w:sz w:val="20"/>
          <w:szCs w:val="20"/>
          <w:color w:val="auto"/>
        </w:rPr>
      </w:pPr>
    </w:p>
    <w:p>
      <w:pPr>
        <w:ind w:left="1980" w:right="999"/>
        <w:spacing w:after="0" w:line="255" w:lineRule="auto"/>
        <w:rPr>
          <w:sz w:val="20"/>
          <w:szCs w:val="20"/>
          <w:color w:val="auto"/>
        </w:rPr>
      </w:pPr>
      <w:r>
        <w:rPr>
          <w:rFonts w:ascii="Arial" w:cs="Arial" w:eastAsia="Arial" w:hAnsi="Arial"/>
          <w:sz w:val="12"/>
          <w:szCs w:val="12"/>
          <w:color w:val="auto"/>
        </w:rPr>
        <w:t>Mr. Ramaswamy received his A.B. in Biology from Harvard College and his J.D. from Yale Law School, where he was a Paul &amp; Daisy Soros Fellow. Our board of directors believes that Mr. Ramaswamy’s status as our Founder and his extensive prior experience in the biopharmaceutical industry qualifies him to serve as a member of our board of directors.</w:t>
      </w:r>
    </w:p>
    <w:p>
      <w:pPr>
        <w:spacing w:after="0" w:line="127" w:lineRule="exact"/>
        <w:rPr>
          <w:sz w:val="20"/>
          <w:szCs w:val="20"/>
          <w:color w:val="auto"/>
        </w:rPr>
      </w:pPr>
    </w:p>
    <w:p>
      <w:pPr>
        <w:ind w:left="1980" w:right="859" w:firstLine="294"/>
        <w:spacing w:after="0" w:line="305" w:lineRule="auto"/>
        <w:rPr>
          <w:sz w:val="20"/>
          <w:szCs w:val="20"/>
          <w:color w:val="auto"/>
        </w:rPr>
      </w:pPr>
      <w:r>
        <w:rPr>
          <w:rFonts w:ascii="Arial" w:cs="Arial" w:eastAsia="Arial" w:hAnsi="Arial"/>
          <w:sz w:val="10"/>
          <w:szCs w:val="10"/>
          <w:b w:val="1"/>
          <w:bCs w:val="1"/>
          <w:i w:val="1"/>
          <w:iCs w:val="1"/>
          <w:color w:val="auto"/>
        </w:rPr>
        <w:t xml:space="preserve">Andrew Lo </w:t>
      </w:r>
      <w:r>
        <w:rPr>
          <w:rFonts w:ascii="Arial" w:cs="Arial" w:eastAsia="Arial" w:hAnsi="Arial"/>
          <w:sz w:val="10"/>
          <w:szCs w:val="10"/>
          <w:color w:val="auto"/>
        </w:rPr>
        <w:t>has served as a Director of Roivant since 2016. He is a Charles E. and Susan T. Harris Professor at MIT Sloan School of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since 1988, Founder and Chairman of QLS Advisors since 2019, Member of Thalēs Advisory Board since 2019, Chairman Emeritus and Senior Advisor of AlphaSimplex Group since 2018 and member of the Competitive Market Advisory Counsel of the Chicago Mercantile Exchange since 2013. Dr. Lo has served as Director of BridgeBio Pharma since 2020 and advisor of the same company from 2015 to 2020. Our board of directors believes that</w:t>
      </w:r>
    </w:p>
    <w:p>
      <w:pPr>
        <w:ind w:left="1980" w:right="1139"/>
        <w:spacing w:after="0" w:line="260" w:lineRule="auto"/>
        <w:rPr>
          <w:sz w:val="20"/>
          <w:szCs w:val="20"/>
          <w:color w:val="auto"/>
        </w:rPr>
      </w:pPr>
      <w:r>
        <w:rPr>
          <w:rFonts w:ascii="Arial" w:cs="Arial" w:eastAsia="Arial" w:hAnsi="Arial"/>
          <w:sz w:val="12"/>
          <w:szCs w:val="12"/>
          <w:color w:val="auto"/>
        </w:rPr>
        <w:t>Dr. Lo’s extensive experience as director and advisor of various companies, including in the biopharmaceutical industry, qualifies him to serve as a member of our board of directors.</w:t>
      </w:r>
    </w:p>
    <w:p>
      <w:pPr>
        <w:spacing w:after="0" w:line="124" w:lineRule="exact"/>
        <w:rPr>
          <w:sz w:val="20"/>
          <w:szCs w:val="20"/>
          <w:color w:val="auto"/>
        </w:rPr>
      </w:pPr>
    </w:p>
    <w:p>
      <w:pPr>
        <w:jc w:val="both"/>
        <w:ind w:left="1980" w:right="1039" w:firstLine="294"/>
        <w:spacing w:after="0" w:line="306" w:lineRule="auto"/>
        <w:rPr>
          <w:sz w:val="20"/>
          <w:szCs w:val="20"/>
          <w:color w:val="auto"/>
        </w:rPr>
      </w:pPr>
      <w:r>
        <w:rPr>
          <w:rFonts w:ascii="Arial" w:cs="Arial" w:eastAsia="Arial" w:hAnsi="Arial"/>
          <w:sz w:val="10"/>
          <w:szCs w:val="10"/>
          <w:b w:val="1"/>
          <w:bCs w:val="1"/>
          <w:i w:val="1"/>
          <w:iCs w:val="1"/>
          <w:color w:val="auto"/>
        </w:rPr>
        <w:t xml:space="preserve">Patrick Machado </w:t>
      </w:r>
      <w:r>
        <w:rPr>
          <w:rFonts w:ascii="Arial" w:cs="Arial" w:eastAsia="Arial" w:hAnsi="Arial"/>
          <w:sz w:val="10"/>
          <w:szCs w:val="10"/>
          <w:color w:val="auto"/>
        </w:rPr>
        <w:t>has served as a Director of Roivant since 2017. He was a co-founder of Medivation, Inc., a biopharmaceutical company, and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served on its board of directors from April 2014 through its acquisition by Pfizer in 2016. Mr. Machado also served as Medivation’s Chief Financial Officer from its inception in September 2003 and as its Chief Business Officer from December 2009, in each case through 2014. Since 2014,</w:t>
      </w:r>
    </w:p>
    <w:p>
      <w:pPr>
        <w:spacing w:after="0" w:line="1" w:lineRule="exact"/>
        <w:rPr>
          <w:sz w:val="20"/>
          <w:szCs w:val="20"/>
          <w:color w:val="auto"/>
        </w:rPr>
      </w:pPr>
    </w:p>
    <w:p>
      <w:pPr>
        <w:ind w:left="1980" w:right="1059"/>
        <w:spacing w:after="0" w:line="255" w:lineRule="auto"/>
        <w:rPr>
          <w:sz w:val="20"/>
          <w:szCs w:val="20"/>
          <w:color w:val="auto"/>
        </w:rPr>
      </w:pPr>
      <w:r>
        <w:rPr>
          <w:rFonts w:ascii="Arial" w:cs="Arial" w:eastAsia="Arial" w:hAnsi="Arial"/>
          <w:sz w:val="12"/>
          <w:szCs w:val="12"/>
          <w:color w:val="auto"/>
        </w:rPr>
        <w:t>Mr. Machado has served as a professional independent board member to more than 15 private and public biotechnology companies, including Medivation (acquired by Pfizer), Endocyte (acquired by Novartis), Principia (acquired by Sanofi) and Therachon (acquired by Pfizer). Mr. Machado received a J.D. from Harvard Law</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254</w:t>
      </w:r>
    </w:p>
    <w:p>
      <w:pPr>
        <w:sectPr>
          <w:pgSz w:w="11900" w:h="16838" w:orient="portrait"/>
          <w:cols w:equalWidth="0" w:num="1">
            <w:col w:w="10159"/>
          </w:cols>
          <w:pgMar w:left="300" w:top="372"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379" w:lineRule="auto"/>
        <w:rPr>
          <w:sz w:val="20"/>
          <w:szCs w:val="20"/>
          <w:color w:val="auto"/>
        </w:rPr>
      </w:pPr>
      <w:r>
        <w:rPr>
          <w:rFonts w:ascii="Arial" w:cs="Arial" w:eastAsia="Arial" w:hAnsi="Arial"/>
          <w:sz w:val="10"/>
          <w:szCs w:val="10"/>
          <w:color w:val="auto"/>
        </w:rPr>
        <w:t>School and a B.A. and B.S. in German and Economics, respectively, from Santa Clara University. Our board of directors believes that Mr. Machado’s extensive experience as director and officer in the biopharmaceutical industry qualifies him to serve as a member of our board of directors.</w:t>
      </w:r>
    </w:p>
    <w:p>
      <w:pPr>
        <w:spacing w:after="0" w:line="69"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b w:val="1"/>
          <w:bCs w:val="1"/>
          <w:i w:val="1"/>
          <w:iCs w:val="1"/>
          <w:color w:val="auto"/>
        </w:rPr>
        <w:t xml:space="preserve">Keith Manchester </w:t>
      </w:r>
      <w:r>
        <w:rPr>
          <w:rFonts w:ascii="Arial" w:cs="Arial" w:eastAsia="Arial" w:hAnsi="Arial"/>
          <w:sz w:val="11"/>
          <w:szCs w:val="11"/>
          <w:color w:val="auto"/>
        </w:rPr>
        <w:t>has served as a Director of Roivant since 2014. He serves as a Partner and the Head of Life Sciences at QVT Financial, New</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York, USA, an investment firm, where he has been employed since 2005. He focuses on investments in both publicly traded and privately owned life science companies. Prior to joining QVT, Dr. Manchester was Vice President of Business Development from 2002 to 2004 and Director of Business Development from 2000 to 2002 at Applied Molecular Evolution, a biotechnology company. From 1999 to 2000, Dr. Manchester was an associate at Vestar Capital Partners, a private equity firm. From 1997 to 1999, Dr. Manchester was an investment banker in the healthcare group at Goldman, Sachs &amp; Co. He received his A.B. from Harvard College and his M.D. from Harvard Medical School. Dr. Manchester serves as a director for the following companies: Roivant Sciences Ltd., Roivant Sciences, Inc., Arbutus Biopharma Corporation, and Kriya Therapeutics. Dr. Manchester also sits on the Supervisory Board of Medigene AG. Our board of directors believes that Dr. Manchester’s extensive experience investing in the life sciences industry qualifies him to serve as a member of our board of directors.</w:t>
      </w:r>
    </w:p>
    <w:p>
      <w:pPr>
        <w:spacing w:after="0" w:line="117"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b w:val="1"/>
          <w:bCs w:val="1"/>
          <w:i w:val="1"/>
          <w:iCs w:val="1"/>
          <w:color w:val="auto"/>
        </w:rPr>
        <w:t xml:space="preserve">Ilan Oren </w:t>
      </w:r>
      <w:r>
        <w:rPr>
          <w:rFonts w:ascii="Arial" w:cs="Arial" w:eastAsia="Arial" w:hAnsi="Arial"/>
          <w:sz w:val="12"/>
          <w:szCs w:val="12"/>
          <w:color w:val="auto"/>
        </w:rPr>
        <w:t>has served as a Director of Roivant since 2014. He has served as Co-Chief Executive Officer of Dexcel Pharma, a privately-owned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Israeli group of pharmaceutical companies, since November 2019. Prior to serving as Co-CEO, Ilan served as Vice President for the group and led corporate and business development activities, including formation of strategic ventures, product partnerships, product portfolio selection, product acquisitions, strategic investments, and mergers and acquisitions. He holds an A.B. in Economics from Harvard College. Our board of directors believes that Mr. Oren’s extensive experience as a high-level executive in the pharmaceutical industry qualifies him to serve as a member of our board of directors.</w:t>
      </w:r>
    </w:p>
    <w:p>
      <w:pPr>
        <w:spacing w:after="0" w:line="12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b w:val="1"/>
          <w:bCs w:val="1"/>
          <w:i w:val="1"/>
          <w:iCs w:val="1"/>
          <w:color w:val="auto"/>
        </w:rPr>
        <w:t xml:space="preserve">Daniel Gold </w:t>
      </w:r>
      <w:r>
        <w:rPr>
          <w:rFonts w:ascii="Arial" w:cs="Arial" w:eastAsia="Arial" w:hAnsi="Arial"/>
          <w:sz w:val="11"/>
          <w:szCs w:val="11"/>
          <w:color w:val="auto"/>
        </w:rPr>
        <w:t>has served as a Director of Roivant since 2020. Mr. Gold serves as the CEO, managing partner and founder of QVT Financial LP,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 management company with offices in New York and New Delhi. QVT Financial, through its managed and affiliated multi-strategy funds, is an experienced global investor in multiple industries, including biotech, financial, shipping and offshore industries. Mr. Gold founded QVT Financial LP in 2003. Mr. Gold holds an A.B. in Physics from Harvard College. Mr. Gold also currently serves on the board of public companies MP Materials, Okeanis Eco Tankers Corp. and Awilco Drilling PLC, in addition to various private companies. Our board of directors believes that Mr. Gold’s extensive experience investing in the life sciences industry qualifies him to serve as a member of our board of directors.</w:t>
      </w:r>
    </w:p>
    <w:p>
      <w:pPr>
        <w:spacing w:after="0" w:line="11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b w:val="1"/>
          <w:bCs w:val="1"/>
          <w:i w:val="1"/>
          <w:iCs w:val="1"/>
          <w:color w:val="auto"/>
        </w:rPr>
        <w:t xml:space="preserve">Masayo Tada </w:t>
      </w:r>
      <w:r>
        <w:rPr>
          <w:rFonts w:ascii="Arial" w:cs="Arial" w:eastAsia="Arial" w:hAnsi="Arial"/>
          <w:sz w:val="12"/>
          <w:szCs w:val="12"/>
          <w:color w:val="auto"/>
        </w:rPr>
        <w:t>has served as a Director of Roivant since 2019. He has served as Chairman of the Board of Sumitomo Dainippon Pharma Co., Ltd.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(“Sumitomo”) since April 2018 and as a Director since April 2021, having previously served as Representative Director from April 2008 to March 2021. Prior to serving as Chairman of Sumitomo, he served as President and CEO of Sumitomo since June 2008, as well as other positions since 2005. Our board of directors believes that Mr. Tada’s extensive experience as a director and high-level executive in the pharmaceutical industry qualifies him to serve as a member of our board of directors.</w:t>
      </w:r>
    </w:p>
    <w:p>
      <w:pPr>
        <w:spacing w:after="0" w:line="128"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b w:val="1"/>
          <w:bCs w:val="1"/>
          <w:i w:val="1"/>
          <w:iCs w:val="1"/>
          <w:color w:val="auto"/>
        </w:rPr>
        <w:t xml:space="preserve">James C. Momtazee </w:t>
      </w:r>
      <w:r>
        <w:rPr>
          <w:rFonts w:ascii="Arial" w:cs="Arial" w:eastAsia="Arial" w:hAnsi="Arial"/>
          <w:sz w:val="11"/>
          <w:szCs w:val="11"/>
          <w:color w:val="auto"/>
        </w:rPr>
        <w:t>has served as a Director of Roivant from the closing of the Business Combination in September 2021. Mr. Momtazee is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Managing Partner of Patient Square Capital, a dedicated health care investing firm. Mr. Momtazee has over 25 years of investment and acquisition experience, the vast majority of which was focused on the health care sector. Prior to founding Patient Square, he held various positions at KKR &amp; Co., Inc. (“KKR”) since 1996. He helped form KKR’s health care industry group in 2001 and ran that team for over 10 years. Mr. Momtazee currently also serves on the board of directors of BridgeBio Pharma, Apollo Therapeutics, Kriya Therapeutics and the Medical Device Manufacturers Association and has previously served on the board of directors of multiple other health care companies, including PRA Health Sciences, Inc. (lead independent director), Envision Healthcare, Heartland Dental, Ajax Health, Global Medical Response, BrightSpring Health Services, Covenant Surgical Partners, Entellus Medical, Inc., EchoNous, Spirox, Inc., Arbor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255</w:t>
      </w:r>
    </w:p>
    <w:p>
      <w:pPr>
        <w:sectPr>
          <w:pgSz w:w="11900" w:h="16838" w:orient="portrait"/>
          <w:cols w:equalWidth="0" w:num="1">
            <w:col w:w="10159"/>
          </w:cols>
          <w:pgMar w:left="300" w:top="372" w:right="1440" w:bottom="1440" w:gutter="0" w:footer="0" w:header="0"/>
        </w:sectPr>
      </w:pPr>
    </w:p>
    <w:bookmarkStart w:id="263" w:name="page264"/>
    <w:bookmarkEnd w:id="2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379" w:lineRule="auto"/>
        <w:rPr>
          <w:sz w:val="20"/>
          <w:szCs w:val="20"/>
          <w:color w:val="auto"/>
        </w:rPr>
      </w:pPr>
      <w:r>
        <w:rPr>
          <w:rFonts w:ascii="Arial" w:cs="Arial" w:eastAsia="Arial" w:hAnsi="Arial"/>
          <w:sz w:val="10"/>
          <w:szCs w:val="10"/>
          <w:color w:val="auto"/>
        </w:rPr>
        <w:t>Pharmaceuticals, Lake Region Medical, HCA Healthcare, Jazz Pharmaceuticals, and Alliance Imaging. Our board of directors believes that Mr. Momtazee’s extensive experience investing in the biopharmaceutical industry qualifies him to serve as a member of our board of directors.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Family Relationships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There are no family relationships between the members of our board of directors and our executive officers.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of Directors</w:t>
      </w:r>
    </w:p>
    <w:p>
      <w:pPr>
        <w:spacing w:after="0" w:line="8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Our business and affairs are managed under the direction of our board of directors. Our board of directors consists of nine members, with Vivek Ramaswamy serving as Chair. Our amended and restated bye-laws provide for a classified board of directors divided into three classes serving staggered three-year terms as follows:</w:t>
      </w:r>
    </w:p>
    <w:p>
      <w:pPr>
        <w:spacing w:after="0" w:line="59" w:lineRule="exact"/>
        <w:rPr>
          <w:sz w:val="20"/>
          <w:szCs w:val="20"/>
          <w:color w:val="auto"/>
        </w:rPr>
      </w:pPr>
    </w:p>
    <w:p>
      <w:pPr>
        <w:ind w:left="2620" w:hanging="288"/>
        <w:spacing w:after="0"/>
        <w:tabs>
          <w:tab w:leader="none" w:pos="262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Class I directors are Mr. Machado, Dr. Manchester and Mr. Gline, and they will serve until our annual meeting of shareholders in 2022;</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Class II directors are Mr. Gold, Dr. Lo and Mr. Ramaswamy, and they will serve until our annual meeting of shareholders in 2023; and</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Class III directors are Mr. Tada, Mr. Oren and Mr. Momtazee, and they will serve until our annual meeting of shareholders in 2024;</w:t>
      </w:r>
    </w:p>
    <w:p>
      <w:pPr>
        <w:spacing w:after="0" w:line="16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At each annual meeting of shareholders, directors will be elected to succeed the class of directors whose terms have expired. This classification of our board of directors could have the effect of increasing the length of time necessary to change the composition of a majority of the board of directors. Our amended and restated bye-laws provide that the authorized number of directors (being no less than 5 directors and no more than 15 directors) may be changed only by resolution approved by a majority of our board of directors.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Director Independence</w:t>
      </w:r>
    </w:p>
    <w:p>
      <w:pPr>
        <w:spacing w:after="0" w:line="82"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Our board of directors has undertaken a review of the independence of the directors and has considered whether any director has a material relationship with us that could compromise his or her ability to exercise independent judgment in carrying out his or her responsibilities. As a result of this review, our board of directors has determined that each of Mr. Machado, Dr. Manchester, Mr. Gold, Dr. Lo, Mr. Oren and Mr. Momtazee, representing six of the nine individuals expected to serve as members of our board of directors, are independent, as that term is defined under the applicable rules and regulations of the SEC and the Nasdaq listing rules. We comply with the corporate governance requirements of the SEC and the Nasdaq listing rules.</w:t>
      </w:r>
    </w:p>
    <w:p>
      <w:pPr>
        <w:spacing w:after="0" w:line="12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comply with the requirements of Rule 10A-3 of the Exchange Act and the Nasdaq listing rules, which rules require that our audit committee be composed of at least three members. Under Rule 10A-3 of the Exchange Act, we are permitted to phase in our compliance with the independent audit committee requirements set forth in Rule 10A-3 of the Exchange Act as follows: (1) one independent member at the time of listing, (2) a majority of independent members within 90 days of listing and (3) all independent members within one year of listing.</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Committees of the Board of Directors</w:t>
      </w:r>
    </w:p>
    <w:p>
      <w:pPr>
        <w:spacing w:after="0" w:line="8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Our board of directors established an audit committee, a compensation committee and a nominating and governance committee, each of which has the composition and responsibilities described below. From time to time, our board of directors may establish other committees to facilitate the management of our business.</w:t>
      </w:r>
    </w:p>
    <w:p>
      <w:pPr>
        <w:spacing w:after="0" w:line="194"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Audit Committee</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members of our audit committee are Mr. Momtazee (Chair), Mr. Machado and Mr. Oren. The composition of our audit committee meets the requirements for independence under the current Nasdaq listing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256</w:t>
      </w:r>
    </w:p>
    <w:p>
      <w:pPr>
        <w:sectPr>
          <w:pgSz w:w="11900" w:h="16838" w:orient="portrait"/>
          <w:cols w:equalWidth="0" w:num="1">
            <w:col w:w="10159"/>
          </w:cols>
          <w:pgMar w:left="300" w:top="372" w:right="1440" w:bottom="1440" w:gutter="0" w:footer="0" w:header="0"/>
        </w:sectPr>
      </w:pPr>
    </w:p>
    <w:bookmarkStart w:id="264" w:name="page265"/>
    <w:bookmarkEnd w:id="2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standards and SEC rules and regulations. Each member of our audit committee is financially literate. In addition, our board of directors has determined that Mr. Momtazee is an “audit committee financial expert” as defined in Item 407(d)(5)(ii) of Regulation S-K promulgated under the Securities Act. This designation will not impose any duties, obligations or liabilities that are greater than are generally imposed on members of our audit committee and our board of directors. Our audit committee is directly responsible for, among other things:</w:t>
      </w:r>
    </w:p>
    <w:p>
      <w:pPr>
        <w:spacing w:after="0" w:line="61" w:lineRule="exact"/>
        <w:rPr>
          <w:sz w:val="20"/>
          <w:szCs w:val="20"/>
          <w:color w:val="auto"/>
        </w:rPr>
      </w:pPr>
    </w:p>
    <w:p>
      <w:pPr>
        <w:ind w:left="2620" w:hanging="288"/>
        <w:spacing w:after="0"/>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selecting a firm to serve as the independent registered public accounting firm to audit our financial statements;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ensuring the independence of the independent registered public accounting firm;</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 firm and reviewing, with management and that firm, our interim and year-end operating results;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establishing procedures for employees to anonymously submit concerns about questionable accounting or audit matters;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considering the adequacy of our internal controls and internal audit function;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reviewing material related party transactions or those that require disclosure; and</w:t>
      </w:r>
    </w:p>
    <w:p>
      <w:pPr>
        <w:spacing w:after="0" w:line="87"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approving or, as permitted, pre-approving all audit and non-audit services to be performed by the independent registered public accounting firm.</w:t>
      </w: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78" w:lineRule="exact"/>
        <w:rPr>
          <w:sz w:val="20"/>
          <w:szCs w:val="20"/>
          <w:color w:val="auto"/>
        </w:rPr>
      </w:pPr>
    </w:p>
    <w:p>
      <w:pPr>
        <w:jc w:val="both"/>
        <w:ind w:left="1980" w:right="899" w:firstLine="294"/>
        <w:spacing w:after="0" w:line="259" w:lineRule="auto"/>
        <w:rPr>
          <w:sz w:val="20"/>
          <w:szCs w:val="20"/>
          <w:color w:val="auto"/>
        </w:rPr>
      </w:pPr>
      <w:r>
        <w:rPr>
          <w:rFonts w:ascii="Arial" w:cs="Arial" w:eastAsia="Arial" w:hAnsi="Arial"/>
          <w:sz w:val="12"/>
          <w:szCs w:val="12"/>
          <w:color w:val="auto"/>
        </w:rPr>
        <w:t>The members of our compensation committee are Mr. Gold (Chair), Mr. Machado and Mr. Oren. Each member of our compensation committee is a non-employee director, as defined by Rule 16b-3 promulgated under the Exchange Act, and an outside director, as defined pursuant to Section 162(m) of the Code, and meets the requirements for independence under the current Nasdaq listing standards and SEC rules and regulations. Our compensation committee is responsible for, among other things:</w:t>
      </w:r>
    </w:p>
    <w:p>
      <w:pPr>
        <w:spacing w:after="0" w:line="61" w:lineRule="exact"/>
        <w:rPr>
          <w:sz w:val="20"/>
          <w:szCs w:val="20"/>
          <w:color w:val="auto"/>
        </w:rPr>
      </w:pPr>
    </w:p>
    <w:p>
      <w:pPr>
        <w:ind w:left="2620" w:hanging="288"/>
        <w:spacing w:after="0"/>
        <w:tabs>
          <w:tab w:leader="none" w:pos="2620" w:val="left"/>
        </w:tabs>
        <w:numPr>
          <w:ilvl w:val="0"/>
          <w:numId w:val="136"/>
        </w:numPr>
        <w:rPr>
          <w:rFonts w:ascii="Arial" w:cs="Arial" w:eastAsia="Arial" w:hAnsi="Arial"/>
          <w:sz w:val="11"/>
          <w:szCs w:val="11"/>
          <w:color w:val="auto"/>
        </w:rPr>
      </w:pPr>
      <w:r>
        <w:rPr>
          <w:rFonts w:ascii="Arial" w:cs="Arial" w:eastAsia="Arial" w:hAnsi="Arial"/>
          <w:sz w:val="11"/>
          <w:szCs w:val="11"/>
          <w:color w:val="auto"/>
        </w:rPr>
        <w:t>reviewing and approving the compensation of our Principal Executive Officer, each of our other executive officers and Mr. Ramaswamy;</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reviewing and recommending to our board of directors the compensation of our directors;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administering our stock and equity incentive plans;</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reviewing and approving, or making recommendations to our board of directors with respect to, incentive compensation and equity plans;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reviewing our overall compensation philosophy.</w:t>
      </w:r>
    </w:p>
    <w:p>
      <w:pPr>
        <w:spacing w:after="0" w:line="22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Nominating and Governance Committee</w:t>
      </w:r>
    </w:p>
    <w:p>
      <w:pPr>
        <w:spacing w:after="0" w:line="78"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members of our nominating and governance committee are Dr. Lo (Chair), Dr. Manchester and Mr. Momtazee. Dr. Lo, Dr. Manchester and Mr. Momtazee meet the requirements for independence under the current Nasdaq listing standards. Our nominating and governance committee is responsible for, among other things:</w:t>
      </w:r>
    </w:p>
    <w:p>
      <w:pPr>
        <w:spacing w:after="0" w:line="59" w:lineRule="exact"/>
        <w:rPr>
          <w:sz w:val="20"/>
          <w:szCs w:val="20"/>
          <w:color w:val="auto"/>
        </w:rPr>
      </w:pPr>
    </w:p>
    <w:p>
      <w:pPr>
        <w:ind w:left="2620" w:hanging="288"/>
        <w:spacing w:after="0"/>
        <w:tabs>
          <w:tab w:leader="none" w:pos="26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identifying and recommending candidates for membership on our board of directors;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developing and recommending our corporate governance guidelines and policies;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reviewing proposed waivers of the code of conduct for directors, executive officers and other senior financial officers;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overseeing the process of evaluating the performance of our board of directors;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assisting our board of directors on corporate governance matters.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257</w:t>
      </w:r>
    </w:p>
    <w:p>
      <w:pPr>
        <w:sectPr>
          <w:pgSz w:w="11900" w:h="16838" w:orient="portrait"/>
          <w:cols w:equalWidth="0" w:num="1">
            <w:col w:w="10159"/>
          </w:cols>
          <w:pgMar w:left="300" w:top="372" w:right="1440" w:bottom="1440" w:gutter="0" w:footer="0" w:header="0"/>
        </w:sectPr>
      </w:pPr>
    </w:p>
    <w:bookmarkStart w:id="265" w:name="page266"/>
    <w:bookmarkEnd w:id="2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 for Employees, Executive Officers and Directors</w:t>
      </w:r>
    </w:p>
    <w:p>
      <w:pPr>
        <w:spacing w:after="0" w:line="82"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Our board of directors has adopted a Code of Business Conduct and Ethics (the “Code of Conduct”) that is currently applicable to all of our employees, executive officers and directors. The Code of Conduct is available on our website at www.roivant.com. The nominating and governance committee of our board of directors is responsible for overseeing the Code of Conduct and must approve any waivers of the Code of Conduct for employees, executive officers and directors.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82"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Director Compensation</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See “Executive and Director Compensation” for information regarding compensation paid to our directors.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258</w:t>
      </w:r>
    </w:p>
    <w:p>
      <w:pPr>
        <w:sectPr>
          <w:pgSz w:w="11900" w:h="16838" w:orient="portrait"/>
          <w:cols w:equalWidth="0" w:num="1">
            <w:col w:w="10159"/>
          </w:cols>
          <w:pgMar w:left="300" w:top="372" w:right="1440" w:bottom="1440" w:gutter="0" w:footer="0" w:header="0"/>
        </w:sectPr>
      </w:pPr>
    </w:p>
    <w:bookmarkStart w:id="266" w:name="page267"/>
    <w:bookmarkEnd w:id="2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EXECUTIVE AND DIRECTOR COMPENSATION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Roivant’s named executive officers (“NEOs”) for Roivant’s fiscal year ended March 31, 2021 (“Fiscal 2020”), each of whom was an employee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Roivant Sciences, Inc. (“RSI”), a wholly owned subsidiary of Roivant, during Fiscal 2020 are as follows:</w:t>
      </w:r>
    </w:p>
    <w:p>
      <w:pPr>
        <w:spacing w:after="0" w:line="78" w:lineRule="exact"/>
        <w:rPr>
          <w:sz w:val="20"/>
          <w:szCs w:val="20"/>
          <w:color w:val="auto"/>
        </w:rPr>
      </w:pPr>
    </w:p>
    <w:p>
      <w:pPr>
        <w:ind w:left="2620" w:hanging="288"/>
        <w:spacing w:after="0"/>
        <w:tabs>
          <w:tab w:leader="none" w:pos="26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Matthew Gline, Chief Executive Officer and former Chief Financial Officer;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Eric Venker, President and Chief Operating Officer;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Benjamin Zimmer, former President, Roivant Health;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Vivek Ramaswamy, Founder, Executive Chairman and former Chief Executive Officer.</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Summary Compensation Table</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information regarding the compensation paid to the NEOs in respect of Fiscal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Non-Equity</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87"/>
              </w:rPr>
              <w:t>Incentive</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Principal</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0"/>
              </w:rPr>
              <w:t>Stock</w:t>
            </w:r>
          </w:p>
        </w:tc>
        <w:tc>
          <w:tcPr>
            <w:tcW w:w="6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92"/>
              </w:rPr>
              <w:t>Option</w:t>
            </w:r>
          </w:p>
        </w:tc>
        <w:tc>
          <w:tcPr>
            <w:tcW w:w="680" w:type="dxa"/>
            <w:vAlign w:val="bottom"/>
            <w:gridSpan w:val="2"/>
          </w:tcPr>
          <w:p>
            <w:pPr>
              <w:ind w:left="220"/>
              <w:spacing w:after="0" w:line="99" w:lineRule="exact"/>
              <w:rPr>
                <w:sz w:val="20"/>
                <w:szCs w:val="20"/>
                <w:color w:val="auto"/>
              </w:rPr>
            </w:pPr>
            <w:r>
              <w:rPr>
                <w:rFonts w:ascii="Arial" w:cs="Arial" w:eastAsia="Arial" w:hAnsi="Arial"/>
                <w:sz w:val="10"/>
                <w:szCs w:val="10"/>
                <w:b w:val="1"/>
                <w:bCs w:val="1"/>
                <w:color w:val="auto"/>
              </w:rPr>
              <w:t>Plan</w:t>
            </w:r>
          </w:p>
        </w:tc>
        <w:tc>
          <w:tcPr>
            <w:tcW w:w="8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All Other</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00" w:type="dxa"/>
            <w:vAlign w:val="bottom"/>
            <w:gridSpan w:val="2"/>
            <w:vMerge w:val="continue"/>
          </w:tcPr>
          <w:p>
            <w:pPr>
              <w:spacing w:after="0"/>
              <w:rPr>
                <w:sz w:val="8"/>
                <w:szCs w:val="8"/>
                <w:color w:val="auto"/>
              </w:rPr>
            </w:pPr>
          </w:p>
        </w:tc>
        <w:tc>
          <w:tcPr>
            <w:tcW w:w="380" w:type="dxa"/>
            <w:vAlign w:val="bottom"/>
            <w:gridSpan w:val="2"/>
          </w:tcPr>
          <w:p>
            <w:pPr>
              <w:ind w:left="20"/>
              <w:spacing w:after="0" w:line="96" w:lineRule="exact"/>
              <w:rPr>
                <w:sz w:val="20"/>
                <w:szCs w:val="20"/>
                <w:color w:val="auto"/>
              </w:rPr>
            </w:pPr>
            <w:r>
              <w:rPr>
                <w:rFonts w:ascii="Arial" w:cs="Arial" w:eastAsia="Arial" w:hAnsi="Arial"/>
                <w:sz w:val="10"/>
                <w:szCs w:val="10"/>
                <w:b w:val="1"/>
                <w:bCs w:val="1"/>
                <w:color w:val="auto"/>
              </w:rPr>
              <w:t>Fiscal</w:t>
            </w:r>
          </w:p>
        </w:tc>
        <w:tc>
          <w:tcPr>
            <w:tcW w:w="560" w:type="dxa"/>
            <w:vAlign w:val="bottom"/>
            <w:gridSpan w:val="2"/>
          </w:tcPr>
          <w:p>
            <w:pPr>
              <w:ind w:left="100"/>
              <w:spacing w:after="0" w:line="96" w:lineRule="exact"/>
              <w:rPr>
                <w:sz w:val="20"/>
                <w:szCs w:val="20"/>
                <w:color w:val="auto"/>
              </w:rPr>
            </w:pPr>
            <w:r>
              <w:rPr>
                <w:rFonts w:ascii="Arial" w:cs="Arial" w:eastAsia="Arial" w:hAnsi="Arial"/>
                <w:sz w:val="10"/>
                <w:szCs w:val="10"/>
                <w:b w:val="1"/>
                <w:bCs w:val="1"/>
                <w:color w:val="auto"/>
              </w:rPr>
              <w:t>Salary</w:t>
            </w:r>
          </w:p>
        </w:tc>
        <w:tc>
          <w:tcPr>
            <w:tcW w:w="580" w:type="dxa"/>
            <w:vAlign w:val="bottom"/>
            <w:gridSpan w:val="2"/>
          </w:tcPr>
          <w:p>
            <w:pPr>
              <w:ind w:left="100"/>
              <w:spacing w:after="0" w:line="96" w:lineRule="exact"/>
              <w:rPr>
                <w:sz w:val="20"/>
                <w:szCs w:val="20"/>
                <w:color w:val="auto"/>
              </w:rPr>
            </w:pPr>
            <w:r>
              <w:rPr>
                <w:rFonts w:ascii="Arial" w:cs="Arial" w:eastAsia="Arial" w:hAnsi="Arial"/>
                <w:sz w:val="10"/>
                <w:szCs w:val="10"/>
                <w:b w:val="1"/>
                <w:bCs w:val="1"/>
                <w:color w:val="auto"/>
              </w:rPr>
              <w:t>Bonus</w:t>
            </w:r>
          </w:p>
        </w:tc>
        <w:tc>
          <w:tcPr>
            <w:tcW w:w="6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2"/>
              </w:rPr>
              <w:t>Awards</w:t>
            </w:r>
          </w:p>
        </w:tc>
        <w:tc>
          <w:tcPr>
            <w:tcW w:w="64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2"/>
              </w:rPr>
              <w:t>Awards</w:t>
            </w:r>
          </w:p>
        </w:tc>
        <w:tc>
          <w:tcPr>
            <w:tcW w:w="68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83"/>
              </w:rPr>
              <w:t>Compensation</w:t>
            </w:r>
          </w:p>
        </w:tc>
        <w:tc>
          <w:tcPr>
            <w:tcW w:w="700" w:type="dxa"/>
            <w:vAlign w:val="bottom"/>
            <w:gridSpan w:val="3"/>
          </w:tcPr>
          <w:p>
            <w:pPr>
              <w:spacing w:after="0" w:line="96" w:lineRule="exact"/>
              <w:rPr>
                <w:sz w:val="20"/>
                <w:szCs w:val="20"/>
                <w:color w:val="auto"/>
              </w:rPr>
            </w:pPr>
            <w:r>
              <w:rPr>
                <w:rFonts w:ascii="Arial" w:cs="Arial" w:eastAsia="Arial" w:hAnsi="Arial"/>
                <w:sz w:val="10"/>
                <w:szCs w:val="10"/>
                <w:b w:val="1"/>
                <w:bCs w:val="1"/>
                <w:color w:val="auto"/>
                <w:w w:val="97"/>
              </w:rPr>
              <w:t>Compensation</w:t>
            </w:r>
          </w:p>
        </w:tc>
        <w:tc>
          <w:tcPr>
            <w:tcW w:w="60" w:type="dxa"/>
            <w:vAlign w:val="bottom"/>
          </w:tcPr>
          <w:p>
            <w:pPr>
              <w:spacing w:after="0"/>
              <w:rPr>
                <w:sz w:val="8"/>
                <w:szCs w:val="8"/>
                <w:color w:val="auto"/>
              </w:rPr>
            </w:pPr>
          </w:p>
        </w:tc>
        <w:tc>
          <w:tcPr>
            <w:tcW w:w="580" w:type="dxa"/>
            <w:vAlign w:val="bottom"/>
            <w:gridSpan w:val="2"/>
          </w:tcPr>
          <w:p>
            <w:pPr>
              <w:jc w:val="right"/>
              <w:ind w:right="240"/>
              <w:spacing w:after="0" w:line="96"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9"/>
        </w:trPr>
        <w:tc>
          <w:tcPr>
            <w:tcW w:w="840" w:type="dxa"/>
            <w:vAlign w:val="bottom"/>
            <w:tcBorders>
              <w:bottom w:val="single" w:sz="8" w:color="auto"/>
            </w:tcBorders>
          </w:tcPr>
          <w:p>
            <w:pPr>
              <w:spacing w:after="0" w:line="79" w:lineRule="exact"/>
              <w:rPr>
                <w:sz w:val="20"/>
                <w:szCs w:val="20"/>
                <w:color w:val="auto"/>
              </w:rPr>
            </w:pPr>
            <w:r>
              <w:rPr>
                <w:rFonts w:ascii="Arial" w:cs="Arial" w:eastAsia="Arial" w:hAnsi="Arial"/>
                <w:sz w:val="8"/>
                <w:szCs w:val="8"/>
                <w:b w:val="1"/>
                <w:bCs w:val="1"/>
                <w:color w:val="auto"/>
              </w:rPr>
              <w:t>Position</w:t>
            </w:r>
          </w:p>
        </w:tc>
        <w:tc>
          <w:tcPr>
            <w:tcW w:w="1660" w:type="dxa"/>
            <w:vAlign w:val="bottom"/>
          </w:tcPr>
          <w:p>
            <w:pPr>
              <w:spacing w:after="0"/>
              <w:rPr>
                <w:sz w:val="10"/>
                <w:szCs w:val="10"/>
                <w:color w:val="auto"/>
              </w:rPr>
            </w:pPr>
          </w:p>
        </w:tc>
        <w:tc>
          <w:tcPr>
            <w:tcW w:w="380" w:type="dxa"/>
            <w:vAlign w:val="bottom"/>
            <w:gridSpan w:val="2"/>
          </w:tcPr>
          <w:p>
            <w:pPr>
              <w:ind w:left="40"/>
              <w:spacing w:after="0" w:line="79" w:lineRule="exact"/>
              <w:rPr>
                <w:sz w:val="20"/>
                <w:szCs w:val="20"/>
                <w:color w:val="auto"/>
              </w:rPr>
            </w:pPr>
            <w:r>
              <w:rPr>
                <w:rFonts w:ascii="Arial" w:cs="Arial" w:eastAsia="Arial" w:hAnsi="Arial"/>
                <w:sz w:val="8"/>
                <w:szCs w:val="8"/>
                <w:b w:val="1"/>
                <w:bCs w:val="1"/>
                <w:color w:val="auto"/>
              </w:rPr>
              <w:t>Year</w:t>
            </w:r>
          </w:p>
        </w:tc>
        <w:tc>
          <w:tcPr>
            <w:tcW w:w="46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t>
            </w:r>
          </w:p>
        </w:tc>
        <w:tc>
          <w:tcPr>
            <w:tcW w:w="100" w:type="dxa"/>
            <w:vAlign w:val="bottom"/>
          </w:tcPr>
          <w:p>
            <w:pPr>
              <w:spacing w:after="0"/>
              <w:rPr>
                <w:sz w:val="10"/>
                <w:szCs w:val="10"/>
                <w:color w:val="auto"/>
              </w:rPr>
            </w:pPr>
          </w:p>
        </w:tc>
        <w:tc>
          <w:tcPr>
            <w:tcW w:w="46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t>
            </w:r>
            <w:r>
              <w:rPr>
                <w:rFonts w:ascii="Arial" w:cs="Arial" w:eastAsia="Arial" w:hAnsi="Arial"/>
                <w:sz w:val="5"/>
                <w:szCs w:val="5"/>
                <w:b w:val="1"/>
                <w:bCs w:val="1"/>
                <w:color w:val="auto"/>
              </w:rPr>
              <w:t>(1)</w:t>
            </w:r>
          </w:p>
        </w:tc>
        <w:tc>
          <w:tcPr>
            <w:tcW w:w="120" w:type="dxa"/>
            <w:vAlign w:val="bottom"/>
          </w:tcPr>
          <w:p>
            <w:pPr>
              <w:spacing w:after="0"/>
              <w:rPr>
                <w:sz w:val="10"/>
                <w:szCs w:val="10"/>
                <w:color w:val="auto"/>
              </w:rPr>
            </w:pPr>
          </w:p>
        </w:tc>
        <w:tc>
          <w:tcPr>
            <w:tcW w:w="54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t>
            </w:r>
            <w:r>
              <w:rPr>
                <w:rFonts w:ascii="Arial" w:cs="Arial" w:eastAsia="Arial" w:hAnsi="Arial"/>
                <w:sz w:val="5"/>
                <w:szCs w:val="5"/>
                <w:b w:val="1"/>
                <w:bCs w:val="1"/>
                <w:color w:val="auto"/>
              </w:rPr>
              <w:t>(2)</w:t>
            </w:r>
          </w:p>
        </w:tc>
        <w:tc>
          <w:tcPr>
            <w:tcW w:w="120" w:type="dxa"/>
            <w:vAlign w:val="bottom"/>
          </w:tcPr>
          <w:p>
            <w:pPr>
              <w:spacing w:after="0"/>
              <w:rPr>
                <w:sz w:val="10"/>
                <w:szCs w:val="10"/>
                <w:color w:val="auto"/>
              </w:rPr>
            </w:pPr>
          </w:p>
        </w:tc>
        <w:tc>
          <w:tcPr>
            <w:tcW w:w="54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t>
            </w:r>
            <w:r>
              <w:rPr>
                <w:rFonts w:ascii="Arial" w:cs="Arial" w:eastAsia="Arial" w:hAnsi="Arial"/>
                <w:sz w:val="5"/>
                <w:szCs w:val="5"/>
                <w:b w:val="1"/>
                <w:bCs w:val="1"/>
                <w:color w:val="auto"/>
              </w:rPr>
              <w:t>(2)</w:t>
            </w:r>
          </w:p>
        </w:tc>
        <w:tc>
          <w:tcPr>
            <w:tcW w:w="100" w:type="dxa"/>
            <w:vAlign w:val="bottom"/>
          </w:tcPr>
          <w:p>
            <w:pPr>
              <w:spacing w:after="0"/>
              <w:rPr>
                <w:sz w:val="10"/>
                <w:szCs w:val="10"/>
                <w:color w:val="auto"/>
              </w:rPr>
            </w:pPr>
          </w:p>
        </w:tc>
        <w:tc>
          <w:tcPr>
            <w:tcW w:w="60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125"/>
              <w:spacing w:after="0" w:line="79" w:lineRule="exact"/>
              <w:rPr>
                <w:sz w:val="20"/>
                <w:szCs w:val="20"/>
                <w:color w:val="auto"/>
              </w:rPr>
            </w:pPr>
            <w:r>
              <w:rPr>
                <w:rFonts w:ascii="Arial" w:cs="Arial" w:eastAsia="Arial" w:hAnsi="Arial"/>
                <w:sz w:val="8"/>
                <w:szCs w:val="8"/>
                <w:b w:val="1"/>
                <w:bCs w:val="1"/>
                <w:color w:val="auto"/>
              </w:rPr>
              <w:t>($)</w:t>
            </w:r>
            <w:r>
              <w:rPr>
                <w:rFonts w:ascii="Arial" w:cs="Arial" w:eastAsia="Arial" w:hAnsi="Arial"/>
                <w:sz w:val="5"/>
                <w:szCs w:val="5"/>
                <w:b w:val="1"/>
                <w:bCs w:val="1"/>
                <w:color w:val="auto"/>
              </w:rPr>
              <w:t>(3)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85"/>
              <w:spacing w:after="0" w:line="79" w:lineRule="exact"/>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Matthew Gline</w:t>
            </w: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Chief Executive Officer and former Chief</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Financial Officer</w:t>
            </w:r>
            <w:r>
              <w:rPr>
                <w:rFonts w:ascii="Arial" w:cs="Arial" w:eastAsia="Arial" w:hAnsi="Arial"/>
                <w:sz w:val="16"/>
                <w:szCs w:val="16"/>
                <w:color w:val="auto"/>
                <w:vertAlign w:val="superscript"/>
              </w:rPr>
              <w:t>(4)</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2020</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$350,000</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1"/>
              </w:rPr>
              <w:t>$455,000</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$7,497,000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8,310,550</w:t>
            </w:r>
          </w:p>
        </w:tc>
        <w:tc>
          <w:tcPr>
            <w:tcW w:w="0" w:type="dxa"/>
            <w:vAlign w:val="bottom"/>
          </w:tcPr>
          <w:p>
            <w:pPr>
              <w:spacing w:after="0"/>
              <w:rPr>
                <w:sz w:val="1"/>
                <w:szCs w:val="1"/>
                <w:color w:val="auto"/>
              </w:rPr>
            </w:pP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2"/>
                <w:szCs w:val="12"/>
                <w:color w:val="auto"/>
              </w:rPr>
              <w:t>Eric Venker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gridSpan w:val="2"/>
          </w:tcPr>
          <w:p>
            <w:pPr>
              <w:ind w:left="120"/>
              <w:spacing w:after="0"/>
              <w:rPr>
                <w:sz w:val="20"/>
                <w:szCs w:val="20"/>
                <w:color w:val="auto"/>
              </w:rPr>
            </w:pPr>
            <w:r>
              <w:rPr>
                <w:rFonts w:ascii="Arial" w:cs="Arial" w:eastAsia="Arial" w:hAnsi="Arial"/>
                <w:sz w:val="12"/>
                <w:szCs w:val="12"/>
                <w:color w:val="auto"/>
              </w:rPr>
              <w:t>President and Chief Operating Officer</w:t>
            </w:r>
          </w:p>
        </w:tc>
        <w:tc>
          <w:tcPr>
            <w:tcW w:w="380" w:type="dxa"/>
            <w:vAlign w:val="bottom"/>
            <w:gridSpan w:val="2"/>
          </w:tcPr>
          <w:p>
            <w:pPr>
              <w:ind w:left="40"/>
              <w:spacing w:after="0"/>
              <w:rPr>
                <w:sz w:val="20"/>
                <w:szCs w:val="20"/>
                <w:color w:val="auto"/>
              </w:rPr>
            </w:pPr>
            <w:r>
              <w:rPr>
                <w:rFonts w:ascii="Arial" w:cs="Arial" w:eastAsia="Arial" w:hAnsi="Arial"/>
                <w:sz w:val="12"/>
                <w:szCs w:val="12"/>
                <w:color w:val="auto"/>
              </w:rPr>
              <w:t>2020</w:t>
            </w:r>
          </w:p>
        </w:tc>
        <w:tc>
          <w:tcPr>
            <w:tcW w:w="5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$275,000</w:t>
            </w:r>
          </w:p>
        </w:tc>
        <w:tc>
          <w:tcPr>
            <w:tcW w:w="5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$455,000</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$5,734,500</w:t>
            </w:r>
          </w:p>
        </w:tc>
        <w:tc>
          <w:tcPr>
            <w:tcW w:w="6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$3,748,500</w:t>
            </w: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83,550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86"/>
              </w:rPr>
              <w:t>10,296,550</w:t>
            </w:r>
          </w:p>
        </w:tc>
        <w:tc>
          <w:tcPr>
            <w:tcW w:w="0" w:type="dxa"/>
            <w:vAlign w:val="bottom"/>
          </w:tcPr>
          <w:p>
            <w:pPr>
              <w:spacing w:after="0"/>
              <w:rPr>
                <w:sz w:val="1"/>
                <w:szCs w:val="1"/>
                <w:color w:val="auto"/>
              </w:rPr>
            </w:pP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Benjamin Zimmer</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Former President, Roivant Health</w:t>
            </w:r>
            <w:r>
              <w:rPr>
                <w:rFonts w:ascii="Arial" w:cs="Arial" w:eastAsia="Arial" w:hAnsi="Arial"/>
                <w:sz w:val="16"/>
                <w:szCs w:val="16"/>
                <w:color w:val="auto"/>
                <w:vertAlign w:val="superscript"/>
              </w:rPr>
              <w:t>(5)</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2020</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$350,000</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1"/>
              </w:rPr>
              <w:t>$455,000</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$5,247,900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6,052,900</w:t>
            </w:r>
          </w:p>
        </w:tc>
        <w:tc>
          <w:tcPr>
            <w:tcW w:w="0" w:type="dxa"/>
            <w:vAlign w:val="bottom"/>
          </w:tcPr>
          <w:p>
            <w:pPr>
              <w:spacing w:after="0"/>
              <w:rPr>
                <w:sz w:val="1"/>
                <w:szCs w:val="1"/>
                <w:color w:val="auto"/>
              </w:rPr>
            </w:pP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2"/>
                <w:szCs w:val="12"/>
                <w:color w:val="auto"/>
              </w:rPr>
              <w:t>Vivek Ramaswamy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00" w:type="dxa"/>
            <w:vAlign w:val="bottom"/>
            <w:gridSpan w:val="2"/>
          </w:tcPr>
          <w:p>
            <w:pPr>
              <w:ind w:left="120"/>
              <w:spacing w:after="0"/>
              <w:rPr>
                <w:sz w:val="20"/>
                <w:szCs w:val="20"/>
                <w:color w:val="auto"/>
              </w:rPr>
            </w:pPr>
            <w:r>
              <w:rPr>
                <w:rFonts w:ascii="Arial" w:cs="Arial" w:eastAsia="Arial" w:hAnsi="Arial"/>
                <w:sz w:val="12"/>
                <w:szCs w:val="12"/>
                <w:color w:val="auto"/>
              </w:rPr>
              <w:t>Founder, Executive Chairman and Former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500" w:type="dxa"/>
            <w:vAlign w:val="bottom"/>
            <w:gridSpan w:val="2"/>
          </w:tcPr>
          <w:p>
            <w:pPr>
              <w:ind w:left="120"/>
              <w:spacing w:after="0"/>
              <w:rPr>
                <w:sz w:val="20"/>
                <w:szCs w:val="20"/>
                <w:color w:val="auto"/>
              </w:rPr>
            </w:pPr>
            <w:r>
              <w:rPr>
                <w:rFonts w:ascii="Arial" w:cs="Arial" w:eastAsia="Arial" w:hAnsi="Arial"/>
                <w:sz w:val="12"/>
                <w:szCs w:val="12"/>
                <w:color w:val="auto"/>
              </w:rPr>
              <w:t>Chief Executive Officer</w:t>
            </w:r>
            <w:r>
              <w:rPr>
                <w:rFonts w:ascii="Arial" w:cs="Arial" w:eastAsia="Arial" w:hAnsi="Arial"/>
                <w:sz w:val="16"/>
                <w:szCs w:val="16"/>
                <w:color w:val="auto"/>
                <w:vertAlign w:val="superscript"/>
              </w:rPr>
              <w:t>(4)</w:t>
            </w:r>
          </w:p>
        </w:tc>
        <w:tc>
          <w:tcPr>
            <w:tcW w:w="380" w:type="dxa"/>
            <w:vAlign w:val="bottom"/>
            <w:gridSpan w:val="2"/>
          </w:tcPr>
          <w:p>
            <w:pPr>
              <w:ind w:left="40"/>
              <w:spacing w:after="0"/>
              <w:rPr>
                <w:sz w:val="20"/>
                <w:szCs w:val="20"/>
                <w:color w:val="auto"/>
              </w:rPr>
            </w:pPr>
            <w:r>
              <w:rPr>
                <w:rFonts w:ascii="Arial" w:cs="Arial" w:eastAsia="Arial" w:hAnsi="Arial"/>
                <w:sz w:val="12"/>
                <w:szCs w:val="12"/>
                <w:color w:val="auto"/>
              </w:rPr>
              <w:t>2020</w:t>
            </w:r>
          </w:p>
        </w:tc>
        <w:tc>
          <w:tcPr>
            <w:tcW w:w="5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$350,000</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6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11,800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361,800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15875</wp:posOffset>
            </wp:positionV>
            <wp:extent cx="51435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32" w:lineRule="exact"/>
        <w:rPr>
          <w:sz w:val="20"/>
          <w:szCs w:val="20"/>
          <w:color w:val="auto"/>
        </w:rPr>
      </w:pPr>
    </w:p>
    <w:p>
      <w:pPr>
        <w:ind w:left="2260" w:right="939" w:hanging="288"/>
        <w:spacing w:after="0" w:line="309" w:lineRule="auto"/>
        <w:tabs>
          <w:tab w:leader="none" w:pos="2260" w:val="left"/>
        </w:tabs>
        <w:numPr>
          <w:ilvl w:val="0"/>
          <w:numId w:val="139"/>
        </w:numPr>
        <w:rPr>
          <w:rFonts w:ascii="Arial" w:cs="Arial" w:eastAsia="Arial" w:hAnsi="Arial"/>
          <w:sz w:val="10"/>
          <w:szCs w:val="10"/>
          <w:color w:val="auto"/>
        </w:rPr>
      </w:pPr>
      <w:r>
        <w:rPr>
          <w:rFonts w:ascii="Arial" w:cs="Arial" w:eastAsia="Arial" w:hAnsi="Arial"/>
          <w:sz w:val="10"/>
          <w:szCs w:val="10"/>
          <w:color w:val="auto"/>
        </w:rPr>
        <w:t>The amounts reported in this column reflect the annual cash discretionary performance bonus paid to each of the NEOs in respect of Fiscal 2020, which were earned and paid based on an assessment by our board of directors of overall company and individual performance for Fiscal 2020.</w:t>
      </w:r>
    </w:p>
    <w:p>
      <w:pPr>
        <w:ind w:left="2260" w:right="939" w:hanging="288"/>
        <w:spacing w:after="0" w:line="309" w:lineRule="auto"/>
        <w:tabs>
          <w:tab w:leader="none" w:pos="2260" w:val="left"/>
        </w:tabs>
        <w:numPr>
          <w:ilvl w:val="0"/>
          <w:numId w:val="139"/>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aggregate grant date fair value of the awards of restricted stock units (“RSUs”) and nonqualified stock options granted to each of the NEOs during Fiscal 2020 under the Roivant Sciences Ltd. Amended and Restated 2015 Equity Incentive Plan (“2015 EIP”) and as described in further detail below. The grant date fair value was calculated in accordance with FASB ASC Topic 718, excluding the effect of estimated forfeitures. The amounts reported for any awards subject to performance conditions were calculated based on the probable outcome of the performance conditions as of the grant date, consistent with the estimate of aggregate compensation cost to be recognized over the service period determined as of the grant date under FASB ASC Topic 718, excluding the effect of estimated forfeitures. The assumptions used in calculating such grant date fair value are set forth in the notes to Roivant’s audited consolidated financial statements included elsewhere in this prospectus. Amounts reported do not reflect the actual economic value that may be realized by the applicable NEO.</w:t>
      </w:r>
    </w:p>
    <w:p>
      <w:pPr>
        <w:spacing w:after="0" w:line="5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259</w:t>
      </w:r>
    </w:p>
    <w:p>
      <w:pPr>
        <w:sectPr>
          <w:pgSz w:w="11900" w:h="16838" w:orient="portrait"/>
          <w:cols w:equalWidth="0" w:num="1">
            <w:col w:w="10159"/>
          </w:cols>
          <w:pgMar w:left="300" w:top="372" w:right="1440" w:bottom="1440" w:gutter="0" w:footer="0" w:header="0"/>
        </w:sectPr>
      </w:pPr>
    </w:p>
    <w:bookmarkStart w:id="267" w:name="page268"/>
    <w:bookmarkEnd w:id="2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979"/>
        <w:spacing w:after="0" w:line="276" w:lineRule="auto"/>
        <w:rPr>
          <w:sz w:val="20"/>
          <w:szCs w:val="20"/>
          <w:color w:val="auto"/>
        </w:rPr>
      </w:pPr>
      <w:r>
        <w:rPr>
          <w:rFonts w:ascii="Arial" w:cs="Arial" w:eastAsia="Arial" w:hAnsi="Arial"/>
          <w:sz w:val="12"/>
          <w:szCs w:val="12"/>
          <w:color w:val="auto"/>
        </w:rPr>
        <w:t>The grant date fair value of the RSUs granted to Dr. Venker in Fiscal 2020, if the maximum level of the applicable performance conditions were achieved, is $5,734,500.</w:t>
      </w:r>
    </w:p>
    <w:p>
      <w:pPr>
        <w:spacing w:after="0" w:line="43" w:lineRule="exact"/>
        <w:rPr>
          <w:sz w:val="20"/>
          <w:szCs w:val="20"/>
          <w:color w:val="auto"/>
        </w:rPr>
      </w:pPr>
    </w:p>
    <w:p>
      <w:pPr>
        <w:ind w:left="2260" w:right="1199"/>
        <w:spacing w:after="0" w:line="281" w:lineRule="auto"/>
        <w:rPr>
          <w:sz w:val="20"/>
          <w:szCs w:val="20"/>
          <w:color w:val="auto"/>
        </w:rPr>
      </w:pPr>
      <w:r>
        <w:rPr>
          <w:rFonts w:ascii="Arial" w:cs="Arial" w:eastAsia="Arial" w:hAnsi="Arial"/>
          <w:sz w:val="11"/>
          <w:szCs w:val="11"/>
          <w:color w:val="auto"/>
        </w:rPr>
        <w:t>The following are the grant date fair values of the stock options granted to the NEOs in Fiscal 2020, if the maximum level of the applicable performance conditions were achieved: Mr. Gline ($7,497,000), Dr. Venker ($3,748,500) and Mr. Zimmer ($5,247,900).</w:t>
      </w:r>
    </w:p>
    <w:p>
      <w:pPr>
        <w:spacing w:after="0" w:line="1" w:lineRule="exact"/>
        <w:rPr>
          <w:sz w:val="20"/>
          <w:szCs w:val="20"/>
          <w:color w:val="auto"/>
        </w:rPr>
      </w:pPr>
    </w:p>
    <w:p>
      <w:pPr>
        <w:ind w:left="2260" w:hanging="288"/>
        <w:spacing w:after="0"/>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amounts reported for Fiscal 2020 in this column reflect the following:</w:t>
      </w:r>
    </w:p>
    <w:p>
      <w:pPr>
        <w:spacing w:after="0" w:line="78" w:lineRule="exact"/>
        <w:rPr>
          <w:rFonts w:ascii="Arial" w:cs="Arial" w:eastAsia="Arial" w:hAnsi="Arial"/>
          <w:sz w:val="12"/>
          <w:szCs w:val="12"/>
          <w:color w:val="auto"/>
        </w:rPr>
      </w:pPr>
    </w:p>
    <w:p>
      <w:pPr>
        <w:ind w:left="2620" w:hanging="360"/>
        <w:spacing w:after="0"/>
        <w:tabs>
          <w:tab w:leader="none" w:pos="262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For Mr. Gline, reflects company matching contributions under RSI’s 401(k) plan ($8,550);</w:t>
      </w:r>
    </w:p>
    <w:p>
      <w:pPr>
        <w:spacing w:after="0" w:line="87" w:lineRule="exact"/>
        <w:rPr>
          <w:rFonts w:ascii="Arial" w:cs="Arial" w:eastAsia="Arial" w:hAnsi="Arial"/>
          <w:sz w:val="12"/>
          <w:szCs w:val="12"/>
          <w:color w:val="auto"/>
        </w:rPr>
      </w:pPr>
    </w:p>
    <w:p>
      <w:pPr>
        <w:ind w:left="2620" w:right="859" w:hanging="360"/>
        <w:spacing w:after="0" w:line="276" w:lineRule="auto"/>
        <w:tabs>
          <w:tab w:leader="none" w:pos="262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For Dr. Venker, reflects (i) company matching contributions under RSI’s 401(k) plan ($8,550) and (ii) fees received by Dr. Venker in Fiscal 2020 for his service on the board of directors of certain private company affiliates of Roivant ($75,000); and</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For Mr. Ramaswamy, reflects company matching contributions under RSI’s 401(k) plan ($11,800).</w:t>
      </w:r>
    </w:p>
    <w:p>
      <w:pPr>
        <w:spacing w:after="0" w:line="14" w:lineRule="exact"/>
        <w:rPr>
          <w:rFonts w:ascii="Arial" w:cs="Arial" w:eastAsia="Arial" w:hAnsi="Arial"/>
          <w:sz w:val="12"/>
          <w:szCs w:val="12"/>
          <w:color w:val="auto"/>
        </w:rPr>
      </w:pPr>
    </w:p>
    <w:p>
      <w:pPr>
        <w:ind w:left="2260" w:right="879" w:hanging="288"/>
        <w:spacing w:after="0" w:line="250" w:lineRule="auto"/>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Effective January 26, 2021, Mr. Ramaswamy ceased serving as Roivant’s Chief Executive Officer and transitioned to his current role as Executive Chairman. In addition, effective as of such date, Mr. Gline, Roivant’s then-current Chief Financial Officer, was appointed to serve as Chief Executive Officer. Effective as of September 28, 2021, Mr. Gline ceased serving as Roivant’s Chief Financial Officer upon the appointment of Richard Pulik as Chief Financial Officer.</w:t>
      </w:r>
    </w:p>
    <w:p>
      <w:pPr>
        <w:spacing w:after="0" w:line="1" w:lineRule="exact"/>
        <w:rPr>
          <w:rFonts w:ascii="Arial" w:cs="Arial" w:eastAsia="Arial" w:hAnsi="Arial"/>
          <w:sz w:val="12"/>
          <w:szCs w:val="12"/>
          <w:color w:val="auto"/>
        </w:rPr>
      </w:pPr>
    </w:p>
    <w:p>
      <w:pPr>
        <w:ind w:left="2260" w:hanging="288"/>
        <w:spacing w:after="0"/>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Mr. Zimmer has transferred from the role of President, Roivant Health to the role of Chief Executive Officer of a newly-formed Vant.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Outstanding Equity Awards at Fiscal Year End</w:t>
      </w:r>
    </w:p>
    <w:p>
      <w:pPr>
        <w:spacing w:after="0" w:line="82"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following table sets forth information concerning outstanding equity awards for the NEOs as of the end of Fiscal 2020. At the consummation of the Business Combination, each outstanding equity award reflected in the table below was equitably adjusted in accordance with the terms of the Business Combination Agreement and the 2015 EIP. The amounts set forth in the table do not reflect these adjustments. For additional details regarding the treatment of outstanding equity awards held by the NEOs in connection with the Business Combination, see “Treatment of Equity Awards in Connection with the Business Combination” below.</w:t>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Name</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Matthew 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Eric Venker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OUTSTANDING EQUITY AWARDS AT 2020 FISCAL YEAR END</w:t>
      </w:r>
      <w:r>
        <w:rPr>
          <w:rFonts w:ascii="Arial" w:cs="Arial" w:eastAsia="Arial" w:hAnsi="Arial"/>
          <w:sz w:val="16"/>
          <w:szCs w:val="16"/>
          <w:b w:val="1"/>
          <w:bCs w:val="1"/>
          <w:color w:val="auto"/>
          <w:vertAlign w:val="superscript"/>
        </w:rPr>
        <w:t>(1)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9"/>
              </w:rPr>
              <w:t>Option Awards</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4"/>
          </w:tcPr>
          <w:p>
            <w:pPr>
              <w:ind w:left="600"/>
              <w:spacing w:after="0"/>
              <w:rPr>
                <w:sz w:val="20"/>
                <w:szCs w:val="20"/>
                <w:color w:val="auto"/>
              </w:rPr>
            </w:pPr>
            <w:r>
              <w:rPr>
                <w:rFonts w:ascii="Arial" w:cs="Arial" w:eastAsia="Arial" w:hAnsi="Arial"/>
                <w:sz w:val="10"/>
                <w:szCs w:val="10"/>
                <w:b w:val="1"/>
                <w:bCs w:val="1"/>
                <w:color w:val="auto"/>
              </w:rPr>
              <w:t>Stock Awards</w:t>
            </w:r>
          </w:p>
        </w:tc>
      </w:tr>
      <w:tr>
        <w:trPr>
          <w:trHeight w:val="74"/>
        </w:trPr>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Numbers of</w:t>
            </w:r>
          </w:p>
        </w:tc>
        <w:tc>
          <w:tcPr>
            <w:tcW w:w="840" w:type="dxa"/>
            <w:vAlign w:val="bottom"/>
            <w:tcBorders>
              <w:top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Numbers of</w:t>
            </w:r>
          </w:p>
        </w:tc>
        <w:tc>
          <w:tcPr>
            <w:tcW w:w="3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99"/>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Securities</w:t>
            </w:r>
          </w:p>
        </w:tc>
        <w:tc>
          <w:tcPr>
            <w:tcW w:w="8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Securities</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Underlying</w:t>
            </w:r>
          </w:p>
        </w:tc>
        <w:tc>
          <w:tcPr>
            <w:tcW w:w="8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1"/>
              </w:rPr>
              <w:t>Underlying</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Option</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Number of</w:t>
            </w:r>
          </w:p>
        </w:tc>
        <w:tc>
          <w:tcPr>
            <w:tcW w:w="880" w:type="dxa"/>
            <w:vAlign w:val="bottom"/>
            <w:gridSpan w:val="2"/>
          </w:tcPr>
          <w:p>
            <w:pPr>
              <w:jc w:val="right"/>
              <w:ind w:right="160"/>
              <w:spacing w:after="0" w:line="99" w:lineRule="exact"/>
              <w:rPr>
                <w:sz w:val="20"/>
                <w:szCs w:val="20"/>
                <w:color w:val="auto"/>
              </w:rPr>
            </w:pPr>
            <w:r>
              <w:rPr>
                <w:rFonts w:ascii="Arial" w:cs="Arial" w:eastAsia="Arial" w:hAnsi="Arial"/>
                <w:sz w:val="10"/>
                <w:szCs w:val="10"/>
                <w:b w:val="1"/>
                <w:bCs w:val="1"/>
                <w:color w:val="auto"/>
                <w:w w:val="96"/>
              </w:rPr>
              <w:t>Market value of</w:t>
            </w:r>
          </w:p>
        </w:tc>
      </w:tr>
      <w:tr>
        <w:trPr>
          <w:trHeight w:val="99"/>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3"/>
              </w:rPr>
              <w:t>Unexercised</w:t>
            </w: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3"/>
              </w:rPr>
              <w:t>Unexercised</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Exercise</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shares or units of</w:t>
            </w:r>
          </w:p>
        </w:tc>
        <w:tc>
          <w:tcPr>
            <w:tcW w:w="8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3"/>
              </w:rPr>
              <w:t>shares or units of</w:t>
            </w:r>
          </w:p>
        </w:tc>
      </w:tr>
      <w:tr>
        <w:trPr>
          <w:trHeight w:val="99"/>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Options (#)</w:t>
            </w: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Options (#)</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Price</w:t>
            </w:r>
          </w:p>
        </w:tc>
        <w:tc>
          <w:tcPr>
            <w:tcW w:w="82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rPr>
              <w:t>Option</w:t>
            </w: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stock that have</w:t>
            </w:r>
          </w:p>
        </w:tc>
        <w:tc>
          <w:tcPr>
            <w:tcW w:w="8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stock that have not</w:t>
            </w:r>
          </w:p>
        </w:tc>
      </w:tr>
      <w:tr>
        <w:trPr>
          <w:trHeight w:val="113"/>
        </w:trPr>
        <w:tc>
          <w:tcPr>
            <w:tcW w:w="7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Grant Date</w:t>
            </w:r>
          </w:p>
        </w:tc>
        <w:tc>
          <w:tcPr>
            <w:tcW w:w="6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Exercisable</w:t>
            </w:r>
          </w:p>
        </w:tc>
        <w:tc>
          <w:tcPr>
            <w:tcW w:w="8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2"/>
              </w:rPr>
              <w:t>Unexercisable</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260" w:type="dxa"/>
            <w:vAlign w:val="bottom"/>
          </w:tcPr>
          <w:p>
            <w:pPr>
              <w:spacing w:after="0"/>
              <w:rPr>
                <w:sz w:val="9"/>
                <w:szCs w:val="9"/>
                <w:color w:val="auto"/>
              </w:rPr>
            </w:pPr>
          </w:p>
        </w:tc>
        <w:tc>
          <w:tcPr>
            <w:tcW w:w="82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7"/>
              </w:rPr>
              <w:t>Expiration Date</w:t>
            </w:r>
          </w:p>
        </w:tc>
        <w:tc>
          <w:tcPr>
            <w:tcW w:w="9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6"/>
              </w:rPr>
              <w:t>not vested (#)</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1"/>
              </w:rPr>
              <w:t>vested ($)</w:t>
            </w:r>
          </w:p>
        </w:tc>
      </w:tr>
      <w:tr>
        <w:trPr>
          <w:trHeight w:val="124"/>
        </w:trPr>
        <w:tc>
          <w:tcPr>
            <w:tcW w:w="5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4/20/2016</w:t>
            </w:r>
          </w:p>
        </w:tc>
        <w:tc>
          <w:tcPr>
            <w:tcW w:w="160" w:type="dxa"/>
            <w:vAlign w:val="bottom"/>
          </w:tcPr>
          <w:p>
            <w:pPr>
              <w:spacing w:after="0"/>
              <w:rPr>
                <w:sz w:val="10"/>
                <w:szCs w:val="10"/>
                <w:color w:val="auto"/>
              </w:rPr>
            </w:pPr>
          </w:p>
        </w:tc>
        <w:tc>
          <w:tcPr>
            <w:tcW w:w="500" w:type="dxa"/>
            <w:vAlign w:val="bottom"/>
            <w:tcBorders>
              <w:top w:val="single" w:sz="8" w:color="auto"/>
            </w:tcBorders>
          </w:tcPr>
          <w:p>
            <w:pPr>
              <w:ind w:left="180"/>
              <w:spacing w:after="0" w:line="124" w:lineRule="exact"/>
              <w:rPr>
                <w:sz w:val="20"/>
                <w:szCs w:val="20"/>
                <w:color w:val="auto"/>
              </w:rPr>
            </w:pPr>
            <w:r>
              <w:rPr>
                <w:rFonts w:ascii="Arial" w:cs="Arial" w:eastAsia="Arial" w:hAnsi="Arial"/>
                <w:sz w:val="12"/>
                <w:szCs w:val="12"/>
                <w:color w:val="auto"/>
                <w:w w:val="81"/>
              </w:rPr>
              <w:t>80,000</w:t>
            </w:r>
          </w:p>
        </w:tc>
        <w:tc>
          <w:tcPr>
            <w:tcW w:w="180" w:type="dxa"/>
            <w:vAlign w:val="bottom"/>
          </w:tcPr>
          <w:p>
            <w:pPr>
              <w:spacing w:after="0"/>
              <w:rPr>
                <w:sz w:val="10"/>
                <w:szCs w:val="10"/>
                <w:color w:val="auto"/>
              </w:rPr>
            </w:pPr>
          </w:p>
        </w:tc>
        <w:tc>
          <w:tcPr>
            <w:tcW w:w="560" w:type="dxa"/>
            <w:vAlign w:val="bottom"/>
            <w:tcBorders>
              <w:top w:val="single" w:sz="8" w:color="auto"/>
            </w:tcBorders>
          </w:tcPr>
          <w:p>
            <w:pPr>
              <w:ind w:left="380"/>
              <w:spacing w:after="0" w:line="124"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3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84"/>
              </w:rPr>
              <w:t>$ 11.87</w:t>
            </w:r>
          </w:p>
        </w:tc>
        <w:tc>
          <w:tcPr>
            <w:tcW w:w="26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4/19/2026</w:t>
            </w:r>
          </w:p>
        </w:tc>
        <w:tc>
          <w:tcPr>
            <w:tcW w:w="160" w:type="dxa"/>
            <w:vAlign w:val="bottom"/>
          </w:tcPr>
          <w:p>
            <w:pPr>
              <w:spacing w:after="0"/>
              <w:rPr>
                <w:sz w:val="10"/>
                <w:szCs w:val="10"/>
                <w:color w:val="auto"/>
              </w:rPr>
            </w:pPr>
          </w:p>
        </w:tc>
        <w:tc>
          <w:tcPr>
            <w:tcW w:w="720" w:type="dxa"/>
            <w:vAlign w:val="bottom"/>
            <w:tcBorders>
              <w:top w:val="single" w:sz="8" w:color="auto"/>
            </w:tcBorders>
          </w:tcPr>
          <w:p>
            <w:pPr>
              <w:ind w:left="540"/>
              <w:spacing w:after="0" w:line="124"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780" w:type="dxa"/>
            <w:vAlign w:val="bottom"/>
            <w:tcBorders>
              <w:top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5/21/2018</w:t>
            </w:r>
          </w:p>
        </w:tc>
        <w:tc>
          <w:tcPr>
            <w:tcW w:w="680" w:type="dxa"/>
            <w:vAlign w:val="bottom"/>
            <w:gridSpan w:val="2"/>
          </w:tcPr>
          <w:p>
            <w:pPr>
              <w:ind w:left="180"/>
              <w:spacing w:after="0"/>
              <w:rPr>
                <w:sz w:val="20"/>
                <w:szCs w:val="20"/>
                <w:color w:val="auto"/>
              </w:rPr>
            </w:pPr>
            <w:r>
              <w:rPr>
                <w:rFonts w:ascii="Arial" w:cs="Arial" w:eastAsia="Arial" w:hAnsi="Arial"/>
                <w:sz w:val="12"/>
                <w:szCs w:val="12"/>
                <w:color w:val="auto"/>
              </w:rPr>
              <w:t>49,856</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29,152</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$ 23.36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5/20/2028</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5/20/2019</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320"/>
              <w:spacing w:after="0" w:line="144"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perscript"/>
              </w:rPr>
              <w:t>(3)</w:t>
            </w:r>
          </w:p>
        </w:tc>
        <w:tc>
          <w:tcPr>
            <w:tcW w:w="880" w:type="dxa"/>
            <w:vAlign w:val="bottom"/>
            <w:gridSpan w:val="2"/>
          </w:tcPr>
          <w:p>
            <w:pPr>
              <w:jc w:val="right"/>
              <w:spacing w:after="0" w:line="144" w:lineRule="exact"/>
              <w:rPr>
                <w:sz w:val="20"/>
                <w:szCs w:val="20"/>
                <w:color w:val="auto"/>
              </w:rPr>
            </w:pPr>
            <w:r>
              <w:rPr>
                <w:rFonts w:ascii="Arial" w:cs="Arial" w:eastAsia="Arial" w:hAnsi="Arial"/>
                <w:sz w:val="12"/>
                <w:szCs w:val="12"/>
                <w:color w:val="auto"/>
              </w:rPr>
              <w:t>9,625,000</w:t>
            </w:r>
            <w:r>
              <w:rPr>
                <w:rFonts w:ascii="Arial" w:cs="Arial" w:eastAsia="Arial" w:hAnsi="Arial"/>
                <w:sz w:val="16"/>
                <w:szCs w:val="16"/>
                <w:color w:val="auto"/>
                <w:vertAlign w:val="superscript"/>
              </w:rPr>
              <w:t>(3)</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466,035</w:t>
            </w:r>
            <w:r>
              <w:rPr>
                <w:rFonts w:ascii="Arial" w:cs="Arial" w:eastAsia="Arial" w:hAnsi="Arial"/>
                <w:sz w:val="16"/>
                <w:szCs w:val="16"/>
                <w:color w:val="auto"/>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$ 37.10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776,725</w:t>
            </w:r>
            <w:r>
              <w:rPr>
                <w:rFonts w:ascii="Arial" w:cs="Arial" w:eastAsia="Arial" w:hAnsi="Arial"/>
                <w:sz w:val="16"/>
                <w:szCs w:val="16"/>
                <w:color w:val="auto"/>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$ 37.10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466,035</w:t>
            </w:r>
            <w:r>
              <w:rPr>
                <w:rFonts w:ascii="Arial" w:cs="Arial" w:eastAsia="Arial" w:hAnsi="Arial"/>
                <w:sz w:val="16"/>
                <w:szCs w:val="16"/>
                <w:color w:val="auto"/>
                <w:vertAlign w:val="superscript"/>
              </w:rPr>
              <w:t>(5)</w:t>
            </w:r>
          </w:p>
        </w:tc>
        <w:tc>
          <w:tcPr>
            <w:tcW w:w="620" w:type="dxa"/>
            <w:vAlign w:val="bottom"/>
            <w:gridSpan w:val="2"/>
          </w:tcPr>
          <w:p>
            <w:pPr>
              <w:spacing w:after="0" w:line="144" w:lineRule="exact"/>
              <w:rPr>
                <w:sz w:val="20"/>
                <w:szCs w:val="20"/>
                <w:color w:val="auto"/>
              </w:rPr>
            </w:pPr>
            <w:r>
              <w:rPr>
                <w:rFonts w:ascii="Arial" w:cs="Arial" w:eastAsia="Arial" w:hAnsi="Arial"/>
                <w:sz w:val="12"/>
                <w:szCs w:val="12"/>
                <w:color w:val="auto"/>
              </w:rPr>
              <w:t>$ 18.70</w:t>
            </w:r>
            <w:r>
              <w:rPr>
                <w:rFonts w:ascii="Arial" w:cs="Arial" w:eastAsia="Arial" w:hAnsi="Arial"/>
                <w:sz w:val="16"/>
                <w:szCs w:val="16"/>
                <w:color w:val="auto"/>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776,725</w:t>
            </w:r>
            <w:r>
              <w:rPr>
                <w:rFonts w:ascii="Arial" w:cs="Arial" w:eastAsia="Arial" w:hAnsi="Arial"/>
                <w:sz w:val="16"/>
                <w:szCs w:val="16"/>
                <w:color w:val="auto"/>
                <w:vertAlign w:val="superscript"/>
              </w:rPr>
              <w:t>(5)</w:t>
            </w:r>
          </w:p>
        </w:tc>
        <w:tc>
          <w:tcPr>
            <w:tcW w:w="620" w:type="dxa"/>
            <w:vAlign w:val="bottom"/>
            <w:gridSpan w:val="2"/>
          </w:tcPr>
          <w:p>
            <w:pPr>
              <w:spacing w:after="0" w:line="144" w:lineRule="exact"/>
              <w:rPr>
                <w:sz w:val="20"/>
                <w:szCs w:val="20"/>
                <w:color w:val="auto"/>
              </w:rPr>
            </w:pPr>
            <w:r>
              <w:rPr>
                <w:rFonts w:ascii="Arial" w:cs="Arial" w:eastAsia="Arial" w:hAnsi="Arial"/>
                <w:sz w:val="12"/>
                <w:szCs w:val="12"/>
                <w:color w:val="auto"/>
              </w:rPr>
              <w:t>$ 33.63</w:t>
            </w:r>
            <w:r>
              <w:rPr>
                <w:rFonts w:ascii="Arial" w:cs="Arial" w:eastAsia="Arial" w:hAnsi="Arial"/>
                <w:sz w:val="16"/>
                <w:szCs w:val="16"/>
                <w:color w:val="auto"/>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300,000</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$ 38.23</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5/19/2030</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11/20/2017</w:t>
            </w:r>
          </w:p>
        </w:tc>
        <w:tc>
          <w:tcPr>
            <w:tcW w:w="680" w:type="dxa"/>
            <w:vAlign w:val="bottom"/>
            <w:gridSpan w:val="2"/>
          </w:tcPr>
          <w:p>
            <w:pPr>
              <w:ind w:left="180"/>
              <w:spacing w:after="0"/>
              <w:rPr>
                <w:sz w:val="20"/>
                <w:szCs w:val="20"/>
                <w:color w:val="auto"/>
              </w:rPr>
            </w:pPr>
            <w:r>
              <w:rPr>
                <w:rFonts w:ascii="Arial" w:cs="Arial" w:eastAsia="Arial" w:hAnsi="Arial"/>
                <w:sz w:val="12"/>
                <w:szCs w:val="12"/>
                <w:color w:val="auto"/>
              </w:rPr>
              <w:t>74,400</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14,564</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$ 21.80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11/19/2027</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5/21/2018</w:t>
            </w:r>
          </w:p>
        </w:tc>
        <w:tc>
          <w:tcPr>
            <w:tcW w:w="680" w:type="dxa"/>
            <w:vAlign w:val="bottom"/>
            <w:gridSpan w:val="2"/>
          </w:tcPr>
          <w:p>
            <w:pPr>
              <w:ind w:left="180"/>
              <w:spacing w:after="0"/>
              <w:rPr>
                <w:sz w:val="20"/>
                <w:szCs w:val="20"/>
                <w:color w:val="auto"/>
              </w:rPr>
            </w:pPr>
            <w:r>
              <w:rPr>
                <w:rFonts w:ascii="Arial" w:cs="Arial" w:eastAsia="Arial" w:hAnsi="Arial"/>
                <w:sz w:val="12"/>
                <w:szCs w:val="12"/>
                <w:color w:val="auto"/>
              </w:rPr>
              <w:t>12,510</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11,652</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$ 23.36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5/20/2028</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5/20/2019</w:t>
            </w:r>
          </w:p>
        </w:tc>
        <w:tc>
          <w:tcPr>
            <w:tcW w:w="680" w:type="dxa"/>
            <w:vAlign w:val="bottom"/>
            <w:gridSpan w:val="2"/>
          </w:tcPr>
          <w:p>
            <w:pPr>
              <w:ind w:left="180"/>
              <w:spacing w:after="0"/>
              <w:rPr>
                <w:sz w:val="20"/>
                <w:szCs w:val="20"/>
                <w:color w:val="auto"/>
              </w:rPr>
            </w:pPr>
            <w:r>
              <w:rPr>
                <w:rFonts w:ascii="Arial" w:cs="Arial" w:eastAsia="Arial" w:hAnsi="Arial"/>
                <w:sz w:val="12"/>
                <w:szCs w:val="12"/>
                <w:color w:val="auto"/>
              </w:rPr>
              <w:t>45,840</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54,160</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$ 32.07</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5/19/2029</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403,897</w:t>
            </w:r>
            <w:r>
              <w:rPr>
                <w:rFonts w:ascii="Arial" w:cs="Arial" w:eastAsia="Arial" w:hAnsi="Arial"/>
                <w:sz w:val="16"/>
                <w:szCs w:val="16"/>
                <w:color w:val="auto"/>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$ 46.38</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44"/>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150,000</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$ 38.23</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5/19/2030</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218"/>
        </w:trPr>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320"/>
              <w:spacing w:after="0"/>
              <w:rPr>
                <w:sz w:val="20"/>
                <w:szCs w:val="20"/>
                <w:color w:val="auto"/>
              </w:rPr>
            </w:pPr>
            <w:r>
              <w:rPr>
                <w:rFonts w:ascii="Arial" w:cs="Arial" w:eastAsia="Arial" w:hAnsi="Arial"/>
                <w:sz w:val="12"/>
                <w:szCs w:val="12"/>
                <w:color w:val="auto"/>
              </w:rPr>
              <w:t>150,000</w:t>
            </w:r>
            <w:r>
              <w:rPr>
                <w:rFonts w:ascii="Arial" w:cs="Arial" w:eastAsia="Arial" w:hAnsi="Arial"/>
                <w:sz w:val="16"/>
                <w:szCs w:val="16"/>
                <w:color w:val="auto"/>
                <w:vertAlign w:val="superscript"/>
              </w:rPr>
              <w:t>(3)</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5,775,000</w:t>
            </w:r>
            <w:r>
              <w:rPr>
                <w:rFonts w:ascii="Arial" w:cs="Arial" w:eastAsia="Arial" w:hAnsi="Arial"/>
                <w:sz w:val="16"/>
                <w:szCs w:val="16"/>
                <w:color w:val="auto"/>
                <w:vertAlign w:val="superscript"/>
              </w:rPr>
              <w:t>(3)</w:t>
            </w:r>
          </w:p>
        </w:tc>
      </w:tr>
      <w:tr>
        <w:trPr>
          <w:trHeight w:val="178"/>
        </w:trPr>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260</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-1439545</wp:posOffset>
            </wp:positionV>
            <wp:extent cx="4663440" cy="971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663440" cy="971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-1250950</wp:posOffset>
            </wp:positionV>
            <wp:extent cx="4663440" cy="914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663440" cy="9144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-1068070</wp:posOffset>
            </wp:positionV>
            <wp:extent cx="4663440" cy="914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663440" cy="9144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-885190</wp:posOffset>
            </wp:positionV>
            <wp:extent cx="4663440" cy="914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663440" cy="9144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-702310</wp:posOffset>
            </wp:positionV>
            <wp:extent cx="4663440" cy="914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663440" cy="9144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-519430</wp:posOffset>
            </wp:positionV>
            <wp:extent cx="4663440" cy="914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63440" cy="9144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-336550</wp:posOffset>
            </wp:positionV>
            <wp:extent cx="4663440" cy="914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ectPr>
          <w:pgSz w:w="11900" w:h="16838" w:orient="portrait"/>
          <w:cols w:equalWidth="0" w:num="2">
            <w:col w:w="3000" w:space="720"/>
            <w:col w:w="6439"/>
          </w:cols>
          <w:pgMar w:left="300" w:top="372" w:right="1440" w:bottom="1440" w:gutter="0" w:footer="0" w:header="0"/>
          <w:type w:val="continuous"/>
        </w:sectPr>
      </w:pPr>
    </w:p>
    <w:bookmarkStart w:id="268" w:name="page269"/>
    <w:bookmarkEnd w:id="2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9"/>
              </w:rPr>
              <w:t>Option Awards</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4"/>
          </w:tcPr>
          <w:p>
            <w:pPr>
              <w:ind w:left="600"/>
              <w:spacing w:after="0"/>
              <w:rPr>
                <w:sz w:val="20"/>
                <w:szCs w:val="20"/>
                <w:color w:val="auto"/>
              </w:rPr>
            </w:pPr>
            <w:r>
              <w:rPr>
                <w:rFonts w:ascii="Arial" w:cs="Arial" w:eastAsia="Arial" w:hAnsi="Arial"/>
                <w:sz w:val="10"/>
                <w:szCs w:val="10"/>
                <w:b w:val="1"/>
                <w:bCs w:val="1"/>
                <w:color w:val="auto"/>
              </w:rPr>
              <w:t>Stock Awards</w:t>
            </w:r>
          </w:p>
        </w:tc>
        <w:tc>
          <w:tcPr>
            <w:tcW w:w="0" w:type="dxa"/>
            <w:vAlign w:val="bottom"/>
          </w:tcPr>
          <w:p>
            <w:pPr>
              <w:spacing w:after="0"/>
              <w:rPr>
                <w:sz w:val="1"/>
                <w:szCs w:val="1"/>
                <w:color w:val="auto"/>
              </w:rPr>
            </w:pPr>
          </w:p>
        </w:tc>
      </w:tr>
      <w:tr>
        <w:trPr>
          <w:trHeight w:val="74"/>
        </w:trPr>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Numbers of</w:t>
            </w:r>
          </w:p>
        </w:tc>
        <w:tc>
          <w:tcPr>
            <w:tcW w:w="840" w:type="dxa"/>
            <w:vAlign w:val="bottom"/>
            <w:tcBorders>
              <w:top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Numbers of</w:t>
            </w:r>
          </w:p>
        </w:tc>
        <w:tc>
          <w:tcPr>
            <w:tcW w:w="3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Securities</w:t>
            </w:r>
          </w:p>
        </w:tc>
        <w:tc>
          <w:tcPr>
            <w:tcW w:w="8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Securities</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Underlying</w:t>
            </w:r>
          </w:p>
        </w:tc>
        <w:tc>
          <w:tcPr>
            <w:tcW w:w="8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1"/>
              </w:rPr>
              <w:t>Underlying</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Option</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Number of</w:t>
            </w: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96"/>
              </w:rPr>
              <w:t>Market value of</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3"/>
              </w:rPr>
              <w:t>Unexercised</w:t>
            </w: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3"/>
              </w:rPr>
              <w:t>Unexercised</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Exercise</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shares or units of</w:t>
            </w:r>
          </w:p>
        </w:tc>
        <w:tc>
          <w:tcPr>
            <w:tcW w:w="9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3"/>
              </w:rPr>
              <w:t>shares or units of</w:t>
            </w: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150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Options (#)</w:t>
            </w: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Options (#)</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Price</w:t>
            </w:r>
          </w:p>
        </w:tc>
        <w:tc>
          <w:tcPr>
            <w:tcW w:w="82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rPr>
              <w:t>Option</w:t>
            </w: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stock that have</w:t>
            </w:r>
          </w:p>
        </w:tc>
        <w:tc>
          <w:tcPr>
            <w:tcW w:w="9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stock that have not</w:t>
            </w:r>
          </w:p>
        </w:tc>
        <w:tc>
          <w:tcPr>
            <w:tcW w:w="0" w:type="dxa"/>
            <w:vAlign w:val="bottom"/>
          </w:tcPr>
          <w:p>
            <w:pPr>
              <w:spacing w:after="0"/>
              <w:rPr>
                <w:sz w:val="1"/>
                <w:szCs w:val="1"/>
                <w:color w:val="auto"/>
              </w:rPr>
            </w:pPr>
          </w:p>
        </w:tc>
      </w:tr>
      <w:tr>
        <w:trPr>
          <w:trHeight w:val="115"/>
        </w:trPr>
        <w:tc>
          <w:tcPr>
            <w:tcW w:w="240" w:type="dxa"/>
            <w:vAlign w:val="bottom"/>
            <w:tcBorders>
              <w:bottom w:val="single" w:sz="8" w:color="auto"/>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740" w:type="dxa"/>
            <w:vAlign w:val="bottom"/>
            <w:gridSpan w:val="2"/>
          </w:tcPr>
          <w:p>
            <w:pPr>
              <w:jc w:val="right"/>
              <w:ind w:right="220"/>
              <w:spacing w:after="0" w:line="76" w:lineRule="exact"/>
              <w:rPr>
                <w:sz w:val="20"/>
                <w:szCs w:val="20"/>
                <w:color w:val="auto"/>
              </w:rPr>
            </w:pPr>
            <w:r>
              <w:rPr>
                <w:rFonts w:ascii="Arial" w:cs="Arial" w:eastAsia="Arial" w:hAnsi="Arial"/>
                <w:sz w:val="8"/>
                <w:szCs w:val="8"/>
                <w:b w:val="1"/>
                <w:bCs w:val="1"/>
                <w:color w:val="auto"/>
              </w:rPr>
              <w:t>Grant Date</w:t>
            </w:r>
          </w:p>
        </w:tc>
        <w:tc>
          <w:tcPr>
            <w:tcW w:w="680" w:type="dxa"/>
            <w:vAlign w:val="bottom"/>
            <w:gridSpan w:val="2"/>
          </w:tcPr>
          <w:p>
            <w:pPr>
              <w:jc w:val="center"/>
              <w:ind w:right="160"/>
              <w:spacing w:after="0" w:line="76" w:lineRule="exact"/>
              <w:rPr>
                <w:sz w:val="20"/>
                <w:szCs w:val="20"/>
                <w:color w:val="auto"/>
              </w:rPr>
            </w:pPr>
            <w:r>
              <w:rPr>
                <w:rFonts w:ascii="Arial" w:cs="Arial" w:eastAsia="Arial" w:hAnsi="Arial"/>
                <w:sz w:val="8"/>
                <w:szCs w:val="8"/>
                <w:b w:val="1"/>
                <w:bCs w:val="1"/>
                <w:color w:val="auto"/>
              </w:rPr>
              <w:t>Exercisable</w:t>
            </w:r>
          </w:p>
        </w:tc>
        <w:tc>
          <w:tcPr>
            <w:tcW w:w="840" w:type="dxa"/>
            <w:vAlign w:val="bottom"/>
            <w:gridSpan w:val="2"/>
          </w:tcPr>
          <w:p>
            <w:pPr>
              <w:jc w:val="center"/>
              <w:ind w:right="280"/>
              <w:spacing w:after="0" w:line="76" w:lineRule="exact"/>
              <w:rPr>
                <w:sz w:val="20"/>
                <w:szCs w:val="20"/>
                <w:color w:val="auto"/>
              </w:rPr>
            </w:pPr>
            <w:r>
              <w:rPr>
                <w:rFonts w:ascii="Arial" w:cs="Arial" w:eastAsia="Arial" w:hAnsi="Arial"/>
                <w:sz w:val="8"/>
                <w:szCs w:val="8"/>
                <w:b w:val="1"/>
                <w:bCs w:val="1"/>
                <w:color w:val="auto"/>
              </w:rPr>
              <w:t>Unexercisable</w:t>
            </w:r>
          </w:p>
        </w:tc>
        <w:tc>
          <w:tcPr>
            <w:tcW w:w="36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w:t>
            </w:r>
          </w:p>
        </w:tc>
        <w:tc>
          <w:tcPr>
            <w:tcW w:w="260" w:type="dxa"/>
            <w:vAlign w:val="bottom"/>
          </w:tcPr>
          <w:p>
            <w:pPr>
              <w:spacing w:after="0"/>
              <w:rPr>
                <w:sz w:val="10"/>
                <w:szCs w:val="10"/>
                <w:color w:val="auto"/>
              </w:rPr>
            </w:pPr>
          </w:p>
        </w:tc>
        <w:tc>
          <w:tcPr>
            <w:tcW w:w="820" w:type="dxa"/>
            <w:vAlign w:val="bottom"/>
            <w:gridSpan w:val="2"/>
          </w:tcPr>
          <w:p>
            <w:pPr>
              <w:jc w:val="right"/>
              <w:ind w:right="160"/>
              <w:spacing w:after="0" w:line="76" w:lineRule="exact"/>
              <w:rPr>
                <w:sz w:val="20"/>
                <w:szCs w:val="20"/>
                <w:color w:val="auto"/>
              </w:rPr>
            </w:pPr>
            <w:r>
              <w:rPr>
                <w:rFonts w:ascii="Arial" w:cs="Arial" w:eastAsia="Arial" w:hAnsi="Arial"/>
                <w:sz w:val="8"/>
                <w:szCs w:val="8"/>
                <w:b w:val="1"/>
                <w:bCs w:val="1"/>
                <w:color w:val="auto"/>
              </w:rPr>
              <w:t>Expiration Date</w:t>
            </w:r>
          </w:p>
        </w:tc>
        <w:tc>
          <w:tcPr>
            <w:tcW w:w="980" w:type="dxa"/>
            <w:vAlign w:val="bottom"/>
            <w:gridSpan w:val="2"/>
          </w:tcPr>
          <w:p>
            <w:pPr>
              <w:jc w:val="center"/>
              <w:ind w:right="260"/>
              <w:spacing w:after="0" w:line="76" w:lineRule="exact"/>
              <w:rPr>
                <w:sz w:val="20"/>
                <w:szCs w:val="20"/>
                <w:color w:val="auto"/>
              </w:rPr>
            </w:pPr>
            <w:r>
              <w:rPr>
                <w:rFonts w:ascii="Arial" w:cs="Arial" w:eastAsia="Arial" w:hAnsi="Arial"/>
                <w:sz w:val="8"/>
                <w:szCs w:val="8"/>
                <w:b w:val="1"/>
                <w:bCs w:val="1"/>
                <w:color w:val="auto"/>
              </w:rPr>
              <w:t>not vested (#)</w:t>
            </w:r>
          </w:p>
        </w:tc>
        <w:tc>
          <w:tcPr>
            <w:tcW w:w="920" w:type="dxa"/>
            <w:vAlign w:val="bottom"/>
            <w:gridSpan w:val="2"/>
          </w:tcPr>
          <w:p>
            <w:pPr>
              <w:jc w:val="center"/>
              <w:ind w:right="140"/>
              <w:spacing w:after="0" w:line="76" w:lineRule="exact"/>
              <w:rPr>
                <w:sz w:val="20"/>
                <w:szCs w:val="20"/>
                <w:color w:val="auto"/>
              </w:rPr>
            </w:pPr>
            <w:r>
              <w:rPr>
                <w:rFonts w:ascii="Arial" w:cs="Arial" w:eastAsia="Arial" w:hAnsi="Arial"/>
                <w:sz w:val="8"/>
                <w:szCs w:val="8"/>
                <w:b w:val="1"/>
                <w:bCs w:val="1"/>
                <w:color w:val="auto"/>
              </w:rPr>
              <w:t>vested ($)</w:t>
            </w:r>
          </w:p>
        </w:tc>
        <w:tc>
          <w:tcPr>
            <w:tcW w:w="0" w:type="dxa"/>
            <w:vAlign w:val="bottom"/>
          </w:tcPr>
          <w:p>
            <w:pPr>
              <w:spacing w:after="0"/>
              <w:rPr>
                <w:sz w:val="1"/>
                <w:szCs w:val="1"/>
                <w:color w:val="auto"/>
              </w:rPr>
            </w:pPr>
          </w:p>
        </w:tc>
      </w:tr>
      <w:tr>
        <w:trPr>
          <w:trHeight w:val="131"/>
        </w:trPr>
        <w:tc>
          <w:tcPr>
            <w:tcW w:w="174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2"/>
                <w:szCs w:val="12"/>
                <w:color w:val="auto"/>
              </w:rPr>
              <w:t>Benjamin Zimmer</w:t>
            </w: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w w:val="93"/>
              </w:rPr>
              <w:t>12/30/2015</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20"/>
              <w:spacing w:after="0" w:line="131" w:lineRule="exact"/>
              <w:rPr>
                <w:sz w:val="20"/>
                <w:szCs w:val="20"/>
                <w:color w:val="auto"/>
              </w:rPr>
            </w:pPr>
            <w:r>
              <w:rPr>
                <w:rFonts w:ascii="Arial" w:cs="Arial" w:eastAsia="Arial" w:hAnsi="Arial"/>
                <w:sz w:val="12"/>
                <w:szCs w:val="12"/>
                <w:color w:val="auto"/>
                <w:w w:val="79"/>
              </w:rPr>
              <w:t>405</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31"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2"/>
                <w:szCs w:val="12"/>
                <w:color w:val="auto"/>
                <w:w w:val="84"/>
              </w:rPr>
              <w:t>$ 14.96</w:t>
            </w: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12/29/2025</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3"/>
              <w:spacing w:after="0" w:line="131"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5/20/2016</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1,512</w:t>
            </w: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spacing w:after="0"/>
              <w:rPr>
                <w:sz w:val="20"/>
                <w:szCs w:val="20"/>
                <w:color w:val="auto"/>
              </w:rPr>
            </w:pPr>
            <w:r>
              <w:rPr>
                <w:rFonts w:ascii="Arial" w:cs="Arial" w:eastAsia="Arial" w:hAnsi="Arial"/>
                <w:sz w:val="12"/>
                <w:szCs w:val="12"/>
                <w:color w:val="auto"/>
              </w:rPr>
              <w:t>$ 11.60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5/19/2026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5/20/2019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229,170</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rPr>
              <w:t>270,830</w:t>
            </w:r>
            <w:r>
              <w:rPr>
                <w:rFonts w:ascii="Arial" w:cs="Arial" w:eastAsia="Arial" w:hAnsi="Arial"/>
                <w:sz w:val="16"/>
                <w:szCs w:val="16"/>
                <w:color w:val="auto"/>
                <w:vertAlign w:val="superscript"/>
              </w:rPr>
              <w:t>(2)</w:t>
            </w:r>
          </w:p>
        </w:tc>
        <w:tc>
          <w:tcPr>
            <w:tcW w:w="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$ 32.07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5/19/2029</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5/20/2019</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320"/>
              <w:spacing w:after="0" w:line="144"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perscript"/>
              </w:rPr>
              <w:t>(3)</w:t>
            </w:r>
          </w:p>
        </w:tc>
        <w:tc>
          <w:tcPr>
            <w:tcW w:w="920" w:type="dxa"/>
            <w:vAlign w:val="bottom"/>
            <w:gridSpan w:val="2"/>
          </w:tcPr>
          <w:p>
            <w:pPr>
              <w:jc w:val="right"/>
              <w:ind w:right="40"/>
              <w:spacing w:after="0" w:line="144" w:lineRule="exact"/>
              <w:rPr>
                <w:sz w:val="20"/>
                <w:szCs w:val="20"/>
                <w:color w:val="auto"/>
              </w:rPr>
            </w:pPr>
            <w:r>
              <w:rPr>
                <w:rFonts w:ascii="Arial" w:cs="Arial" w:eastAsia="Arial" w:hAnsi="Arial"/>
                <w:sz w:val="12"/>
                <w:szCs w:val="12"/>
                <w:color w:val="auto"/>
              </w:rPr>
              <w:t>9,625,000</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rPr>
              <w:t>62,138</w:t>
            </w:r>
            <w:r>
              <w:rPr>
                <w:rFonts w:ascii="Arial" w:cs="Arial" w:eastAsia="Arial" w:hAnsi="Arial"/>
                <w:sz w:val="16"/>
                <w:szCs w:val="16"/>
                <w:color w:val="auto"/>
                <w:vertAlign w:val="superscript"/>
              </w:rPr>
              <w:t>(4)</w:t>
            </w:r>
          </w:p>
        </w:tc>
        <w:tc>
          <w:tcPr>
            <w:tcW w:w="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$ 37.10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144,545</w:t>
            </w:r>
            <w:r>
              <w:rPr>
                <w:rFonts w:ascii="Arial" w:cs="Arial" w:eastAsia="Arial" w:hAnsi="Arial"/>
                <w:sz w:val="16"/>
                <w:szCs w:val="16"/>
                <w:color w:val="auto"/>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$ 40.31</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rPr>
              <w:t>62,138</w:t>
            </w:r>
            <w:r>
              <w:rPr>
                <w:rFonts w:ascii="Arial" w:cs="Arial" w:eastAsia="Arial" w:hAnsi="Arial"/>
                <w:sz w:val="16"/>
                <w:szCs w:val="16"/>
                <w:color w:val="auto"/>
                <w:vertAlign w:val="superscript"/>
              </w:rPr>
              <w:t>(5)</w:t>
            </w:r>
          </w:p>
        </w:tc>
        <w:tc>
          <w:tcPr>
            <w:tcW w:w="6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$ 33.63</w:t>
            </w:r>
            <w:r>
              <w:rPr>
                <w:rFonts w:ascii="Arial" w:cs="Arial" w:eastAsia="Arial" w:hAnsi="Arial"/>
                <w:sz w:val="16"/>
                <w:szCs w:val="16"/>
                <w:color w:val="auto"/>
                <w:vertAlign w:val="superscript"/>
              </w:rPr>
              <w:t>(6)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5/20/2020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rPr>
              <w:t>210,000</w:t>
            </w:r>
            <w:r>
              <w:rPr>
                <w:rFonts w:ascii="Arial" w:cs="Arial" w:eastAsia="Arial" w:hAnsi="Arial"/>
                <w:sz w:val="16"/>
                <w:szCs w:val="16"/>
                <w:color w:val="auto"/>
                <w:vertAlign w:val="superscript"/>
              </w:rPr>
              <w:t>(2)</w:t>
            </w:r>
          </w:p>
        </w:tc>
        <w:tc>
          <w:tcPr>
            <w:tcW w:w="620" w:type="dxa"/>
            <w:vAlign w:val="bottom"/>
            <w:gridSpan w:val="2"/>
          </w:tcPr>
          <w:p>
            <w:pPr>
              <w:spacing w:after="0"/>
              <w:rPr>
                <w:sz w:val="20"/>
                <w:szCs w:val="20"/>
                <w:color w:val="auto"/>
              </w:rPr>
            </w:pPr>
            <w:r>
              <w:rPr>
                <w:rFonts w:ascii="Arial" w:cs="Arial" w:eastAsia="Arial" w:hAnsi="Arial"/>
                <w:sz w:val="12"/>
                <w:szCs w:val="12"/>
                <w:color w:val="auto"/>
              </w:rPr>
              <w:t>$ 38.23</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5/19/2030</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Vivek Ramaswamy</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w w:val="96"/>
              </w:rPr>
              <w:t>4,126,118</w:t>
            </w:r>
            <w:r>
              <w:rPr>
                <w:rFonts w:ascii="Arial" w:cs="Arial" w:eastAsia="Arial" w:hAnsi="Arial"/>
                <w:sz w:val="16"/>
                <w:szCs w:val="16"/>
                <w:color w:val="auto"/>
                <w:w w:val="96"/>
                <w:vertAlign w:val="superscript"/>
              </w:rPr>
              <w:t>(4)</w:t>
            </w:r>
          </w:p>
        </w:tc>
        <w:tc>
          <w:tcPr>
            <w:tcW w:w="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$ 37.10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w w:val="96"/>
              </w:rPr>
              <w:t>3,343,002</w:t>
            </w:r>
            <w:r>
              <w:rPr>
                <w:rFonts w:ascii="Arial" w:cs="Arial" w:eastAsia="Arial" w:hAnsi="Arial"/>
                <w:sz w:val="16"/>
                <w:szCs w:val="16"/>
                <w:color w:val="auto"/>
                <w:w w:val="96"/>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$ 37.10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rPr>
              <w:t>599,380</w:t>
            </w:r>
            <w:r>
              <w:rPr>
                <w:rFonts w:ascii="Arial" w:cs="Arial" w:eastAsia="Arial" w:hAnsi="Arial"/>
                <w:sz w:val="16"/>
                <w:szCs w:val="16"/>
                <w:color w:val="auto"/>
                <w:vertAlign w:val="superscript"/>
              </w:rPr>
              <w:t>(4)</w:t>
            </w:r>
          </w:p>
        </w:tc>
        <w:tc>
          <w:tcPr>
            <w:tcW w:w="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$ 40.31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line="144" w:lineRule="exact"/>
              <w:rPr>
                <w:sz w:val="20"/>
                <w:szCs w:val="20"/>
                <w:color w:val="auto"/>
              </w:rPr>
            </w:pPr>
            <w:r>
              <w:rPr>
                <w:rFonts w:ascii="Arial" w:cs="Arial" w:eastAsia="Arial" w:hAnsi="Arial"/>
                <w:sz w:val="12"/>
                <w:szCs w:val="12"/>
                <w:color w:val="auto"/>
                <w:w w:val="96"/>
              </w:rPr>
              <w:t>2,021,411</w:t>
            </w:r>
            <w:r>
              <w:rPr>
                <w:rFonts w:ascii="Arial" w:cs="Arial" w:eastAsia="Arial" w:hAnsi="Arial"/>
                <w:sz w:val="16"/>
                <w:szCs w:val="16"/>
                <w:color w:val="auto"/>
                <w:w w:val="96"/>
                <w:vertAlign w:val="superscript"/>
              </w:rPr>
              <w:t>(4)</w:t>
            </w:r>
          </w:p>
        </w:tc>
        <w:tc>
          <w:tcPr>
            <w:tcW w:w="620" w:type="dxa"/>
            <w:vAlign w:val="bottom"/>
            <w:gridSpan w:val="2"/>
          </w:tcPr>
          <w:p>
            <w:pPr>
              <w:spacing w:after="0"/>
              <w:rPr>
                <w:sz w:val="20"/>
                <w:szCs w:val="20"/>
                <w:color w:val="auto"/>
              </w:rPr>
            </w:pPr>
            <w:r>
              <w:rPr>
                <w:rFonts w:ascii="Arial" w:cs="Arial" w:eastAsia="Arial" w:hAnsi="Arial"/>
                <w:sz w:val="12"/>
                <w:szCs w:val="12"/>
                <w:color w:val="auto"/>
              </w:rPr>
              <w:t>$ 46.38</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2"/>
                <w:szCs w:val="12"/>
                <w:color w:val="auto"/>
                <w:w w:val="96"/>
              </w:rPr>
              <w:t>3,343,002</w:t>
            </w:r>
            <w:r>
              <w:rPr>
                <w:rFonts w:ascii="Arial" w:cs="Arial" w:eastAsia="Arial" w:hAnsi="Arial"/>
                <w:sz w:val="16"/>
                <w:szCs w:val="16"/>
                <w:color w:val="auto"/>
                <w:w w:val="96"/>
                <w:vertAlign w:val="superscript"/>
              </w:rPr>
              <w:t>(5)</w:t>
            </w:r>
          </w:p>
        </w:tc>
        <w:tc>
          <w:tcPr>
            <w:tcW w:w="6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$ 18.70</w:t>
            </w:r>
            <w:r>
              <w:rPr>
                <w:rFonts w:ascii="Arial" w:cs="Arial" w:eastAsia="Arial" w:hAnsi="Arial"/>
                <w:sz w:val="16"/>
                <w:szCs w:val="16"/>
                <w:color w:val="auto"/>
                <w:vertAlign w:val="superscript"/>
              </w:rPr>
              <w:t>(6)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3/26/2020</w:t>
            </w:r>
          </w:p>
        </w:tc>
        <w:tc>
          <w:tcPr>
            <w:tcW w:w="6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w w:val="96"/>
              </w:rPr>
              <w:t>4,126,118</w:t>
            </w:r>
            <w:r>
              <w:rPr>
                <w:rFonts w:ascii="Arial" w:cs="Arial" w:eastAsia="Arial" w:hAnsi="Arial"/>
                <w:sz w:val="16"/>
                <w:szCs w:val="16"/>
                <w:color w:val="auto"/>
                <w:w w:val="96"/>
                <w:vertAlign w:val="superscript"/>
              </w:rPr>
              <w:t>(5)</w:t>
            </w:r>
          </w:p>
        </w:tc>
        <w:tc>
          <w:tcPr>
            <w:tcW w:w="620" w:type="dxa"/>
            <w:vAlign w:val="bottom"/>
            <w:gridSpan w:val="2"/>
          </w:tcPr>
          <w:p>
            <w:pPr>
              <w:spacing w:after="0"/>
              <w:rPr>
                <w:sz w:val="20"/>
                <w:szCs w:val="20"/>
                <w:color w:val="auto"/>
              </w:rPr>
            </w:pPr>
            <w:r>
              <w:rPr>
                <w:rFonts w:ascii="Arial" w:cs="Arial" w:eastAsia="Arial" w:hAnsi="Arial"/>
                <w:sz w:val="12"/>
                <w:szCs w:val="12"/>
                <w:color w:val="auto"/>
              </w:rPr>
              <w:t>$ 33.63</w:t>
            </w:r>
            <w:r>
              <w:rPr>
                <w:rFonts w:ascii="Arial" w:cs="Arial" w:eastAsia="Arial" w:hAnsi="Arial"/>
                <w:sz w:val="16"/>
                <w:szCs w:val="16"/>
                <w:color w:val="auto"/>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3/31/2026</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wp:posOffset>
            </wp:positionV>
            <wp:extent cx="51435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3" w:lineRule="exact"/>
        <w:rPr>
          <w:sz w:val="20"/>
          <w:szCs w:val="20"/>
          <w:color w:val="auto"/>
        </w:rPr>
      </w:pPr>
    </w:p>
    <w:p>
      <w:pPr>
        <w:ind w:left="2260" w:right="879" w:hanging="288"/>
        <w:spacing w:after="0" w:line="274" w:lineRule="auto"/>
        <w:tabs>
          <w:tab w:leader="none" w:pos="226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Pursuant to the terms of the Business Combination Agreement, effective as of the closing of the Business Combination on September 30, 2021, outstanding equity awards were adjusted as follows: (i) each share subject to an outstanding Roivant option was multipled by the exhchange ratio of 2.9262:1 (the “Exchange Ratio”), rounded down to the nearest whole share, and the per share exercise price was divided by the Exchange Ratio, rounded up to the nearest whole cent, (ii) each share subject to an outstanding and unvested RSU was multiplied by the Exchange Ratio, rounded down to the nearest whole share, and (iii) each share subject to a capped value appreciation right (“CVAR”) was multipled by the Exchange Ratio, rounded down to the nearest whole share, and the per share hurdle price, “knock-in” price and value cap price, as applicable, was divided by the Exchange Ratio, rounded up to the nearest whole cent, as described further below under “Treatment of Equity Awards in Connection with the Business Combination.” The numbers in the table reflect the share numbers outstanding as of March 31, 2021 and do not reflect these adjustments that occurred in connection with the closing of the Business Combination on September 30, 2021. However, on September 30, 2021, these numbers were all adjusted pursuant to the Business Combination Agreement.</w:t>
      </w:r>
    </w:p>
    <w:p>
      <w:pPr>
        <w:spacing w:after="0" w:line="4" w:lineRule="exact"/>
        <w:rPr>
          <w:rFonts w:ascii="Arial" w:cs="Arial" w:eastAsia="Arial" w:hAnsi="Arial"/>
          <w:sz w:val="11"/>
          <w:szCs w:val="11"/>
          <w:color w:val="auto"/>
        </w:rPr>
      </w:pPr>
    </w:p>
    <w:p>
      <w:pPr>
        <w:ind w:left="2260" w:right="919" w:hanging="288"/>
        <w:spacing w:after="0" w:line="250" w:lineRule="auto"/>
        <w:tabs>
          <w:tab w:leader="none" w:pos="226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Reflects the grant of nonqualified stock options to purchase Common Shares outstanding under the 2015 EIP that vest and become exercisable as follows: (i) 25% of the stock options vest and become exercisable on the first anniversary of the vesting commencement date and (ii) the remaining 75% vest in 36 successive equal monthly installments thereafter, in each case, subject to the holder’s continuous service through the applicable vesting date. For stock options held by Messrs. Gline and Venker that were granted in 2017 or 2018, immediately prior to (and contingent upon) the occurrence of a “change in control” (as defined in the 2015 EIP), the stock options will become fully vested. For stock options held by the NEOs that were granted after 2018, in the event the NEO’s employment is involuntarily terminated without “cause” (as defined in the 2015 EIP and the applicable award agreement) within 12 months following the consummation of a “change in control,” the stock options will become fully vested.</w:t>
      </w:r>
    </w:p>
    <w:p>
      <w:pPr>
        <w:spacing w:after="0" w:line="2" w:lineRule="exact"/>
        <w:rPr>
          <w:rFonts w:ascii="Arial" w:cs="Arial" w:eastAsia="Arial" w:hAnsi="Arial"/>
          <w:sz w:val="12"/>
          <w:szCs w:val="12"/>
          <w:color w:val="auto"/>
        </w:rPr>
      </w:pPr>
    </w:p>
    <w:p>
      <w:pPr>
        <w:ind w:left="2260" w:right="879" w:hanging="288"/>
        <w:spacing w:after="0" w:line="281" w:lineRule="auto"/>
        <w:tabs>
          <w:tab w:leader="none" w:pos="226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Reflects the grant of RSUs outstanding under the 2015 EIP that vest upon the satisfaction of both a “service requirement” and a “liquidity event requirement.” The service requirement applicable to the RSUs is satisfied as follows: (i) 25% of the RSUs satisfy the service requirement on the first anniversary of the vesting commencement date and (ii) the remaining 75% of the RSUs satisfy the service requirement in 36 successive equal monthly installments thereafter, in each case, subject to the holder’s continuous service through the applicable vesting date. The liquidity event requirement will be satisfied upon the first to occur of a “change in control” or “initial public offering” of Roivant (as defined in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261</w:t>
      </w:r>
    </w:p>
    <w:p>
      <w:pPr>
        <w:sectPr>
          <w:pgSz w:w="11900" w:h="16838" w:orient="portrait"/>
          <w:cols w:equalWidth="0" w:num="1">
            <w:col w:w="10159"/>
          </w:cols>
          <w:pgMar w:left="300" w:top="372" w:right="1440" w:bottom="1440" w:gutter="0" w:footer="0" w:header="0"/>
        </w:sectPr>
      </w:pPr>
    </w:p>
    <w:bookmarkStart w:id="269" w:name="page270"/>
    <w:bookmarkEnd w:id="2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79"/>
        <w:spacing w:after="0" w:line="276" w:lineRule="auto"/>
        <w:rPr>
          <w:sz w:val="20"/>
          <w:szCs w:val="20"/>
          <w:color w:val="auto"/>
        </w:rPr>
      </w:pPr>
      <w:r>
        <w:rPr>
          <w:rFonts w:ascii="Arial" w:cs="Arial" w:eastAsia="Arial" w:hAnsi="Arial"/>
          <w:sz w:val="11"/>
          <w:szCs w:val="11"/>
          <w:color w:val="auto"/>
        </w:rPr>
        <w:t>2015 EIP and the applicable award agreement) prior to the expiration date of the RSUs, which is eight years from the grant date. If the liquidity event requirement is not satisfied before the expiration date, the RSUs will be forfeited. The number of RSUs reflected in the table above reflects full attainment of the liquidity event requirement, which was satisfied on the closing of the Business Combination. The market value of the RSUs reflected in the table above is based on a share price of $38.50 per share, the fair market value of Common Shares as of March 31, 2021. In the event the NEO’s employment is involuntarily terminated for any reason other than for “cause” within 12 months following the consummation of a “change in control,” the RSUs will become fully vested.</w:t>
      </w:r>
    </w:p>
    <w:p>
      <w:pPr>
        <w:ind w:left="2260" w:right="859" w:hanging="288"/>
        <w:spacing w:after="0" w:line="273" w:lineRule="auto"/>
        <w:tabs>
          <w:tab w:leader="none" w:pos="226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Reflects the grant of nonqualified performance-based stock options to purchase Common Shares outstanding under the 2015 EIP (“Performance Options”) that vest and become exercisable upon the satisfaction of both a “service requirement” and a “liquidity event requirement.” The service requirement applicable to the Performance Options is satisfied as follows: (i) 25% of the Performance Options satisfy the service requirement on December 27, 2020 and (ii) the remaining 75% of the Performance Options satisfy the service requirement in 36 successive equal monthly installments thereafter, in each case, subject to the holder’s continuous service through the applicable vesting date. The liquidity event requirement will be satisfied upon the first to occur of a “change in control” or “public listing” of Roivant (as defined in the 2015 EIP and the applicable award agreement) prior to the expiration date of the Performance Options. If the liquidity event requirement is not satisfied before the expiration date, the Performance Options will be forfeited. The number of Performance Options reflected in the table above reflects full attainment of the liquidity event requirement, which was satisfied on the closing of the Business Combination.</w:t>
      </w:r>
    </w:p>
    <w:p>
      <w:pPr>
        <w:spacing w:after="0" w:line="1" w:lineRule="exact"/>
        <w:rPr>
          <w:rFonts w:ascii="Arial" w:cs="Arial" w:eastAsia="Arial" w:hAnsi="Arial"/>
          <w:sz w:val="11"/>
          <w:szCs w:val="11"/>
          <w:color w:val="auto"/>
        </w:rPr>
      </w:pPr>
    </w:p>
    <w:p>
      <w:pPr>
        <w:ind w:left="2260" w:right="859" w:hanging="288"/>
        <w:spacing w:after="0" w:line="273" w:lineRule="auto"/>
        <w:tabs>
          <w:tab w:leader="none" w:pos="226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 xml:space="preserve">Reflects the grant of CVARs with respect to Common Shares outstanding under the 2015 EIP that vest upon the satisfaction of both a “service requirement” and a “liquidity event requirement.” The service requirement applicable to the CVARs is satisfied as follows: (i) 25% of the CVARs satisfy the service requirement on December 27, 2020 and (ii) the remaining 75% of the CVARs satisfy the service requirement in 36 successive equal monthly installments thereafter, in each case, subject to the holder’s continuous service through the applicable vesting date. The liquidity event requirement will be satisfied upon the first to occur of a “change in control” or “public listing” of Roivant (as defined in the 2015 EIP and the applicable award agreement) prior to the expiration date of the CVARs. If the liquidity event requirement is not satisfied before the expiration date, the CVARs will be forfeited. Upon vesting, the CVARs will entitle the holder to a payment equal to the product of (i) the number of vested CVARs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(ii) the excess (if any) of (A) the fair market value of a Common Share as of the relevant date of determination (capped at $37.10 per share) </w:t>
      </w:r>
      <w:r>
        <w:rPr>
          <w:rFonts w:ascii="Arial" w:cs="Arial" w:eastAsia="Arial" w:hAnsi="Arial"/>
          <w:sz w:val="11"/>
          <w:szCs w:val="11"/>
          <w:i w:val="1"/>
          <w:iCs w:val="1"/>
          <w:color w:val="auto"/>
        </w:rPr>
        <w:t>over</w:t>
      </w:r>
      <w:r>
        <w:rPr>
          <w:rFonts w:ascii="Arial" w:cs="Arial" w:eastAsia="Arial" w:hAnsi="Arial"/>
          <w:sz w:val="11"/>
          <w:szCs w:val="11"/>
          <w:color w:val="auto"/>
        </w:rPr>
        <w:t xml:space="preserve"> (B) the applicable hurdle price (as described in the footnote 5 below) (the “CVAR Amount”). However, for CVARs with a hurdle price of $18.70 per share, no CVAR Amount will be payable in respect of vested CVARs if the fair market value of a Common Share is less than $26.90 per share as of the relevant date of determination (the “knock-in condition”); instead, such CVARs will remain outstanding unless and until the knock-in condition is satisfied as of any applicable measurement date thereafter before the expiration date of the CVARs. Once payable, the CVARs will be settled in a number of Common Shares determined by dividing (i) the applicable CVAR Amount by (ii) the fair market value of a Common Share as of the applicable payment date. The number of CVARs reflected in the table above reflects full attainment of the liquidity event requirement, which was satisfied on the closing of the Business Combination.</w:t>
      </w:r>
    </w:p>
    <w:p>
      <w:pPr>
        <w:spacing w:after="0" w:line="1" w:lineRule="exact"/>
        <w:rPr>
          <w:rFonts w:ascii="Arial" w:cs="Arial" w:eastAsia="Arial" w:hAnsi="Arial"/>
          <w:sz w:val="11"/>
          <w:szCs w:val="11"/>
          <w:color w:val="auto"/>
        </w:rPr>
      </w:pPr>
    </w:p>
    <w:p>
      <w:pPr>
        <w:ind w:left="2260" w:hanging="288"/>
        <w:spacing w:after="0"/>
        <w:tabs>
          <w:tab w:leader="none" w:pos="226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This amount reflects the per share hurdle price applicable to this award of CVARs.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Employment Arrangements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Matthew Gline</w:t>
      </w:r>
    </w:p>
    <w:p>
      <w:pPr>
        <w:spacing w:after="0" w:line="78" w:lineRule="exact"/>
        <w:rPr>
          <w:sz w:val="20"/>
          <w:szCs w:val="20"/>
          <w:color w:val="auto"/>
        </w:rPr>
      </w:pPr>
    </w:p>
    <w:p>
      <w:pPr>
        <w:ind w:left="1980" w:right="999" w:firstLine="294"/>
        <w:spacing w:after="0" w:line="289" w:lineRule="auto"/>
        <w:rPr>
          <w:sz w:val="20"/>
          <w:szCs w:val="20"/>
          <w:color w:val="auto"/>
        </w:rPr>
      </w:pPr>
      <w:r>
        <w:rPr>
          <w:rFonts w:ascii="Arial" w:cs="Arial" w:eastAsia="Arial" w:hAnsi="Arial"/>
          <w:sz w:val="11"/>
          <w:szCs w:val="11"/>
          <w:color w:val="auto"/>
        </w:rPr>
        <w:t>Mr. Gline is party to an employment agreement with RSI, dated May 14, 2021, which provides for at-will employment and no specified term of employment. Pursuant to Mr. Gline’s employment agreement, Mr. Gline’s annual base salary is $725,000, which is subject to adjustment at the discretion of our board of directors or the compensation committee thereof. In addition, Mr. Gline is eligible to receive a discretionary annual performance bonus, with a target annual bonus equal to 100% of his annual base salary. The actual amount of any annual</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262</w:t>
      </w:r>
    </w:p>
    <w:p>
      <w:pPr>
        <w:sectPr>
          <w:pgSz w:w="11900" w:h="16838" w:orient="portrait"/>
          <w:cols w:equalWidth="0" w:num="1">
            <w:col w:w="10159"/>
          </w:cols>
          <w:pgMar w:left="300" w:top="372" w:right="1440" w:bottom="1440" w:gutter="0" w:footer="0" w:header="0"/>
        </w:sectPr>
      </w:pPr>
    </w:p>
    <w:bookmarkStart w:id="270" w:name="page271"/>
    <w:bookmarkEnd w:id="2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5" w:lineRule="auto"/>
        <w:rPr>
          <w:sz w:val="20"/>
          <w:szCs w:val="20"/>
          <w:color w:val="auto"/>
        </w:rPr>
      </w:pPr>
      <w:r>
        <w:rPr>
          <w:rFonts w:ascii="Arial" w:cs="Arial" w:eastAsia="Arial" w:hAnsi="Arial"/>
          <w:sz w:val="11"/>
          <w:szCs w:val="11"/>
          <w:color w:val="auto"/>
        </w:rPr>
        <w:t>bonus will be based on an assessment by the compensation committee of our board of directors of Mr. Gline’s performance, as well as business conditions at the company. Mr. Gline will also be eligible to receive discretionary periodic or annual equity incentive awards, based on Mr. Gline’s performance and business conditions at the company, as determined in the sole discretion of the compensation committee of our board of directors. Mr. Gline is also entitled to participate in the employee benefit plans and programs (including any medical, dental, vision, life and disability insurance benefit plans and 401(k) plan) as provided by RSI to similarly situated full-time employees from time to time.</w:t>
      </w:r>
    </w:p>
    <w:p>
      <w:pPr>
        <w:spacing w:after="0" w:line="113" w:lineRule="exact"/>
        <w:rPr>
          <w:sz w:val="20"/>
          <w:szCs w:val="20"/>
          <w:color w:val="auto"/>
        </w:rPr>
      </w:pPr>
    </w:p>
    <w:p>
      <w:pPr>
        <w:ind w:left="1980" w:right="879" w:firstLine="294"/>
        <w:spacing w:after="0" w:line="313" w:lineRule="auto"/>
        <w:rPr>
          <w:sz w:val="20"/>
          <w:szCs w:val="20"/>
          <w:color w:val="auto"/>
        </w:rPr>
      </w:pPr>
      <w:r>
        <w:rPr>
          <w:rFonts w:ascii="Arial" w:cs="Arial" w:eastAsia="Arial" w:hAnsi="Arial"/>
          <w:sz w:val="10"/>
          <w:szCs w:val="10"/>
          <w:color w:val="auto"/>
        </w:rPr>
        <w:t>Pursuant to Mr. Gline’s employment agreement, in the event Mr. Gline’s employment is terminated by RSI without “cause” (other than due to Mr. Gline’s death or “disability”) or Mr. Gline resigns for “good reason” (each as defined in Mr. Gline’s employment agreement), then, subject to Mr. Gline’s timely execution and non-revocation of a release of claims and continued compliance with applicable restrictive covenants, Mr. Gline will be entitled to receive (i) continued payment of his base salary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Mr. Gline becomes eligible for coverage under a subsequent employer’s group health insurance plan).</w:t>
      </w:r>
    </w:p>
    <w:p>
      <w:pPr>
        <w:spacing w:after="0" w:line="10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Pursuant to Mr. Gline’s employment agreement, in the event of a termination of Mr. Gline’s employment due to his death or disability, to the extent not already provided under the applicable award agreements and subject to the execution and non-revocation of a release of claims and continued compliance with applicable restrictive covenants, all service-based vesting conditions with respect to 50% of Mr. Gline’s then-outstanding equity awards granted prior to March 31, 2021 will be immediately waived, and will thereafter otherwise remain subject to the other existing terms and conditions of such awards (including the achievement of any applicable performance-based vesting conditions and any liquidity event vesting conditions, as the case may be). In addition, pursuant to the terms of Mr. Gline’s outstanding Performance Options and CVARs granted prior to March 31, 2021, in the event Mr. Gline’s employment is terminated by RSI without cause, due to Mr. Gline’s death or disability or Mr. Gline resigns for any reason (with or without good reason), subject to Mr. Gline’s timely execution and non-revocation of a release of claims and continued compliance with applicable restrictive covenants, all service-based vesting conditions with respect to 50% of Mr. Gline’s then-outstanding Performance Options and CVARs will be immediately waived, and will thereafter otherwise remain subject to the other existing terms and conditions of such awards (including the achievement of any applicable performance-based vesting conditions and any liquidity event vesting conditions, as the case may be).</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Eric Venker</w:t>
      </w:r>
    </w:p>
    <w:p>
      <w:pPr>
        <w:spacing w:after="0" w:line="78" w:lineRule="exact"/>
        <w:rPr>
          <w:sz w:val="20"/>
          <w:szCs w:val="20"/>
          <w:color w:val="auto"/>
        </w:rPr>
      </w:pPr>
    </w:p>
    <w:p>
      <w:pPr>
        <w:ind w:left="1980" w:right="919" w:firstLine="294"/>
        <w:spacing w:after="0" w:line="302" w:lineRule="auto"/>
        <w:rPr>
          <w:sz w:val="20"/>
          <w:szCs w:val="20"/>
          <w:color w:val="auto"/>
        </w:rPr>
      </w:pPr>
      <w:r>
        <w:rPr>
          <w:rFonts w:ascii="Arial" w:cs="Arial" w:eastAsia="Arial" w:hAnsi="Arial"/>
          <w:sz w:val="10"/>
          <w:szCs w:val="10"/>
          <w:color w:val="auto"/>
        </w:rPr>
        <w:t>Dr. Venker is party to an employment agreement with RSI, dated May 14, 2021, which provides for at-will employment and no specified term of employment. Pursuant to Dr. Venker’s employment agreement, Dr. Venker’s annual base salary is $620,000, which is subject to adjustment at the discretion of the compensation committee of our board of directors. In addition, Dr. Venker is entitled to receive quarterly board fees in the amount of $3,125 per fiscal quarter (or such other amount as may be determined by Roivant) in respect of each private company affiliate of Roivant based in the United Kingdom for which Dr. Venker serves as a member of the board of directors. Dr. Venker’s annual base salary is reduced by the aggregate annual amount of such board fees payable to Dr. Venker. Dr. Venker is also eligible to receive a discretionary annual performance bonus, with a target annual bonus equal to 55% of his annual base salary (without giving effect to any reductions in such base salary for board fees). The actual amount of any annual bonus will be based on an assessment by the compensation committee of our board of directors of Dr. Venker’s performance, as well as business conditions at the company. Dr. Venker will also be eligible to receive discretionary periodic or annual equity incentive awards, based on Dr. Venker’s performance and business conditions at the company, as determined in the sole discretion of the compensation committee of our board of directors.</w:t>
      </w:r>
    </w:p>
    <w:p>
      <w:pPr>
        <w:spacing w:after="0" w:line="2" w:lineRule="exact"/>
        <w:rPr>
          <w:sz w:val="20"/>
          <w:szCs w:val="20"/>
          <w:color w:val="auto"/>
        </w:rPr>
      </w:pPr>
    </w:p>
    <w:p>
      <w:pPr>
        <w:ind w:left="1980" w:right="919"/>
        <w:spacing w:after="0" w:line="260" w:lineRule="auto"/>
        <w:rPr>
          <w:sz w:val="20"/>
          <w:szCs w:val="20"/>
          <w:color w:val="auto"/>
        </w:rPr>
      </w:pPr>
      <w:r>
        <w:rPr>
          <w:rFonts w:ascii="Arial" w:cs="Arial" w:eastAsia="Arial" w:hAnsi="Arial"/>
          <w:sz w:val="12"/>
          <w:szCs w:val="12"/>
          <w:color w:val="auto"/>
        </w:rPr>
        <w:t>Dr. Venker is also entitled to participate in the employee benefit plans and programs (including any medical, dental, vision, life and disability insurance benefit plans and 401(k) plan) as provided by RSI to similarly situated full-time employees from time to time.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263</w:t>
      </w:r>
    </w:p>
    <w:p>
      <w:pPr>
        <w:sectPr>
          <w:pgSz w:w="11900" w:h="16838" w:orient="portrait"/>
          <w:cols w:equalWidth="0" w:num="1">
            <w:col w:w="10159"/>
          </w:cols>
          <w:pgMar w:left="300" w:top="372" w:right="1440" w:bottom="1440" w:gutter="0" w:footer="0" w:header="0"/>
        </w:sectPr>
      </w:pPr>
    </w:p>
    <w:bookmarkStart w:id="271" w:name="page272"/>
    <w:bookmarkEnd w:id="2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Pursuant to Dr. Venker’s employment agreement, in the event Dr. Venker’s employment is terminated by RSI without “cause” (other than due to Dr. Venker’s death or “disability”) or Dr. Venker resigns for “good reason” (each as defined in Dr. Venker’s employment agreement), then, subject to Dr. Venker’s timely execution and non-revocation of a release of claims and continued compliance with applicable restrictive covenants, Dr. Venker will be entitled to receive (i) continued payment of his base salary (without giving effect to any reductions in such base salary for board fees)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Dr. Venker becomes eligible for coverage under a subsequent employer’s group health insurance plan).</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In addition, in the event of a termination of Dr. Venker’s employment due to his death or disability, subject to the execution and non-revocation of a release of claims and continued compliance with applicable restrictive covenants, all service-based vesting conditions with respect to 50% of</w:t>
      </w:r>
    </w:p>
    <w:p>
      <w:pPr>
        <w:spacing w:after="0" w:line="1" w:lineRule="exact"/>
        <w:rPr>
          <w:sz w:val="20"/>
          <w:szCs w:val="20"/>
          <w:color w:val="auto"/>
        </w:rPr>
      </w:pPr>
    </w:p>
    <w:p>
      <w:pPr>
        <w:jc w:val="both"/>
        <w:ind w:left="1980" w:right="939"/>
        <w:spacing w:after="0" w:line="255" w:lineRule="auto"/>
        <w:rPr>
          <w:sz w:val="20"/>
          <w:szCs w:val="20"/>
          <w:color w:val="auto"/>
        </w:rPr>
      </w:pPr>
      <w:r>
        <w:rPr>
          <w:rFonts w:ascii="Arial" w:cs="Arial" w:eastAsia="Arial" w:hAnsi="Arial"/>
          <w:sz w:val="12"/>
          <w:szCs w:val="12"/>
          <w:color w:val="auto"/>
        </w:rPr>
        <w:t>Dr. Venker’s then-outstanding equity awards granted prior to March 31, 2021 will be immediately waived, and will thereafter otherwise remain subject to the other existing terms and conditions of such awards (including the achievement of any applicable performance-based vesting conditions and any liquidity event vesting conditions, as the case may be).</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Vivek Ramaswamy</w:t>
      </w:r>
    </w:p>
    <w:p>
      <w:pPr>
        <w:spacing w:after="0" w:line="7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Mr. Ramaswamy is party to an employment agreement with RSI, dated May 14, 2021, which provides for at-will employment and no specified term of employment. Pursuant to Mr. Ramaswamy’s employment agreement, Mr. Ramaswamy’s annual base salary is $350,000, which is subject to increase at the discretion of our board of directors. In addition, Mr. Ramaswamy is entitled to receive an annual bonus for each fiscal year of employment, with a target annual bonus equal to 100% of his annual base salary. Mr. Ramaswamy is also entitled to participate in the employee benefit plans and programs provided by RSI to its employees from time to time.</w:t>
      </w:r>
    </w:p>
    <w:p>
      <w:pPr>
        <w:spacing w:after="0" w:line="128"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Pursuant to Mr. Ramaswamy’s employment agreement, in the event Mr. Ramaswamy’s employment is terminated by RSI without “cause” or Mr. Ramaswamy resigns for “good reason” (each as defined in Mr. Ramaswamy’s employment agreement), then, subject to Mr. Ramaswamy’s timely execution and non-revocation of a release of claims, Mr. Ramaswamy will be entitled to receive (i) continued payment of his base salary for two years following the date of his termination, payable in accordance with RSI’s customary payroll procedures, (ii) a lump sum payment equal to the average of his target annual bonus for the three years prior to the termination date and (iii) monthly payment (or reimbursement) of COBRA premiums (less active employee rates) for 18 months following the date of his termination (or, if earlier, until the date Mr. Ramaswamy becomes eligible for coverage under a subsequent employer’s group health insurance plan).</w:t>
      </w:r>
    </w:p>
    <w:p>
      <w:pPr>
        <w:spacing w:after="0" w:line="115"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addition, with respect to equity awards granted to Mr. Ramaswamy prior to March 31, 2021, subject to his timely execution and non-revocation of a release of claims, (i) in the event Mr. Ramaswamy’s employment is terminated by RSI without cause, by Mr. Ramaswamy for good reason or by mutual agreement between him and RSI, then all service-based vesting conditions with respect to 100% of such awards then outstanding will be immediately waived and (ii) in the event Mr. Ramaswamy’s employment is terminated due to his death or disability, then all service-based vesting conditions with respect to 50% of such awards then outstanding will be immediately waived, in each case provided that all such awards will thereafter otherwise remain subject to the other existing terms and conditions of such awards (including the achievement of any applicable performance-based vesting conditions and any liquidity event vesting conditions, as the case may be).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Benjamin Zimmer</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Zimmer is party to an employment agreement with RSI, dated May 14, 2021, which provides for at-will employment and no specified term of employment. Pursuant to Mr. Zimmer’s employment agreement,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264</w:t>
      </w:r>
    </w:p>
    <w:p>
      <w:pPr>
        <w:sectPr>
          <w:pgSz w:w="11900" w:h="16838" w:orient="portrait"/>
          <w:cols w:equalWidth="0" w:num="1">
            <w:col w:w="10159"/>
          </w:cols>
          <w:pgMar w:left="300" w:top="372" w:right="1440" w:bottom="1440" w:gutter="0" w:footer="0" w:header="0"/>
        </w:sectPr>
      </w:pPr>
    </w:p>
    <w:bookmarkStart w:id="272" w:name="page273"/>
    <w:bookmarkEnd w:id="2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313" w:lineRule="auto"/>
        <w:rPr>
          <w:sz w:val="20"/>
          <w:szCs w:val="20"/>
          <w:color w:val="auto"/>
        </w:rPr>
      </w:pPr>
      <w:r>
        <w:rPr>
          <w:rFonts w:ascii="Arial" w:cs="Arial" w:eastAsia="Arial" w:hAnsi="Arial"/>
          <w:sz w:val="10"/>
          <w:szCs w:val="10"/>
          <w:color w:val="auto"/>
        </w:rPr>
        <w:t>Mr. Zimmer’s annual base salary is $350,000, which is subject to adjustment at the discretion of the compensation committee of our board of directors. In addition, Mr. Zimmer is eligible to receive a discretionary annual performance bonus, with a target annual bonus equal to 100% of his annual base salary. The actual amount of any annual bonus will be based on an assessment by the compensation committee of our board of directors of Mr. Zimmer’s performance, as well as business conditions at the company. Mr. Zimmer will also be eligible to receive discretionary periodic or annual equity incentive awards, based on Mr. Zimmer’s performance and business conditions at the company, as determined in the sole discretion of the compensation committee of our board of directors. Mr. Zimmer is also entitled to participate in the employee benefit plans and programs (including any medical, dental, vision, life and disability insurance benefit plans and 401(k) plan) as provided by RSI to similarly situated full-time employees from time to time.</w:t>
      </w:r>
    </w:p>
    <w:p>
      <w:pPr>
        <w:spacing w:after="0" w:line="102"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Pursuant to Mr. Zimmer’s employment agreement, in the event Mr. Zimmer’s employment is terminated by RSI without “cause” (other than due to Mr. Zimmer’s death or “disability”) or Mr. Zimmer resigns for “good reason” (each as defined in Mr. Zimmer’s employment agreement), then, subject to Mr. Zimmer’s timely execution and non-revocation of a release of claims and continued compliance with applicable restrictive covenants,</w:t>
      </w:r>
    </w:p>
    <w:p>
      <w:pPr>
        <w:spacing w:after="0" w:line="1" w:lineRule="exact"/>
        <w:rPr>
          <w:sz w:val="20"/>
          <w:szCs w:val="20"/>
          <w:color w:val="auto"/>
        </w:rPr>
      </w:pPr>
    </w:p>
    <w:p>
      <w:pPr>
        <w:ind w:left="1980" w:right="1039"/>
        <w:spacing w:after="0" w:line="253" w:lineRule="auto"/>
        <w:rPr>
          <w:sz w:val="20"/>
          <w:szCs w:val="20"/>
          <w:color w:val="auto"/>
        </w:rPr>
      </w:pPr>
      <w:r>
        <w:rPr>
          <w:rFonts w:ascii="Arial" w:cs="Arial" w:eastAsia="Arial" w:hAnsi="Arial"/>
          <w:sz w:val="12"/>
          <w:szCs w:val="12"/>
          <w:color w:val="auto"/>
        </w:rPr>
        <w:t>Mr. Zimmer will be entitled to receive (i) continued payment of his base salary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Mr. Zimmer becomes eligible for coverage under a subsequent employer’s group health insurance plan).</w:t>
      </w:r>
    </w:p>
    <w:p>
      <w:pPr>
        <w:spacing w:after="0" w:line="128" w:lineRule="exact"/>
        <w:rPr>
          <w:sz w:val="20"/>
          <w:szCs w:val="20"/>
          <w:color w:val="auto"/>
        </w:rPr>
      </w:pPr>
    </w:p>
    <w:p>
      <w:pPr>
        <w:ind w:left="1980" w:right="959" w:firstLine="294"/>
        <w:spacing w:after="0" w:line="309" w:lineRule="auto"/>
        <w:rPr>
          <w:sz w:val="20"/>
          <w:szCs w:val="20"/>
          <w:color w:val="auto"/>
        </w:rPr>
      </w:pPr>
      <w:r>
        <w:rPr>
          <w:rFonts w:ascii="Arial" w:cs="Arial" w:eastAsia="Arial" w:hAnsi="Arial"/>
          <w:sz w:val="10"/>
          <w:szCs w:val="10"/>
          <w:color w:val="auto"/>
        </w:rPr>
        <w:t>In addition, in the event of a termination of Mr. Zimmer’s employment due to his death or disability, subject to the execution and non-revocation of a release of claims and continued compliance with applicable restrictive covenants, all service-based vesting conditions with respect to 50% of</w:t>
      </w:r>
    </w:p>
    <w:p>
      <w:pPr>
        <w:spacing w:after="0" w:line="1"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Mr. Zimmer’s then-outstanding equity awards granted prior to March 31, 2021 will be immediately waived, and will thereafter otherwise remain subject to the other existing terms and conditions of such awards (including the achievement of any applicable performance-based vesting conditions and any liquidity event vesting conditions, as the case may be).</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2"/>
          <w:szCs w:val="12"/>
          <w:i w:val="1"/>
          <w:iCs w:val="1"/>
          <w:u w:val="single" w:color="auto"/>
          <w:color w:val="auto"/>
        </w:rPr>
        <w:t>Restrictive Covenants</w:t>
      </w:r>
    </w:p>
    <w:p>
      <w:pPr>
        <w:spacing w:after="0" w:line="78" w:lineRule="exact"/>
        <w:rPr>
          <w:sz w:val="20"/>
          <w:szCs w:val="20"/>
          <w:color w:val="auto"/>
        </w:rPr>
      </w:pPr>
    </w:p>
    <w:p>
      <w:pPr>
        <w:ind w:left="1980" w:right="1019" w:firstLine="294"/>
        <w:spacing w:after="0" w:line="298" w:lineRule="auto"/>
        <w:rPr>
          <w:sz w:val="20"/>
          <w:szCs w:val="20"/>
          <w:color w:val="auto"/>
        </w:rPr>
      </w:pPr>
      <w:r>
        <w:rPr>
          <w:rFonts w:ascii="Arial" w:cs="Arial" w:eastAsia="Arial" w:hAnsi="Arial"/>
          <w:sz w:val="11"/>
          <w:szCs w:val="11"/>
          <w:color w:val="auto"/>
        </w:rPr>
        <w:t>The employment agreements for each of the NEOs provide for customary non-competition and non-solicitation covenants that apply during the term of the NEO’s employment and at least 12 months thereafter. In addition, the employment agreements contain standard confidentiality and non-disparagement provisions that apply during the term of the NEO’s employment and perpetually thereafter.</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Benefit Plans</w:t>
      </w:r>
    </w:p>
    <w:p>
      <w:pPr>
        <w:spacing w:after="0" w:line="8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Roivant’s NEOs participate in employee benefit programs available to its employees generally, including health, dental and vision insurance and a tax-qualified 401(k) plan maintained by RSI. Neither Roivant nor its subsidiaries maintained any executive-specific benefit or perquisite programs in Fiscal 2020.</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Under RSI’s 401(k) plan, eligible employees (including the NEOs) are able to defer up to 90% of their eligible compensation subject to applicable annual limits under the Internal Revenue Code. All participants are 100% vested in their deferrals when contributed. Currently, RSI provides matching contributions for employees’ pre-tax contributions on a dollar-for-dollar basis up to $8,550 annually per employee. These matching contributions generally become vested after two years of service by an employee.</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Stock Purchase Plan</w:t>
      </w:r>
    </w:p>
    <w:p>
      <w:pPr>
        <w:spacing w:after="0" w:line="82"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In connection with the Business Combination, our board of directors approved and adopted the Roivant Sciences Ltd. 2021 Employee Stock Purchase Plan (the “ESPP”).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265</w:t>
      </w:r>
    </w:p>
    <w:p>
      <w:pPr>
        <w:sectPr>
          <w:pgSz w:w="11900" w:h="16838" w:orient="portrait"/>
          <w:cols w:equalWidth="0" w:num="1">
            <w:col w:w="10159"/>
          </w:cols>
          <w:pgMar w:left="300" w:top="372" w:right="1440" w:bottom="1440" w:gutter="0" w:footer="0" w:header="0"/>
        </w:sectPr>
      </w:pPr>
    </w:p>
    <w:bookmarkStart w:id="273" w:name="page274"/>
    <w:bookmarkEnd w:id="2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following summary of the material terms of the ESPP does not purport to be complete and is qualified in its entirety by the terms of the ESPP, a form of which is filed as an exhibit to the registration statement to which this prospectus forms a part.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Purpose</w:t>
      </w:r>
    </w:p>
    <w:p>
      <w:pPr>
        <w:spacing w:after="0" w:line="78"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ESPP is intended to provide employees of Roivant and participating subsidiaries with an opportunity to acquire a proprietary interest in Roivant through the purchase of shares at a discount through payroll deductions.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Administration</w:t>
      </w:r>
    </w:p>
    <w:p>
      <w:pPr>
        <w:spacing w:after="0" w:line="78"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ESPP is administered by the compensation committee of our board of directors, which may delegate its authority to one or more officers of Roivant and to one or more committees of the board of directors.</w:t>
      </w:r>
    </w:p>
    <w:p>
      <w:pPr>
        <w:spacing w:after="0" w:line="115"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Our compensation committee has the authority to construe and interpret the ESPP, prescribe, amend and rescind rules relating to the ESPP’s administration and take any other actions necessary or desirable for the administration of the ESPP and correct any defect or supply any omission or reconcile any inconsistency or ambiguity in the ESPP.</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Shares</w:t>
      </w:r>
    </w:p>
    <w:p>
      <w:pPr>
        <w:spacing w:after="0" w:line="78"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Subject to certain adjustments as described below, the aggregate number of Common Shares that initially may be issued under the ESPP will be 13,900,000. In addition, on the first day of each fiscal year following the effective date of the ESPP, the number of Common Shares reserved for issuance under the ESPP will automatically increase by an amount equal to the least of (i) 13,900,000 Common Shares, (ii) 1% of the Common Shares outstanding as of the last day of the immediately preceding fiscal year and (iii) such number of Common Shares as determined by our board of directors in its discretion. The maximum number of Common Shares that may be issued under the ESPP is 147,447,650 Common Shares (subject to adjustment as noted under “–</w:t>
      </w:r>
      <w:r>
        <w:rPr>
          <w:rFonts w:ascii="Arial" w:cs="Arial" w:eastAsia="Arial" w:hAnsi="Arial"/>
          <w:sz w:val="12"/>
          <w:szCs w:val="12"/>
          <w:i w:val="1"/>
          <w:iCs w:val="1"/>
          <w:color w:val="auto"/>
        </w:rPr>
        <w:t>Adjustments</w:t>
      </w:r>
      <w:r>
        <w:rPr>
          <w:rFonts w:ascii="Arial" w:cs="Arial" w:eastAsia="Arial" w:hAnsi="Arial"/>
          <w:sz w:val="12"/>
          <w:szCs w:val="12"/>
          <w:color w:val="auto"/>
        </w:rPr>
        <w:t>” below).</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Eligibility and Participation</w:t>
      </w:r>
    </w:p>
    <w:p>
      <w:pPr>
        <w:spacing w:after="0" w:line="7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Any employee of Roivant or a participating subsidiary who has completed (or who has been credited with) at least three (3) months of continuous employment or service with Roivant or any participating subsidiary and is customarily employed for at least twenty (20) hours per week may participate in the ESPP. The compensation committee may exclude from participation in the ESPP any employees who are “highly compensated employees,” or any sub-set of such “highly compensated employees.” The compensation committee may also exclude any employees located outside of the United States to the extent permitted under Section 423 of the Code.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Offering Periods</w:t>
      </w:r>
    </w:p>
    <w:p>
      <w:pPr>
        <w:spacing w:after="0" w:line="78"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The ESPP will be implemented through a series of six-month offering periods (each, an “Offering Period”), expected to commence on January 1 and July 1 of each year. The compensation committee has the authority to change the duration and start and end dates of the Offering Periods.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Adjustments</w:t>
      </w:r>
    </w:p>
    <w:p>
      <w:pPr>
        <w:spacing w:after="0" w:line="78"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In the event that any dividend or other distribution (whether in the form of cash, Common Shares, or other property), recapitalization, stock split, reverse stock split, reorganization, merger, consolidation, amalgamation, split-up, spin-off, combination, repurchase or exchange of Common Shares or other securities of Roivant, or other change in Roivant’s structure affecting the Common Shares occurs, then in order to prevent dilution or enlargement of the benefits or potential benefits intended to be made available under the ESPP, the compensation committee will, in such manner as it deems equitable adjust the number of Common Shares and class of Common Shares that may be delivered under the ESPP, adjust the purchase price per Common Share and the number of Common Shares covered by each outstanding option under the ESPP; and adjust the Common Share numerical limits.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266</w:t>
      </w:r>
    </w:p>
    <w:p>
      <w:pPr>
        <w:sectPr>
          <w:pgSz w:w="11900" w:h="16838" w:orient="portrait"/>
          <w:cols w:equalWidth="0" w:num="1">
            <w:col w:w="10159"/>
          </w:cols>
          <w:pgMar w:left="300" w:top="372" w:right="1440" w:bottom="1440" w:gutter="0" w:footer="0" w:header="0"/>
        </w:sectPr>
      </w:pPr>
    </w:p>
    <w:bookmarkStart w:id="274" w:name="page275"/>
    <w:bookmarkEnd w:id="2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Term; Amendment and Termination</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ESPP has a 10 year term.</w:t>
      </w:r>
    </w:p>
    <w:p>
      <w:pPr>
        <w:spacing w:after="0" w:line="150"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The compensation committee has the authority to amend, suspend or terminate the ESPP at any time and for any reason. If the ESPP is terminated, the compensation committee may elect either to terminate all outstanding offering periods either immediately or once Common Shares have been purchased on the next purchase date; or permit offering periods to expire in accordance with their terms. If an offering period is terminated before its scheduled expiration, all amounts that have not been used to purchase Common Shares will be returned to participants.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Equity Incentive Compensation Plans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Amended and Restated 2015 Equity Incentive Plan</w:t>
      </w:r>
    </w:p>
    <w:p>
      <w:pPr>
        <w:spacing w:after="0" w:line="78"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Roivant maintains the Amended and Restated Roivant Sciences Ltd. 2015 Equity Incentive Plan (the “2015 EIP”), which provides for the discretionary grant of equity awards to eligible participants. Effective at the consummation of the Business Combination, the 2015 EIP was terminated and no further awards will be granted under the 2015 EIP. All awards outstanding under the 2015 EIP will remain subject to the terms of the 2015 EIP and the applicable award agreement, subject to adjustments made at the closing of the Business Combination. There are currently awards of nonqualified stock options (including Performance Options), RSUs and CVARs outstanding under the 2015 EIP. The following sets forth a summary of certain material features of the 2015 EIP, and is qualified in its entirety by the text of the 2015 EIP, a form of which is filed as an exhibit to the registration statement of which this prospectus forms a part.</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Purpose</w:t>
      </w:r>
    </w:p>
    <w:p>
      <w:pPr>
        <w:spacing w:after="0" w:line="78"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2015 EIP is intended to help Roivant secure and retain the services of eligible award recipients, provide incentives for such persons to exert maximum efforts for the success of the Roivant and its affiliates and provide a means by which the eligible recipients may benefit from increases in value of Roivant’s shares.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Administration</w:t>
      </w:r>
    </w:p>
    <w:p>
      <w:pPr>
        <w:spacing w:after="0" w:line="78"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2015 EIP is administered by our board of directors, which may delegate its duties and responsibilities to one or more committees of its directors (referred to collectively as the “plan administrator”).</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Our board of directors has the authority to, among other things and subject to the limitations imposed under the 2015 EIP, stock exchange rules and other applicable law, determine the eligible participants to be granted awards and the terms and conditions of such awards; construe and interpret the 2015 EIP and awards granted thereunder and to establish, amend and revoke rules for the administration of the 2015 EIP and awards granted thereunder; settle all controversies regarding the 2021 EIP and awards granted under it; accelerate, in whole or in part, the time at which an award may be exercised or vest; approve forms of award agreements for use under the 2015 EIP; amend the terms of any one or more awards; effect, with the consent of any adversely affected participant, the reduction of the exercise price of any outstanding award, the cancellation of any outstanding award and the grant in substitution therefor of a new award, cash and/or other valuable consideration, or any other action that is treated as a repricing under generally accepted accounting principles; and exercise such powers and perform such acts as our board of directors deems necessary or expedient to promote the best interests of Roivant.</w:t>
      </w:r>
    </w:p>
    <w:p>
      <w:pPr>
        <w:spacing w:after="0" w:line="117" w:lineRule="exact"/>
        <w:rPr>
          <w:sz w:val="20"/>
          <w:szCs w:val="20"/>
          <w:color w:val="auto"/>
        </w:rPr>
      </w:pPr>
    </w:p>
    <w:p>
      <w:pPr>
        <w:ind w:left="1980" w:right="1099" w:firstLine="294"/>
        <w:spacing w:after="0" w:line="379" w:lineRule="auto"/>
        <w:rPr>
          <w:sz w:val="20"/>
          <w:szCs w:val="20"/>
          <w:color w:val="auto"/>
        </w:rPr>
      </w:pPr>
      <w:r>
        <w:rPr>
          <w:rFonts w:ascii="Arial" w:cs="Arial" w:eastAsia="Arial" w:hAnsi="Arial"/>
          <w:sz w:val="10"/>
          <w:szCs w:val="10"/>
          <w:color w:val="auto"/>
        </w:rPr>
        <w:t>To the extent permitted by applicable law, our board of directors may also delegate its authority under the 2015 EIP to one or more officers to designate employees to be recipients of awards and to determine the number of shares to be granted pursuant to awards, subject to specified limits.</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Eligibility</w:t>
      </w:r>
    </w:p>
    <w:p>
      <w:pPr>
        <w:spacing w:after="0" w:line="78"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Employees, consultants and directors of Roivant and certain of its affiliates are eligible to receive awards under the 2015 EIP to the extent our board of directors determines that the grant of such award furthers the purpose of the 2015 EIP (as described above).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267</w:t>
      </w:r>
    </w:p>
    <w:p>
      <w:pPr>
        <w:sectPr>
          <w:pgSz w:w="11900" w:h="16838" w:orient="portrait"/>
          <w:cols w:equalWidth="0" w:num="1">
            <w:col w:w="10159"/>
          </w:cols>
          <w:pgMar w:left="300" w:top="372" w:right="1440" w:bottom="1440" w:gutter="0" w:footer="0" w:header="0"/>
        </w:sectPr>
      </w:pPr>
    </w:p>
    <w:bookmarkStart w:id="275" w:name="page276"/>
    <w:bookmarkEnd w:id="2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Awards</w:t>
      </w:r>
    </w:p>
    <w:p>
      <w:pPr>
        <w:spacing w:after="0" w:line="78"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2015 EIP provides for the grant of incentive stock options, nonqualified stock options, stock appreciation rights, restricted stock awards, restricted stock units and other stock awards.</w:t>
      </w:r>
    </w:p>
    <w:p>
      <w:pPr>
        <w:spacing w:after="0" w:line="115"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As of June 30, 2021, there were 48,572,113 Common Shares underlying outstanding awards under the 2015 EIP (without giving effect to the adjustments noted below which occurred in connection with the Business Combination). At the consummation of the Business Combination, all awards outstanding under the 2015 EIP remain subject to the terms of the 2015 EIP and the applicable award agreement, subject to the adjustments made at the closing of the Business Combination as described in more detail below. No further awards will be granted under the 2015 EIP.</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Capitalization Adjustments</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In the event there is a specified type of change in Roivant’s capital structure, such as a merger,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appropriate adjustments will be made to the class and maximum number of shares reserved for issuance under the 2015 EIP, the class and maximum number of shares that may be issued upon the exercise of incentive stock options, and the class and number of shares and exercise price, strike price, knock-in price measure, threshold, target or maximum price measure or other price measure, if applicable, of all outstanding awards.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Control</w:t>
      </w:r>
    </w:p>
    <w:p>
      <w:pPr>
        <w:spacing w:after="0" w:line="7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2015 EIP provides that, in the event of a change in control of Roivant (as described below), our board of directors may take one or more of the following actions with respect to outstanding awards, contingent upon the closing or completion of the change in control:</w:t>
      </w:r>
    </w:p>
    <w:p>
      <w:pPr>
        <w:spacing w:after="0" w:line="29" w:lineRule="exact"/>
        <w:rPr>
          <w:sz w:val="20"/>
          <w:szCs w:val="20"/>
          <w:color w:val="auto"/>
        </w:rPr>
      </w:pPr>
    </w:p>
    <w:p>
      <w:pPr>
        <w:ind w:left="2620" w:hanging="288"/>
        <w:spacing w:after="0"/>
        <w:tabs>
          <w:tab w:leader="none" w:pos="26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arrange for the assumption, continuation or substitution of the award by the successor or acquiring corporation (or its parent);</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arrange for lapse of, or the assignment to the successor or acquiring corporation (or its parent) of, any reacquisition or repurchase rights held by Roivant;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43"/>
        </w:numPr>
        <w:rPr>
          <w:rFonts w:ascii="Arial" w:cs="Arial" w:eastAsia="Arial" w:hAnsi="Arial"/>
          <w:sz w:val="11"/>
          <w:szCs w:val="11"/>
          <w:color w:val="auto"/>
        </w:rPr>
      </w:pPr>
      <w:r>
        <w:rPr>
          <w:rFonts w:ascii="Arial" w:cs="Arial" w:eastAsia="Arial" w:hAnsi="Arial"/>
          <w:sz w:val="11"/>
          <w:szCs w:val="11"/>
          <w:color w:val="auto"/>
        </w:rPr>
        <w:t>accelerate the vesting (in whole or in part) of the award and provide for its termination prior to the effective time of the change in control;</w:t>
      </w:r>
    </w:p>
    <w:p>
      <w:pPr>
        <w:spacing w:after="0" w:line="98" w:lineRule="exact"/>
        <w:rPr>
          <w:rFonts w:ascii="Arial" w:cs="Arial" w:eastAsia="Arial" w:hAnsi="Arial"/>
          <w:sz w:val="11"/>
          <w:szCs w:val="11"/>
          <w:color w:val="auto"/>
        </w:rPr>
      </w:pPr>
    </w:p>
    <w:p>
      <w:pPr>
        <w:ind w:left="2620" w:right="879" w:hanging="288"/>
        <w:spacing w:after="0" w:line="276" w:lineRule="auto"/>
        <w:tabs>
          <w:tab w:leader="none" w:pos="26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cancel the award prior to the effective time of the change in control in exchange for a cash payment, which may be reduced by the exercise price payable in connection with the award; or</w:t>
      </w:r>
    </w:p>
    <w:p>
      <w:pPr>
        <w:spacing w:after="0" w:line="51" w:lineRule="exact"/>
        <w:rPr>
          <w:rFonts w:ascii="Arial" w:cs="Arial" w:eastAsia="Arial" w:hAnsi="Arial"/>
          <w:sz w:val="12"/>
          <w:szCs w:val="12"/>
          <w:color w:val="auto"/>
        </w:rPr>
      </w:pPr>
    </w:p>
    <w:p>
      <w:pPr>
        <w:ind w:left="2620" w:right="899" w:hanging="288"/>
        <w:spacing w:after="0" w:line="256" w:lineRule="auto"/>
        <w:tabs>
          <w:tab w:leader="none" w:pos="26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make a payment, in such form as determined by the Roivant, equal to the excess, if any, of the value of the property that would have been received if such award was exercised immediately prior to the effective time of the change in control over any exercise price payable (which may be $0 if the value of the property is equal to or less than the exercise price), which such payments may be delayed to the same extent that payment of consideration to Roivant shareholders in connection with the change in control is delayed as a result of escrows, earn outs, holdbacks or any other contingencies).</w:t>
      </w:r>
    </w:p>
    <w:p>
      <w:pPr>
        <w:spacing w:after="0" w:line="12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Our board of directors is not obligated to treat all awards or portions of awards in the same manner. Our board of directors may take different actions with respect to the vested and unvested portions of an award.</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“change in control” is generally defined under the 2015 EIP to include the following:</w:t>
      </w:r>
    </w:p>
    <w:p>
      <w:pPr>
        <w:spacing w:after="0" w:line="87" w:lineRule="exact"/>
        <w:rPr>
          <w:sz w:val="20"/>
          <w:szCs w:val="20"/>
          <w:color w:val="auto"/>
        </w:rPr>
      </w:pPr>
    </w:p>
    <w:p>
      <w:pPr>
        <w:ind w:left="2620" w:right="919" w:hanging="288"/>
        <w:spacing w:after="0" w:line="276" w:lineRule="auto"/>
        <w:tabs>
          <w:tab w:leader="none" w:pos="26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 transaction or series of related transactions in which a person, or a group of related persons, acquires from Roivant shares representing a majority of the voting power or economic interests of Roivant;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268</w:t>
      </w:r>
    </w:p>
    <w:p>
      <w:pPr>
        <w:sectPr>
          <w:pgSz w:w="11900" w:h="16838" w:orient="portrait"/>
          <w:cols w:equalWidth="0" w:num="1">
            <w:col w:w="10159"/>
          </w:cols>
          <w:pgMar w:left="300" w:top="372" w:right="1440" w:bottom="1440" w:gutter="0" w:footer="0" w:header="0"/>
        </w:sectPr>
      </w:pPr>
    </w:p>
    <w:bookmarkStart w:id="276" w:name="page277"/>
    <w:bookmarkEnd w:id="2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hanging="288"/>
        <w:spacing w:after="0" w:line="255" w:lineRule="auto"/>
        <w:tabs>
          <w:tab w:leader="none" w:pos="26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a merger, amalgamation or scheme of arrangement in which Roivant is a constituent party and Roivant issues shares pursuant to such transaction, except in circumstances where, Roivant shares outstanding immediately prior to such transaction continue to represent, or are converted into or exchanged for shares that represent, immediately following such transaction, at least a majority of the voting power of the surviving or amalgamated corporation or Roivant (or, if such surviving or amalgamated corporation or Roivant is a wholly owned subsidiary of another corporation immediately following such transaction, the parent corporation of such surviving or amalgamated corporation or Roivant);</w:t>
      </w:r>
    </w:p>
    <w:p>
      <w:pPr>
        <w:spacing w:after="0" w:line="65" w:lineRule="exact"/>
        <w:rPr>
          <w:rFonts w:ascii="Arial" w:cs="Arial" w:eastAsia="Arial" w:hAnsi="Arial"/>
          <w:sz w:val="12"/>
          <w:szCs w:val="12"/>
          <w:color w:val="auto"/>
        </w:rPr>
      </w:pPr>
    </w:p>
    <w:p>
      <w:pPr>
        <w:ind w:left="2620" w:right="1059" w:hanging="288"/>
        <w:spacing w:after="0" w:line="323" w:lineRule="auto"/>
        <w:tabs>
          <w:tab w:leader="none" w:pos="2620" w:val="left"/>
        </w:tabs>
        <w:numPr>
          <w:ilvl w:val="0"/>
          <w:numId w:val="145"/>
        </w:numPr>
        <w:rPr>
          <w:rFonts w:ascii="Arial" w:cs="Arial" w:eastAsia="Arial" w:hAnsi="Arial"/>
          <w:sz w:val="11"/>
          <w:szCs w:val="11"/>
          <w:color w:val="auto"/>
        </w:rPr>
      </w:pPr>
      <w:r>
        <w:rPr>
          <w:rFonts w:ascii="Arial" w:cs="Arial" w:eastAsia="Arial" w:hAnsi="Arial"/>
          <w:sz w:val="11"/>
          <w:szCs w:val="11"/>
          <w:color w:val="auto"/>
        </w:rPr>
        <w:t>the sale, lease, transfer, exclusive license or other disposition, in a single transaction or series of related transactions, by Roivant or any subsidiary of Roivant of all or substantially all the assets of Roivant and its subsidiaries taken as a whole; or</w:t>
      </w:r>
    </w:p>
    <w:p>
      <w:pPr>
        <w:spacing w:after="0" w:line="28" w:lineRule="exact"/>
        <w:rPr>
          <w:rFonts w:ascii="Arial" w:cs="Arial" w:eastAsia="Arial" w:hAnsi="Arial"/>
          <w:sz w:val="11"/>
          <w:szCs w:val="11"/>
          <w:color w:val="auto"/>
        </w:rPr>
      </w:pPr>
    </w:p>
    <w:p>
      <w:pPr>
        <w:ind w:left="2620" w:right="859" w:hanging="288"/>
        <w:spacing w:after="0" w:line="298" w:lineRule="auto"/>
        <w:tabs>
          <w:tab w:leader="none" w:pos="2620" w:val="left"/>
        </w:tabs>
        <w:numPr>
          <w:ilvl w:val="0"/>
          <w:numId w:val="145"/>
        </w:numPr>
        <w:rPr>
          <w:rFonts w:ascii="Arial" w:cs="Arial" w:eastAsia="Arial" w:hAnsi="Arial"/>
          <w:sz w:val="11"/>
          <w:szCs w:val="11"/>
          <w:color w:val="auto"/>
        </w:rPr>
      </w:pPr>
      <w:r>
        <w:rPr>
          <w:rFonts w:ascii="Arial" w:cs="Arial" w:eastAsia="Arial" w:hAnsi="Arial"/>
          <w:sz w:val="11"/>
          <w:szCs w:val="11"/>
          <w:color w:val="auto"/>
        </w:rPr>
        <w:t>the sale or disposition (whether by merger, amalgamation, scheme of arrangement or otherwise) of one or more subsidiaries of Roivant if substantially all of the assets of Roivant and its subsidiaries taken as a whole are held by such subsidiary or subsidiaries, except where such sale, lease, transfer, exclusive license or other disposition is to a wholly owned subsidiary of Roivant.</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Plan Amendment, Suspension or Termination</w:t>
      </w:r>
    </w:p>
    <w:p>
      <w:pPr>
        <w:spacing w:after="0" w:line="78"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 xml:space="preserve">Our board of directors has the authority to amend, suspend, or terminate the 2015 EIP at any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action does not materially impair the existing rights of any participant without such participant’s written consent. No awards may be granted under the 2015 EIP while the 2015 EIP is suspended or after it is terminated.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Equity Incentive Plan</w:t>
      </w:r>
    </w:p>
    <w:p>
      <w:pPr>
        <w:spacing w:after="0" w:line="78"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In connection with the Business Combination, our board of directors approved and adopted the Roivant Sciences Ltd. 2021 Equity Incentive Plan (the “2021 EIP”). The following sets forth a summary of certain material features of the 2021 EIP, and is qualified in its entirety by the text of the 2021 EIP, a form of which is filed as an exhibit to the registration statement of which this prospectus forms a part.</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Purpose</w:t>
      </w:r>
    </w:p>
    <w:p>
      <w:pPr>
        <w:spacing w:after="0" w:line="78"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2021 EIP is intended to help Roivant secure and retain the services of eligible award recipients, provide incentives for such persons to exert maximum efforts for the success of the Roivant and its affiliates and provide a means by which the eligible recipients may benefit from increases in value of Roivant’s shares.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Administration</w:t>
      </w:r>
    </w:p>
    <w:p>
      <w:pPr>
        <w:spacing w:after="0" w:line="78"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2021 EIP is administered by our board of directors, which may delegate its duties and responsibilities to one or more committees of its directors (referred to collectively as the “plan administrator”).</w:t>
      </w:r>
    </w:p>
    <w:p>
      <w:pPr>
        <w:spacing w:after="0" w:line="115"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Our board of directors has the authority to, among other things and subject to the limitations imposed under the 2021 EIP, stock exchange rules and other applicable law: determine the eligible participants to be granted awards and the terms and conditions of such awards; construe and interpret the 2021 EIP and awards granted thereunder; settle all controversies regarding the 2021 EIP and awards granted under it; accelerate, in whole or in part, the time at which an award may be exercised or vest; approve forms of award agreements for use under the 2021 EIP; amend the terms of any one or more awards; effect, with the consent of any adversely affected participant, the reduction of the exercise price of any outstanding award, the cancellation of any outstanding award and the grant in substitution therefor of a new award, cash and/or other valuable consideration, or any other action that is treated as a repricing under generally accepted accounting principles; and exercise such powers, perform such acts and make any other determinations as our board of directors deems necessary, expedient or desirable to promote the best interests of Roivant and for due compliance with applicable law, stock market or exchange rules and regulations or accounting or tax rules and regulations.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269</w:t>
      </w:r>
    </w:p>
    <w:p>
      <w:pPr>
        <w:sectPr>
          <w:pgSz w:w="11900" w:h="16838" w:orient="portrait"/>
          <w:cols w:equalWidth="0" w:num="1">
            <w:col w:w="10159"/>
          </w:cols>
          <w:pgMar w:left="300" w:top="372" w:right="1440" w:bottom="1440" w:gutter="0" w:footer="0" w:header="0"/>
        </w:sectPr>
      </w:pPr>
    </w:p>
    <w:bookmarkStart w:id="277" w:name="page278"/>
    <w:bookmarkEnd w:id="2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firstLine="294"/>
        <w:spacing w:after="0" w:line="379" w:lineRule="auto"/>
        <w:rPr>
          <w:sz w:val="20"/>
          <w:szCs w:val="20"/>
          <w:color w:val="auto"/>
        </w:rPr>
      </w:pPr>
      <w:r>
        <w:rPr>
          <w:rFonts w:ascii="Arial" w:cs="Arial" w:eastAsia="Arial" w:hAnsi="Arial"/>
          <w:sz w:val="10"/>
          <w:szCs w:val="10"/>
          <w:color w:val="auto"/>
        </w:rPr>
        <w:t>To the extent permitted by applicable law, our board of directors may also delegate its authority under the 2021 EIP to one or more officers to designate employees to be recipients of awards and to determine the number of shares to be granted pursuant to awards, subject to specified limits.</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Authorized Shares</w:t>
      </w:r>
    </w:p>
    <w:p>
      <w:pPr>
        <w:spacing w:after="0" w:line="78" w:lineRule="exact"/>
        <w:rPr>
          <w:sz w:val="20"/>
          <w:szCs w:val="20"/>
          <w:color w:val="auto"/>
        </w:rPr>
      </w:pPr>
    </w:p>
    <w:p>
      <w:pPr>
        <w:jc w:val="both"/>
        <w:ind w:left="1980" w:right="1019" w:firstLine="294"/>
        <w:spacing w:after="0" w:line="306" w:lineRule="auto"/>
        <w:rPr>
          <w:sz w:val="20"/>
          <w:szCs w:val="20"/>
          <w:color w:val="auto"/>
        </w:rPr>
      </w:pPr>
      <w:r>
        <w:rPr>
          <w:rFonts w:ascii="Arial" w:cs="Arial" w:eastAsia="Arial" w:hAnsi="Arial"/>
          <w:sz w:val="10"/>
          <w:szCs w:val="10"/>
          <w:color w:val="auto"/>
        </w:rPr>
        <w:t>Subject to certain adjustments as described below, the aggregate number of Common Shares that initially may be issued under the 2021 EIP is 69,300,000. In addition, on the first day of each fiscal year of Roivant following the effective date of the 2021 EIP and prior to the termination of the 2021 EIP, the number of Common Shares reserved for issuance under the 2021 EIP will automatically increase by an amount equal to the lesser of (i)</w:t>
      </w:r>
    </w:p>
    <w:p>
      <w:pPr>
        <w:spacing w:after="0" w:line="1"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5% of the Common Shares outstanding as of the last day of the immediately preceding fiscal year and (ii) such number of Common Shares as determined by our board of directors in its discretion. The maximum number of Common Shares that may be issued pursuant to the exercise of incentive stock options under the 2021 EIP is equal to the initial share reserve under the 2021 EIP as described above.</w:t>
      </w:r>
    </w:p>
    <w:p>
      <w:pPr>
        <w:spacing w:after="0" w:line="127"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The maximum number of Common Shares subject to any awards granted under the 2021 EIP during any fiscal year to any non-employee director, taken together with any cash fees paid by Roivant to such director during such fiscal year, will not exceed $750,000 (or $1,000,000 for such director’s first fiscal year of service on our board of directors) in total value.</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Common Shares subject to awards granted under the 2021 EIP that expire or terminate without being exercised in full, or that are paid out in cash rather than in shares, will not reduce the number of Common Shares available for issuance under the 2021 EIP. Additionally, Common Shares issued pursuant to awards under the 2021 EIP that are repurchased by Roivant or are forfeited, as well as Common Shares reacquired by Roivant as consideration for the exercise or purchase price of an award or to satisfy tax withholding obligations related to an award, will become available for future grant under the 2021 EIP.</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Eligibility</w:t>
      </w:r>
    </w:p>
    <w:p>
      <w:pPr>
        <w:spacing w:after="0" w:line="78"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Employees, consultants and directors of Roivant and certain of its affiliates (including individuals who has accepted an offer of employment or service from Roivant and certain of its affiliates) are eligible to receive awards under the 2021 EIP to the extent our board of directors determines that the grant of such award furthers the purpose of the 2021 EIP (as described above).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Awards</w:t>
      </w:r>
    </w:p>
    <w:p>
      <w:pPr>
        <w:spacing w:after="0" w:line="78"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2021 EIP provides for the grant of incentive stock options, nonqualified stock options, stock appreciation rights, restricted stock awards, restricted stock units and other stock awards.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Capitalization Adjustments</w:t>
      </w:r>
    </w:p>
    <w:p>
      <w:pPr>
        <w:spacing w:after="0" w:line="78"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In the event there is a specified type of change in Roivant’s capital structure, such as a merger, consolidation, amalgamation,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appropriate adjustments will be made to the class and maximum number of shares reserved for issuance under the 2021 EIP, the class and maximum number of shares that may be issued upon the exercise of incentive stock options, and the class and number of shares and exercise price, strike price, knock-in price measure, threshold, target or maximum price measure or other price measure, if applicable, of all outstanding awards.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270</w:t>
      </w:r>
    </w:p>
    <w:p>
      <w:pPr>
        <w:sectPr>
          <w:pgSz w:w="11900" w:h="16838" w:orient="portrait"/>
          <w:cols w:equalWidth="0" w:num="1">
            <w:col w:w="10159"/>
          </w:cols>
          <w:pgMar w:left="300" w:top="372" w:right="1440" w:bottom="1440" w:gutter="0" w:footer="0" w:header="0"/>
        </w:sectPr>
      </w:pPr>
    </w:p>
    <w:bookmarkStart w:id="278" w:name="page279"/>
    <w:bookmarkEnd w:id="2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Control</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2021 EIP provides that in the event of a change in control of Roivant (as described below), our board of directors may take one or more of the following actions with respect to outstanding awards upon the closing of the change in control:</w:t>
      </w:r>
    </w:p>
    <w:p>
      <w:pPr>
        <w:spacing w:after="0" w:line="52" w:lineRule="exact"/>
        <w:rPr>
          <w:sz w:val="20"/>
          <w:szCs w:val="20"/>
          <w:color w:val="auto"/>
        </w:rPr>
      </w:pPr>
    </w:p>
    <w:p>
      <w:pPr>
        <w:ind w:left="2620" w:hanging="288"/>
        <w:spacing w:after="0"/>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arrange for the assumption, continuation or substitution of the award by the successor or acquiring corporation (or its parent);</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arrange for the assignment of any reacquisition or repurchase rights held by Roivant to the successor or acquiring corporation (or its parent);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accelerate the vesting of the award and provide for its termination prior to the effective time of the change in control;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arrange for the lapse, in whole or in part, of any reacquisition or repurchase right held by Roivant;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determine the level of attainment of any performance conditions applicable to the award;</w:t>
      </w:r>
    </w:p>
    <w:p>
      <w:pPr>
        <w:spacing w:after="0" w:line="87"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cancel the award prior to the effective time of the change in control in exchange for a cash payment, which may be reduced by the exercise price payable in connection with the award; or</w:t>
      </w:r>
    </w:p>
    <w:p>
      <w:pPr>
        <w:spacing w:after="0" w:line="51" w:lineRule="exact"/>
        <w:rPr>
          <w:rFonts w:ascii="Arial" w:cs="Arial" w:eastAsia="Arial" w:hAnsi="Arial"/>
          <w:sz w:val="12"/>
          <w:szCs w:val="12"/>
          <w:color w:val="auto"/>
        </w:rPr>
      </w:pPr>
    </w:p>
    <w:p>
      <w:pPr>
        <w:ind w:left="2620" w:right="919" w:hanging="288"/>
        <w:spacing w:after="0" w:line="285" w:lineRule="auto"/>
        <w:tabs>
          <w:tab w:leader="none" w:pos="262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cancel the award in exchange for a payment, in such form as determined by our board of directors, equal to the excess, if any, of the value of the property that would have been received if such award was exercised immediately prior to the effective time of the change in control over any exercise price payable (which may be $0 if the value of the property is equal to or less than the exercise price), which such payments may be delayed to the same extent that payment of consideration to Roivant shareholders in connection with the change in control is delayed as a result of escrows, earn outs, holdbacks or any other contingencies).</w:t>
      </w:r>
    </w:p>
    <w:p>
      <w:pPr>
        <w:spacing w:after="0" w:line="113"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Our board of directors is not obligated to treat all awards or portions of awards in the same manner. Our board of directors may take different actions with respect to the vested and unvested portions of an award.</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“change in control” is generally defined under the 2021 EIP to include the following:</w:t>
      </w:r>
    </w:p>
    <w:p>
      <w:pPr>
        <w:spacing w:after="0" w:line="87" w:lineRule="exact"/>
        <w:rPr>
          <w:sz w:val="20"/>
          <w:szCs w:val="20"/>
          <w:color w:val="auto"/>
        </w:rPr>
      </w:pPr>
    </w:p>
    <w:p>
      <w:pPr>
        <w:ind w:left="2620" w:right="959" w:hanging="288"/>
        <w:spacing w:after="0" w:line="276" w:lineRule="auto"/>
        <w:tabs>
          <w:tab w:leader="none" w:pos="26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any person, entity or group is (or becomes during any 12-month period) the beneficial owner of 50% or more of the total voting power of Roivant shares;</w:t>
      </w:r>
    </w:p>
    <w:p>
      <w:pPr>
        <w:spacing w:after="0" w:line="51" w:lineRule="exact"/>
        <w:rPr>
          <w:rFonts w:ascii="Arial" w:cs="Arial" w:eastAsia="Arial" w:hAnsi="Arial"/>
          <w:sz w:val="12"/>
          <w:szCs w:val="12"/>
          <w:color w:val="auto"/>
        </w:rPr>
      </w:pPr>
    </w:p>
    <w:p>
      <w:pPr>
        <w:ind w:left="2620" w:right="1019" w:hanging="288"/>
        <w:spacing w:after="0" w:line="259" w:lineRule="auto"/>
        <w:tabs>
          <w:tab w:leader="none" w:pos="26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 change in the composition of our board of directors such that, during any 12-month period, the individuals who, as of the beginning of such period, constitute our board of directors (“Existing Board”) cease for any reason to constitute a majority of our board of directors (with any individuals whose appointment to our board of directors was approved by a vote of at least a majority of the members of the Existing Board being considered a member of the Existing Board);</w:t>
      </w:r>
    </w:p>
    <w:p>
      <w:pPr>
        <w:spacing w:after="0" w:line="61" w:lineRule="exact"/>
        <w:rPr>
          <w:rFonts w:ascii="Arial" w:cs="Arial" w:eastAsia="Arial" w:hAnsi="Arial"/>
          <w:sz w:val="12"/>
          <w:szCs w:val="12"/>
          <w:color w:val="auto"/>
        </w:rPr>
      </w:pPr>
    </w:p>
    <w:p>
      <w:pPr>
        <w:ind w:left="2620" w:right="919" w:hanging="288"/>
        <w:spacing w:after="0" w:line="259" w:lineRule="auto"/>
        <w:tabs>
          <w:tab w:leader="none" w:pos="26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consummation of a merger, amalgamation or consolidation of Roivant with any another corporation or entity, or the issuance of voting securities in connection with such a transaction pursuant to applicable stock exchange requirements, except in circumstances where, immediately following such transaction, the voting securities of Roivant continue to represent 50% or more of the total voting power and total fair market value of the surviving entity or its parent; or</w:t>
      </w:r>
    </w:p>
    <w:p>
      <w:pPr>
        <w:spacing w:after="0" w:line="61"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sale or disposition by Roivant of all or substantially all of its assets in which any person, entity or group acquires (or has acquiring during a 12-month period) more than 50% of the total gross fair market value of all of the assets of Roivant.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Clawback</w:t>
      </w:r>
    </w:p>
    <w:p>
      <w:pPr>
        <w:spacing w:after="0" w:line="7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Awards granted under the 2021 EIP are subject to recoupment in accordance with any clawback policy that Roivant is required to adopt pursuant to the listing standards of any national securities exchange or association on which Roivant’s securities are listed or as is otherwise required by the Dodd-Frank Wall Street Reform and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271</w:t>
      </w:r>
    </w:p>
    <w:p>
      <w:pPr>
        <w:sectPr>
          <w:pgSz w:w="11900" w:h="16838" w:orient="portrait"/>
          <w:cols w:equalWidth="0" w:num="1">
            <w:col w:w="10159"/>
          </w:cols>
          <w:pgMar w:left="300" w:top="372" w:right="1440" w:bottom="1440" w:gutter="0" w:footer="0" w:header="0"/>
        </w:sectPr>
      </w:pPr>
    </w:p>
    <w:bookmarkStart w:id="279" w:name="page280"/>
    <w:bookmarkEnd w:id="2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39"/>
        <w:spacing w:after="0" w:line="276" w:lineRule="auto"/>
        <w:rPr>
          <w:sz w:val="20"/>
          <w:szCs w:val="20"/>
          <w:color w:val="auto"/>
        </w:rPr>
      </w:pPr>
      <w:r>
        <w:rPr>
          <w:rFonts w:ascii="Arial" w:cs="Arial" w:eastAsia="Arial" w:hAnsi="Arial"/>
          <w:sz w:val="12"/>
          <w:szCs w:val="12"/>
          <w:color w:val="auto"/>
        </w:rPr>
        <w:t>Consumer Protection Act or other applicable law. In addition, our board of directors may impose such other clawback, recovery or recoupment provisions in an award agreement as our board of directors determines necessary or appropriate.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Term; Plan Amendment, Suspension or Termination</w:t>
      </w:r>
    </w:p>
    <w:p>
      <w:pPr>
        <w:spacing w:after="0" w:line="78"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 xml:space="preserve">The 2021 EIP has a 10 year term. Our board of directors has the authority to amend, suspend, or terminate the 2021 EIP at any time;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such action does not materially impair the existing rights of any participant without such participant’s written consent. Unless terminated sooner by our board of directors, the 2021 EIP will automatically terminate on the day before the tenth anniversary of the effective date of the 2021 EIP. No awards may be granted under the 2021 EIP while the 2021 EIP is suspended or after it is terminated.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Treatment of Equity Awards in Connection with the Business Combination</w:t>
      </w:r>
    </w:p>
    <w:p>
      <w:pPr>
        <w:spacing w:after="0" w:line="78" w:lineRule="exact"/>
        <w:rPr>
          <w:sz w:val="20"/>
          <w:szCs w:val="20"/>
          <w:color w:val="auto"/>
        </w:rPr>
      </w:pPr>
    </w:p>
    <w:p>
      <w:pPr>
        <w:ind w:left="1980" w:right="839" w:firstLine="294"/>
        <w:spacing w:after="0" w:line="379" w:lineRule="auto"/>
        <w:rPr>
          <w:sz w:val="20"/>
          <w:szCs w:val="20"/>
          <w:color w:val="auto"/>
        </w:rPr>
      </w:pPr>
      <w:r>
        <w:rPr>
          <w:rFonts w:ascii="Arial" w:cs="Arial" w:eastAsia="Arial" w:hAnsi="Arial"/>
          <w:sz w:val="10"/>
          <w:szCs w:val="10"/>
          <w:color w:val="auto"/>
        </w:rPr>
        <w:t>In connection with the Business Combination, equity incentive awards then-outstanding under the 2015 EIP were equitably adjusted in accordance with the terms of the 2015 EIP and the Business Combination Agreement. Specifically, on the date of the consummation of the Business Combination:</w:t>
      </w:r>
    </w:p>
    <w:p>
      <w:pPr>
        <w:spacing w:after="0" w:line="6" w:lineRule="exact"/>
        <w:rPr>
          <w:sz w:val="20"/>
          <w:szCs w:val="20"/>
          <w:color w:val="auto"/>
        </w:rPr>
      </w:pPr>
    </w:p>
    <w:p>
      <w:pPr>
        <w:ind w:left="2620" w:right="979" w:hanging="288"/>
        <w:spacing w:after="0" w:line="254" w:lineRule="auto"/>
        <w:tabs>
          <w:tab w:leader="none" w:pos="26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 xml:space="preserve">each outstanding Roivant option, whether vested or unvested, was adjusted as follows: (i) the number of post-closing Common Shares subject to such Roivant option equals the product of (a) the number of Common Shares subject to the Roivant option before such adjustment,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(b) the “exchange ratio,” rounded down to the nearest whole share, and (ii) the per share exercise price of such Roivant option equals the quotient of (x) the per share exercise price at which the Roivant option was exercisable before such adjustment,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(y) the exchange ratio, rounded up to the nearest whole cent. Following such adjustment, the Roivant options otherwise remain subject to the same terms and conditions (including the applicable vesting, expiration and forfeiture provisions) as applied before such adjustment.</w:t>
      </w:r>
    </w:p>
    <w:p>
      <w:pPr>
        <w:spacing w:after="0" w:line="66" w:lineRule="exact"/>
        <w:rPr>
          <w:rFonts w:ascii="Arial" w:cs="Arial" w:eastAsia="Arial" w:hAnsi="Arial"/>
          <w:sz w:val="12"/>
          <w:szCs w:val="12"/>
          <w:color w:val="auto"/>
        </w:rPr>
      </w:pPr>
    </w:p>
    <w:p>
      <w:pPr>
        <w:jc w:val="both"/>
        <w:ind w:left="2620" w:right="979" w:hanging="288"/>
        <w:spacing w:after="0" w:line="326" w:lineRule="auto"/>
        <w:tabs>
          <w:tab w:leader="none" w:pos="2620" w:val="left"/>
        </w:tabs>
        <w:numPr>
          <w:ilvl w:val="0"/>
          <w:numId w:val="148"/>
        </w:numPr>
        <w:rPr>
          <w:rFonts w:ascii="Arial" w:cs="Arial" w:eastAsia="Arial" w:hAnsi="Arial"/>
          <w:sz w:val="10"/>
          <w:szCs w:val="10"/>
          <w:color w:val="auto"/>
        </w:rPr>
      </w:pPr>
      <w:r>
        <w:rPr>
          <w:rFonts w:ascii="Arial" w:cs="Arial" w:eastAsia="Arial" w:hAnsi="Arial"/>
          <w:sz w:val="10"/>
          <w:szCs w:val="10"/>
          <w:color w:val="auto"/>
        </w:rPr>
        <w:t xml:space="preserve">each outstanding and vested Roivant RSU was adjusted by multiplying (i) the number of Common Shares that were subject to the vested Roivant RSU before the adjustment </w:t>
      </w:r>
      <w:r>
        <w:rPr>
          <w:rFonts w:ascii="Arial" w:cs="Arial" w:eastAsia="Arial" w:hAnsi="Arial"/>
          <w:sz w:val="10"/>
          <w:szCs w:val="10"/>
          <w:i w:val="1"/>
          <w:iCs w:val="1"/>
          <w:color w:val="auto"/>
        </w:rPr>
        <w:t>by</w:t>
      </w:r>
      <w:r>
        <w:rPr>
          <w:rFonts w:ascii="Arial" w:cs="Arial" w:eastAsia="Arial" w:hAnsi="Arial"/>
          <w:sz w:val="10"/>
          <w:szCs w:val="10"/>
          <w:color w:val="auto"/>
        </w:rPr>
        <w:t xml:space="preserve"> (ii) the exchange ratio, </w:t>
      </w:r>
      <w:r>
        <w:rPr>
          <w:rFonts w:ascii="Arial" w:cs="Arial" w:eastAsia="Arial" w:hAnsi="Arial"/>
          <w:sz w:val="10"/>
          <w:szCs w:val="10"/>
          <w:i w:val="1"/>
          <w:iCs w:val="1"/>
          <w:color w:val="auto"/>
        </w:rPr>
        <w:t>minus</w:t>
      </w:r>
      <w:r>
        <w:rPr>
          <w:rFonts w:ascii="Arial" w:cs="Arial" w:eastAsia="Arial" w:hAnsi="Arial"/>
          <w:sz w:val="10"/>
          <w:szCs w:val="10"/>
          <w:color w:val="auto"/>
        </w:rPr>
        <w:t xml:space="preserve"> (iii) that number of post-closing Common Shares with a fair market value equal to all required withholding taxes due upon settlement of such vested Roivant RSU, which such vested Roivant RSUs will be settled (including as to timing) in accordance with the terms of the 2015 EIP and the applicable award agreement thereunder.</w:t>
      </w:r>
    </w:p>
    <w:p>
      <w:pPr>
        <w:spacing w:after="0" w:line="32" w:lineRule="exact"/>
        <w:rPr>
          <w:rFonts w:ascii="Arial" w:cs="Arial" w:eastAsia="Arial" w:hAnsi="Arial"/>
          <w:sz w:val="10"/>
          <w:szCs w:val="10"/>
          <w:color w:val="auto"/>
        </w:rPr>
      </w:pPr>
    </w:p>
    <w:p>
      <w:pPr>
        <w:ind w:left="2620" w:right="1059" w:hanging="288"/>
        <w:spacing w:after="0" w:line="256" w:lineRule="auto"/>
        <w:tabs>
          <w:tab w:leader="none" w:pos="26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 xml:space="preserve">each outstanding unvested Roivant RSU was adjusted as follows: the number of post-closing Common Shares subject to such unvested Roivant RSU is equal to the product of (i) the number of Common Shares that were subject to the unvested Roivant RSU before the adjustment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(ii) the exchange ratio, rounded down to the nearest whole share. Following such adjustment, the unvested Roivant RSUs otherwise remain subject to the same terms and conditions (including the applicable vesting, expiration and forfeiture provisions) as applied before such adjustment.</w:t>
      </w:r>
    </w:p>
    <w:p>
      <w:pPr>
        <w:spacing w:after="0" w:line="65" w:lineRule="exact"/>
        <w:rPr>
          <w:rFonts w:ascii="Arial" w:cs="Arial" w:eastAsia="Arial" w:hAnsi="Arial"/>
          <w:sz w:val="12"/>
          <w:szCs w:val="12"/>
          <w:color w:val="auto"/>
        </w:rPr>
      </w:pPr>
    </w:p>
    <w:p>
      <w:pPr>
        <w:ind w:left="2620" w:right="879" w:hanging="288"/>
        <w:spacing w:after="0" w:line="281" w:lineRule="auto"/>
        <w:tabs>
          <w:tab w:leader="none" w:pos="2620" w:val="left"/>
        </w:tabs>
        <w:numPr>
          <w:ilvl w:val="0"/>
          <w:numId w:val="148"/>
        </w:numPr>
        <w:rPr>
          <w:rFonts w:ascii="Arial" w:cs="Arial" w:eastAsia="Arial" w:hAnsi="Arial"/>
          <w:sz w:val="11"/>
          <w:szCs w:val="11"/>
          <w:color w:val="auto"/>
        </w:rPr>
      </w:pPr>
      <w:r>
        <w:rPr>
          <w:rFonts w:ascii="Arial" w:cs="Arial" w:eastAsia="Arial" w:hAnsi="Arial"/>
          <w:sz w:val="11"/>
          <w:szCs w:val="11"/>
          <w:color w:val="auto"/>
        </w:rPr>
        <w:t xml:space="preserve">each outstanding Roivant CVAR, whether vested or unvested, was adjusted as follows: (i) the number of post-closing Common Shares subject to such CVAR is equal to the product of (a) the number of Common Shares that were subject to the Roivant CVAR before the adjustment,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(b) the exchange ratio, rounded down to the nearest whole share, and (ii) the per share hurdle price, “knock-in” price and value cap price, as applicable, of such CVAR is equal to the quotient of (x) the per share hurdle price, “knock-in” price and value cap price, as applicable, applicable to the Roivant CVAR before the adjustment,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(y) the exchange ratio, rounded up to the nearest whole cent. Following such adjustment, the Roivant CVARs otherwise remain subject to the same terms and conditions (including the applicable vesting, expiration and forfeiture provisions) as applied before such adjustment.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272</w:t>
      </w:r>
    </w:p>
    <w:p>
      <w:pPr>
        <w:sectPr>
          <w:pgSz w:w="11900" w:h="16838" w:orient="portrait"/>
          <w:cols w:equalWidth="0" w:num="1">
            <w:col w:w="10159"/>
          </w:cols>
          <w:pgMar w:left="300" w:top="372" w:right="1440" w:bottom="1440" w:gutter="0" w:footer="0" w:header="0"/>
        </w:sectPr>
      </w:pPr>
    </w:p>
    <w:bookmarkStart w:id="280" w:name="page281"/>
    <w:bookmarkEnd w:id="2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Director Compensation</w:t>
      </w:r>
    </w:p>
    <w:p>
      <w:pPr>
        <w:spacing w:after="0" w:line="7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Fiscal 2020 Director Compensation Table</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sets forth information regarding the annual cash retainer paid to directors of our board of directors in respect of Fiscal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Roivant did not grant equity incentive compensation to directors in respect of Fiscal 2020.</w:t>
      </w:r>
    </w:p>
    <w:p>
      <w:pPr>
        <w:spacing w:after="0" w:line="141"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During Fiscal 2020, only Messrs. Ramaswamy, Lo and Machado were provided compensation for their services on our board of directors. During Fiscal 2020, Mr. Ramaswamy served as both an executive officer and a director of Roivant and his compensation for his service as former executive officer is set forth above in “Executive Compensation—Summary Compensation Table.”</w:t>
      </w:r>
    </w:p>
    <w:p>
      <w:pPr>
        <w:spacing w:after="0" w:line="119"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60" w:type="dxa"/>
            <w:vAlign w:val="bottom"/>
            <w:gridSpan w:val="3"/>
          </w:tcPr>
          <w:p>
            <w:pPr>
              <w:jc w:val="center"/>
              <w:ind w:left="1504"/>
              <w:spacing w:after="0"/>
              <w:rPr>
                <w:sz w:val="20"/>
                <w:szCs w:val="20"/>
                <w:color w:val="auto"/>
              </w:rPr>
            </w:pPr>
            <w:r>
              <w:rPr>
                <w:rFonts w:ascii="Arial" w:cs="Arial" w:eastAsia="Arial" w:hAnsi="Arial"/>
                <w:sz w:val="10"/>
                <w:szCs w:val="10"/>
                <w:b w:val="1"/>
                <w:bCs w:val="1"/>
                <w:color w:val="auto"/>
                <w:w w:val="83"/>
              </w:rPr>
              <w:t>Fees Earned</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center"/>
              <w:ind w:right="27"/>
              <w:spacing w:after="0" w:line="99" w:lineRule="exact"/>
              <w:rPr>
                <w:sz w:val="20"/>
                <w:szCs w:val="20"/>
                <w:color w:val="auto"/>
              </w:rPr>
            </w:pPr>
            <w:r>
              <w:rPr>
                <w:rFonts w:ascii="Arial" w:cs="Arial" w:eastAsia="Arial" w:hAnsi="Arial"/>
                <w:sz w:val="10"/>
                <w:szCs w:val="10"/>
                <w:b w:val="1"/>
                <w:bCs w:val="1"/>
                <w:color w:val="auto"/>
                <w:w w:val="88"/>
              </w:rPr>
              <w:t>or Paid</w:t>
            </w:r>
          </w:p>
        </w:tc>
        <w:tc>
          <w:tcPr>
            <w:tcW w:w="40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10"/>
                <w:szCs w:val="10"/>
                <w:b w:val="1"/>
                <w:bCs w:val="1"/>
                <w:color w:val="auto"/>
                <w:w w:val="95"/>
              </w:rPr>
              <w:t>Stock</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center"/>
              <w:ind w:right="27"/>
              <w:spacing w:after="0" w:line="99" w:lineRule="exact"/>
              <w:rPr>
                <w:sz w:val="20"/>
                <w:szCs w:val="20"/>
                <w:color w:val="auto"/>
              </w:rPr>
            </w:pPr>
            <w:r>
              <w:rPr>
                <w:rFonts w:ascii="Arial" w:cs="Arial" w:eastAsia="Arial" w:hAnsi="Arial"/>
                <w:sz w:val="10"/>
                <w:szCs w:val="10"/>
                <w:b w:val="1"/>
                <w:bCs w:val="1"/>
                <w:color w:val="auto"/>
                <w:w w:val="82"/>
              </w:rPr>
              <w:t>in Cash</w:t>
            </w:r>
          </w:p>
        </w:tc>
        <w:tc>
          <w:tcPr>
            <w:tcW w:w="720" w:type="dxa"/>
            <w:vAlign w:val="bottom"/>
            <w:gridSpan w:val="2"/>
          </w:tcPr>
          <w:p>
            <w:pPr>
              <w:jc w:val="right"/>
              <w:spacing w:after="0" w:line="99" w:lineRule="exact"/>
              <w:rPr>
                <w:sz w:val="20"/>
                <w:szCs w:val="20"/>
                <w:color w:val="auto"/>
              </w:rPr>
            </w:pPr>
            <w:r>
              <w:rPr>
                <w:rFonts w:ascii="Arial" w:cs="Arial" w:eastAsia="Arial" w:hAnsi="Arial"/>
                <w:sz w:val="10"/>
                <w:szCs w:val="10"/>
                <w:b w:val="1"/>
                <w:bCs w:val="1"/>
                <w:color w:val="auto"/>
              </w:rPr>
              <w:t>Awards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5"/>
        </w:trPr>
        <w:tc>
          <w:tcPr>
            <w:tcW w:w="250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center"/>
              <w:ind w:right="27"/>
              <w:spacing w:after="0" w:line="76" w:lineRule="exact"/>
              <w:rPr>
                <w:sz w:val="20"/>
                <w:szCs w:val="20"/>
                <w:color w:val="auto"/>
              </w:rPr>
            </w:pPr>
            <w:r>
              <w:rPr>
                <w:rFonts w:ascii="Arial" w:cs="Arial" w:eastAsia="Arial" w:hAnsi="Arial"/>
                <w:sz w:val="8"/>
                <w:szCs w:val="8"/>
                <w:b w:val="1"/>
                <w:bCs w:val="1"/>
                <w:color w:val="auto"/>
              </w:rPr>
              <w:t>($)</w:t>
            </w:r>
          </w:p>
        </w:tc>
        <w:tc>
          <w:tcPr>
            <w:tcW w:w="720" w:type="dxa"/>
            <w:vAlign w:val="bottom"/>
            <w:gridSpan w:val="2"/>
          </w:tcPr>
          <w:p>
            <w:pPr>
              <w:jc w:val="right"/>
              <w:ind w:right="3"/>
              <w:spacing w:after="0" w:line="76" w:lineRule="exact"/>
              <w:rPr>
                <w:sz w:val="20"/>
                <w:szCs w:val="20"/>
                <w:color w:val="auto"/>
              </w:rPr>
            </w:pPr>
            <w:r>
              <w:rPr>
                <w:rFonts w:ascii="Arial" w:cs="Arial" w:eastAsia="Arial" w:hAnsi="Arial"/>
                <w:sz w:val="6"/>
                <w:szCs w:val="6"/>
                <w:b w:val="1"/>
                <w:bCs w:val="1"/>
                <w:color w:val="auto"/>
              </w:rPr>
              <w:t>($)</w:t>
            </w:r>
            <w:r>
              <w:rPr>
                <w:rFonts w:ascii="Arial" w:cs="Arial" w:eastAsia="Arial" w:hAnsi="Arial"/>
                <w:sz w:val="8"/>
                <w:szCs w:val="8"/>
                <w:b w:val="1"/>
                <w:bCs w:val="1"/>
                <w:color w:val="auto"/>
                <w:vertAlign w:val="superscript"/>
              </w:rPr>
              <w:t>(1)</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126"/>
              <w:spacing w:after="0" w:line="76" w:lineRule="exact"/>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500" w:type="dxa"/>
            <w:vAlign w:val="bottom"/>
            <w:gridSpan w:val="2"/>
            <w:shd w:val="clear" w:color="auto" w:fill="CCEEFF"/>
          </w:tcPr>
          <w:p>
            <w:pPr>
              <w:spacing w:after="0" w:line="131" w:lineRule="exact"/>
              <w:rPr>
                <w:sz w:val="20"/>
                <w:szCs w:val="20"/>
                <w:color w:val="auto"/>
              </w:rPr>
            </w:pPr>
            <w:r>
              <w:rPr>
                <w:rFonts w:ascii="Arial" w:cs="Arial" w:eastAsia="Arial" w:hAnsi="Arial"/>
                <w:sz w:val="12"/>
                <w:szCs w:val="12"/>
                <w:color w:val="auto"/>
              </w:rPr>
              <w:t>Vivek Ramaswamy</w:t>
            </w: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w w:val="92"/>
              </w:rPr>
              <w:t>150,000</w:t>
            </w: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3"/>
              <w:spacing w:after="0" w:line="131"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w w:val="87"/>
              </w:rPr>
              <w:t>150,000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00" w:type="dxa"/>
            <w:vAlign w:val="bottom"/>
            <w:gridSpan w:val="2"/>
          </w:tcPr>
          <w:p>
            <w:pPr>
              <w:spacing w:after="0"/>
              <w:rPr>
                <w:sz w:val="20"/>
                <w:szCs w:val="20"/>
                <w:color w:val="auto"/>
              </w:rPr>
            </w:pPr>
            <w:r>
              <w:rPr>
                <w:rFonts w:ascii="Arial" w:cs="Arial" w:eastAsia="Arial" w:hAnsi="Arial"/>
                <w:sz w:val="12"/>
                <w:szCs w:val="12"/>
                <w:color w:val="auto"/>
              </w:rPr>
              <w:t>Andrew Lo</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200,000</w:t>
            </w:r>
          </w:p>
        </w:tc>
        <w:tc>
          <w:tcPr>
            <w:tcW w:w="40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Patrick Machado</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60" w:right="879" w:hanging="288"/>
        <w:spacing w:after="0" w:line="309" w:lineRule="auto"/>
        <w:tabs>
          <w:tab w:leader="none" w:pos="2260" w:val="left"/>
        </w:tabs>
        <w:numPr>
          <w:ilvl w:val="0"/>
          <w:numId w:val="149"/>
        </w:numPr>
        <w:rPr>
          <w:rFonts w:ascii="Arial" w:cs="Arial" w:eastAsia="Arial" w:hAnsi="Arial"/>
          <w:sz w:val="10"/>
          <w:szCs w:val="10"/>
          <w:color w:val="auto"/>
        </w:rPr>
      </w:pPr>
      <w:r>
        <w:rPr>
          <w:rFonts w:ascii="Arial" w:cs="Arial" w:eastAsia="Arial" w:hAnsi="Arial"/>
          <w:sz w:val="10"/>
          <w:szCs w:val="10"/>
          <w:color w:val="auto"/>
        </w:rPr>
        <w:t>Mr. Ramaswamy’s equity incentive awards as of March 31, 2021 are set forth above in “Executive Compensation—Outstanding Equity Awards at Fiscal Year End.” As of March 31, 2021, each of Messrs. Lo and Machado held the following Roivant equity incentive awards granted under the</w:t>
      </w:r>
    </w:p>
    <w:p>
      <w:pPr>
        <w:ind w:left="2260"/>
        <w:spacing w:after="0"/>
        <w:rPr>
          <w:rFonts w:ascii="Arial" w:cs="Arial" w:eastAsia="Arial" w:hAnsi="Arial"/>
          <w:sz w:val="10"/>
          <w:szCs w:val="10"/>
          <w:color w:val="auto"/>
        </w:rPr>
      </w:pPr>
      <w:r>
        <w:rPr>
          <w:rFonts w:ascii="Arial" w:cs="Arial" w:eastAsia="Arial" w:hAnsi="Arial"/>
          <w:sz w:val="12"/>
          <w:szCs w:val="12"/>
          <w:color w:val="auto"/>
        </w:rPr>
        <w:t>2015 EIP:</w:t>
      </w:r>
    </w:p>
    <w:p>
      <w:pPr>
        <w:spacing w:after="0" w:line="78" w:lineRule="exact"/>
        <w:rPr>
          <w:rFonts w:ascii="Arial" w:cs="Arial" w:eastAsia="Arial" w:hAnsi="Arial"/>
          <w:sz w:val="10"/>
          <w:szCs w:val="10"/>
          <w:color w:val="auto"/>
        </w:rPr>
      </w:pPr>
    </w:p>
    <w:p>
      <w:pPr>
        <w:ind w:left="2920" w:right="879" w:hanging="291"/>
        <w:spacing w:after="0" w:line="263" w:lineRule="auto"/>
        <w:tabs>
          <w:tab w:leader="none" w:pos="292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Dr. Lo holds 236,000 stock options granted on October 20, 2016 with an exercise price of $15.17 per share, all of which were vested and exercisable. Following this grant of stock options, Dr. Lo has not been eligible to receive any other equity compensation for his services on our board of directors.</w:t>
      </w:r>
    </w:p>
    <w:p>
      <w:pPr>
        <w:spacing w:after="0" w:line="59" w:lineRule="exact"/>
        <w:rPr>
          <w:rFonts w:ascii="Arial" w:cs="Arial" w:eastAsia="Arial" w:hAnsi="Arial"/>
          <w:sz w:val="12"/>
          <w:szCs w:val="12"/>
          <w:color w:val="auto"/>
        </w:rPr>
      </w:pPr>
    </w:p>
    <w:p>
      <w:pPr>
        <w:ind w:left="2920" w:right="899" w:hanging="291"/>
        <w:spacing w:after="0" w:line="281" w:lineRule="auto"/>
        <w:tabs>
          <w:tab w:leader="none" w:pos="2920" w:val="left"/>
        </w:tabs>
        <w:numPr>
          <w:ilvl w:val="1"/>
          <w:numId w:val="149"/>
        </w:numPr>
        <w:rPr>
          <w:rFonts w:ascii="Arial" w:cs="Arial" w:eastAsia="Arial" w:hAnsi="Arial"/>
          <w:sz w:val="11"/>
          <w:szCs w:val="11"/>
          <w:color w:val="auto"/>
        </w:rPr>
      </w:pPr>
      <w:r>
        <w:rPr>
          <w:rFonts w:ascii="Arial" w:cs="Arial" w:eastAsia="Arial" w:hAnsi="Arial"/>
          <w:sz w:val="11"/>
          <w:szCs w:val="11"/>
          <w:color w:val="auto"/>
        </w:rPr>
        <w:t>Mr. Machado holds (i) 58,153 stock options granted on October 20, 2016 with an exercise price of $15.17 per share, all of which were vested and exercisable, (ii) 37,500 stock options granted on December 20, 2017 with an exercise price of $21.72 per share, all of which were vested and exercisable, (iii) 37,500 stock options granted on January 22, 2019 with an exercise price of $32.72 per share, of which 29,172 were vested and exercisable and the remaining will vest and become exercisable in equal monthly installments through the period ending on November 30, 2021, and (iv) 37,500 stock options granted on January 20, 2020 with an exercise price of $37.10 per share, of which 16,668 were vested and exercisable and the remaining will vest and become exercisable in equal monthly installments through the period ending on November 30, 2022.</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Annual cash retainers payable to directors are calculated based upon the prorated number of quarterly periods each non-employee director served in their respective capacity as a board and/or committee member in a given fiscal year. Except for Dr. Lo, who is not eligible to receive any expense reimbursement in connection with his service on our board of directors, directors are also eligible to be reimbursed for actual expenses incurred in attending meetings of our board of directors and any of its committees.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Post-Business Combination Director Compensation Program</w:t>
      </w:r>
    </w:p>
    <w:p>
      <w:pPr>
        <w:spacing w:after="0" w:line="82"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Our board of directors has also approved a Non-Employee Directors Compensation Policy pursuant to which our non-employee directors will receive compensation for their service on the board of directors, as described below. The compensation payable to our non-employee directors under this policy is subject to the limitations on non-employee director compensation set forth in the 2021 EIP (as described above).</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273</w:t>
      </w:r>
    </w:p>
    <w:p>
      <w:pPr>
        <w:sectPr>
          <w:pgSz w:w="11900" w:h="16838" w:orient="portrait"/>
          <w:cols w:equalWidth="0" w:num="1">
            <w:col w:w="10159"/>
          </w:cols>
          <w:pgMar w:left="300" w:top="372" w:right="1440" w:bottom="1440" w:gutter="0" w:footer="0" w:header="0"/>
        </w:sectPr>
      </w:pPr>
    </w:p>
    <w:bookmarkStart w:id="281" w:name="page282"/>
    <w:bookmarkEnd w:id="2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Cash Retainers</w:t>
      </w:r>
    </w:p>
    <w:p>
      <w:pPr>
        <w:spacing w:after="0" w:line="7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Our non-employee directors are entitled to receive annual cash retainers for their service, which are payable in equal quarterly installments as follows:</w:t>
      </w:r>
    </w:p>
    <w:p>
      <w:pPr>
        <w:spacing w:after="0" w:line="12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3"/>
              </w:rPr>
              <w:t>Role</w:t>
            </w:r>
          </w:p>
        </w:tc>
        <w:tc>
          <w:tcPr>
            <w:tcW w:w="3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8"/>
                <w:szCs w:val="8"/>
                <w:b w:val="1"/>
                <w:bCs w:val="1"/>
                <w:color w:val="auto"/>
                <w:w w:val="87"/>
              </w:rPr>
              <w:t>Retainer</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line="133" w:lineRule="exact"/>
              <w:rPr>
                <w:sz w:val="20"/>
                <w:szCs w:val="20"/>
                <w:color w:val="auto"/>
              </w:rPr>
            </w:pPr>
            <w:r>
              <w:rPr>
                <w:rFonts w:ascii="Arial" w:cs="Arial" w:eastAsia="Arial" w:hAnsi="Arial"/>
                <w:sz w:val="12"/>
                <w:szCs w:val="12"/>
                <w:color w:val="auto"/>
              </w:rPr>
              <w:t>Board Member</w:t>
            </w:r>
          </w:p>
        </w:tc>
        <w:tc>
          <w:tcPr>
            <w:tcW w:w="11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440" w:type="dxa"/>
            <w:vAlign w:val="bottom"/>
            <w:gridSpan w:val="2"/>
            <w:vMerge w:val="continue"/>
            <w:shd w:val="clear" w:color="auto" w:fill="CCEEFF"/>
          </w:tcPr>
          <w:p>
            <w:pPr>
              <w:spacing w:after="0"/>
              <w:rPr>
                <w:sz w:val="9"/>
                <w:szCs w:val="9"/>
                <w:color w:val="auto"/>
              </w:rPr>
            </w:pPr>
          </w:p>
        </w:tc>
        <w:tc>
          <w:tcPr>
            <w:tcW w:w="1160" w:type="dxa"/>
            <w:vAlign w:val="bottom"/>
            <w:tcBorders>
              <w:right w:val="single" w:sz="8" w:color="CCEEFF"/>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2"/>
                <w:szCs w:val="12"/>
                <w:color w:val="auto"/>
                <w:w w:val="76"/>
              </w:rPr>
              <w:t>40,000</w:t>
            </w:r>
          </w:p>
        </w:tc>
        <w:tc>
          <w:tcPr>
            <w:tcW w:w="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Arial" w:cs="Arial" w:eastAsia="Arial" w:hAnsi="Arial"/>
                <w:sz w:val="12"/>
                <w:szCs w:val="12"/>
                <w:color w:val="auto"/>
              </w:rPr>
              <w:t>Lead Independent Director</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25,000</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Board Chair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35,000</w:t>
            </w: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Arial" w:cs="Arial" w:eastAsia="Arial" w:hAnsi="Arial"/>
                <w:sz w:val="12"/>
                <w:szCs w:val="12"/>
                <w:color w:val="auto"/>
              </w:rPr>
              <w:t>Audit Committee Chair</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20,000</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Audit Committee Member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10,000</w:t>
            </w: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Arial" w:cs="Arial" w:eastAsia="Arial" w:hAnsi="Arial"/>
                <w:sz w:val="12"/>
                <w:szCs w:val="12"/>
                <w:color w:val="auto"/>
              </w:rPr>
              <w:t>Compensation Committee Chair</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15,000</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Compensation Committee Member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Arial" w:cs="Arial" w:eastAsia="Arial" w:hAnsi="Arial"/>
                <w:sz w:val="12"/>
                <w:szCs w:val="12"/>
                <w:color w:val="auto"/>
              </w:rPr>
              <w:t>Nominating and Governance Committee Chair</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10,000</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Nominating and Governance Committee Member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Prior to the last day of any fiscal year, a non-employee director may elect that either 50% or 100% of his or her annual cash retainers payable in the following fiscal year be paid in the form of unrestricted Common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Initial Equity Retainer</w:t>
      </w:r>
    </w:p>
    <w:p>
      <w:pPr>
        <w:spacing w:after="0" w:line="78" w:lineRule="exact"/>
        <w:rPr>
          <w:sz w:val="20"/>
          <w:szCs w:val="20"/>
          <w:color w:val="auto"/>
        </w:rPr>
      </w:pPr>
    </w:p>
    <w:p>
      <w:pPr>
        <w:jc w:val="both"/>
        <w:ind w:left="1980" w:right="879" w:firstLine="294"/>
        <w:spacing w:after="0" w:line="285" w:lineRule="auto"/>
        <w:rPr>
          <w:sz w:val="20"/>
          <w:szCs w:val="20"/>
          <w:color w:val="auto"/>
        </w:rPr>
      </w:pPr>
      <w:r>
        <w:rPr>
          <w:rFonts w:ascii="Arial" w:cs="Arial" w:eastAsia="Arial" w:hAnsi="Arial"/>
          <w:sz w:val="11"/>
          <w:szCs w:val="11"/>
          <w:color w:val="auto"/>
        </w:rPr>
        <w:t>Upon a non-employee director’s initial commencement of service on our board of directors, each non-employee director will be entitled to receive an initial, one-time award of stock options under the 2021 EIP with an aggregate grant date value of $600,000. The initial option award will vest over a three-year period, with 1/3 vesting on the first anniversary of the applicable vesting commencement date and the remaining portion of the award vesting in 24 equal monthly installments, subject to the non-employee director’s continuous service through the applicable vesting date, except that, in the event of a change in control (as defined under the 2021 EIP), such stock options will become fully vested and exercisable.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Annual Equity Retainers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On the date of our annual general meeting of shareholders, each non-employee director (i) who has completed at least three (3) months of continuous service as a non-employee director as of the date of such meeting and (ii) whose term is scheduled to continue at least through the date of the next annual meeting will be entitled to receive (1) an annual award of stock options under the 2021 EIP with an aggregate grant date value of $200,000, and (2) an annual award of restricted stock units under the 2021 EIP with an aggregate grant date value of $200,000. If the non-employee director commences service on our board on a date other than at the annual meeting of shareholders, then they will be entitled to receive a prorated annual equity award on the date of the next annual meeting following his or her start date, if he or she otherwise satisfies the eligibility requirements. Each annual equity award will vest and, if applicable, become exercisable in full on the one-year anniversary of the applicable vesting commencement date, subject to the non-employee director’s continuous service through such vesting date, except that, in the event of a change in control, any the annual equity awards will become fully vested and, if applicable, exercisable.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Emerging Growth Company Status</w:t>
      </w:r>
    </w:p>
    <w:p>
      <w:pPr>
        <w:spacing w:after="0" w:line="82"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As an emerging growth company, Roivant is exempt from certain requirements related to executive compensation, including the requirements to hold a nonbinding advisory vote on executive compensation and to provide information relating to the ratio of total compensation of Roivant’s chief executive officer to the median of the annual total compensation of all of Roivant’s employees, each as required by the Investor Protection and Securities Reform Act of 2010, which is part of the Dodd-Frank Wall Street Reform and Consumer Protection Act.</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274</w:t>
      </w:r>
    </w:p>
    <w:p>
      <w:pPr>
        <w:sectPr>
          <w:pgSz w:w="11900" w:h="16838" w:orient="portrait"/>
          <w:cols w:equalWidth="0" w:num="1">
            <w:col w:w="10159"/>
          </w:cols>
          <w:pgMar w:left="300" w:top="372" w:right="1440" w:bottom="1440" w:gutter="0" w:footer="0" w:header="0"/>
        </w:sectPr>
      </w:pPr>
    </w:p>
    <w:bookmarkStart w:id="282" w:name="page283"/>
    <w:bookmarkEnd w:id="2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720"/>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following is a description of transactions occurring during our last three fiscal years or currently proposed, to which (i) Roivant Sciences Ltd. has been a participant, (ii) the amount involved exceeded or will exceed $120,000 and (iii) any of Roivant’s directors, executive officers or holders of more than 5% of Roivant’s share capital, or any members of their immediate family (collectively “Roivant Related Parties”), had or will have a direct or indirect material interest.</w:t>
      </w:r>
    </w:p>
    <w:p>
      <w:pPr>
        <w:spacing w:after="0" w:line="124" w:lineRule="exact"/>
        <w:rPr>
          <w:sz w:val="20"/>
          <w:szCs w:val="20"/>
          <w:color w:val="auto"/>
        </w:rPr>
      </w:pPr>
    </w:p>
    <w:p>
      <w:pPr>
        <w:jc w:val="both"/>
        <w:ind w:left="1980" w:right="1079" w:firstLine="294"/>
        <w:spacing w:after="0" w:line="340" w:lineRule="auto"/>
        <w:rPr>
          <w:sz w:val="20"/>
          <w:szCs w:val="20"/>
          <w:color w:val="auto"/>
        </w:rPr>
      </w:pPr>
      <w:r>
        <w:rPr>
          <w:rFonts w:ascii="Arial" w:cs="Arial" w:eastAsia="Arial" w:hAnsi="Arial"/>
          <w:sz w:val="10"/>
          <w:szCs w:val="10"/>
          <w:color w:val="auto"/>
        </w:rPr>
        <w:t>Other than as described below, there have not been, nor are there any currently proposed, transactions or series of similar transactions meeting these criteria to which we have been or will be a party other than compensation arrangements, which are described where required under “Executive Compensation—Director Compensation” and “Executive Compensation—Post-Business Combination Director Compensation Program.”</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Transactions with Sumitomo Dainippon Pharma Co., Ltd.</w:t>
      </w:r>
    </w:p>
    <w:p>
      <w:pPr>
        <w:spacing w:after="0" w:line="82" w:lineRule="exact"/>
        <w:rPr>
          <w:sz w:val="20"/>
          <w:szCs w:val="20"/>
          <w:color w:val="auto"/>
        </w:rPr>
      </w:pPr>
    </w:p>
    <w:p>
      <w:pPr>
        <w:ind w:left="1980" w:right="959" w:firstLine="294"/>
        <w:spacing w:after="0" w:line="285" w:lineRule="auto"/>
        <w:rPr>
          <w:sz w:val="20"/>
          <w:szCs w:val="20"/>
          <w:color w:val="auto"/>
        </w:rPr>
      </w:pPr>
      <w:r>
        <w:rPr>
          <w:rFonts w:ascii="Arial" w:cs="Arial" w:eastAsia="Arial" w:hAnsi="Arial"/>
          <w:sz w:val="11"/>
          <w:szCs w:val="11"/>
          <w:color w:val="auto"/>
        </w:rPr>
        <w:t>On October 31, 2019, we entered into a transaction agreement with Sumitomo (the “Sumitomo Transaction Agreement”), which closed on December 27, 2019 (the “Sumitomo Closing Date”). Pursuant to the Sumitomo Transaction Agreement, we transferred our entire ownership interest in Myovant, Urovant, Enzyvant, Altavant and Spirovant (collectively “Sumitovant Vants”) to a newly formed, wholly-owned entity (“Sumitovant”). Our ownership interest in Sumitovant was then transferred to Sumitomo, such that following the Sumitomo Closing Date, Sumitovant and its subsidiaries, including the Sumitovant Vants, were each directly or indirectly owned by Sumitomo.</w:t>
      </w:r>
    </w:p>
    <w:p>
      <w:pPr>
        <w:spacing w:after="0" w:line="113"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Additionally, in connection with the Sumitomo Transaction Agreement, we (i) granted Sumitomo options to purchase all, or in the case of Dermavant, 75%, of our ownership interests in six other subsidiaries (Dermavant, Genevant, Lysovant, Metavant, Cytovant and Sinovant (collectively the “Option Vants”)), (ii) (a) transferred the proprietary technology platform DrugOme to Sumitomo (for which Roivant retains a perpetual royalty free license for internal use) and (b) licensed the Digital Innovation technology platform to Sumitomo (for which both parties retain ongoing access) and</w:t>
      </w:r>
    </w:p>
    <w:p>
      <w:pPr>
        <w:spacing w:after="0" w:line="1" w:lineRule="exact"/>
        <w:rPr>
          <w:sz w:val="20"/>
          <w:szCs w:val="20"/>
          <w:color w:val="auto"/>
        </w:rPr>
      </w:pPr>
    </w:p>
    <w:p>
      <w:pPr>
        <w:ind w:left="1980" w:right="939" w:hanging="8"/>
        <w:spacing w:after="0" w:line="260" w:lineRule="auto"/>
        <w:tabs>
          <w:tab w:leader="none" w:pos="219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transferred 26,952,143 of our Common Shares to Sumitomo. On the Sumitomo Closing Date, the Company received approximately $3.0 billion in cash, resulting in a gain of $2.0 billion after taking into account all of the components of the transaction.</w:t>
      </w:r>
    </w:p>
    <w:p>
      <w:pPr>
        <w:spacing w:after="0" w:line="124"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Concurrently with the Sumitomo Transaction Agreement, (i) Roivant, Sumitomo and Sumitovant entered into a transition services agreement, whereby each of the parties thereto agreed to provide certain services to one another at cost for a period of time following the Sumitomo Closing Date and (ii) Roivant and Sumitomo entered into a strategic cooperation agreement relating to certain ongoing technology-related collaborations between the parties. Pursuant to the terms of the transition services agreement and strategic cooperation agreement, we billed Sumitovant $1.4 million and</w:t>
      </w:r>
    </w:p>
    <w:p>
      <w:pPr>
        <w:spacing w:after="0" w:line="1" w:lineRule="exact"/>
        <w:rPr>
          <w:sz w:val="20"/>
          <w:szCs w:val="20"/>
          <w:color w:val="auto"/>
        </w:rPr>
      </w:pPr>
    </w:p>
    <w:p>
      <w:pPr>
        <w:ind w:left="1980" w:right="999"/>
        <w:spacing w:after="0" w:line="260" w:lineRule="auto"/>
        <w:rPr>
          <w:sz w:val="20"/>
          <w:szCs w:val="20"/>
          <w:color w:val="auto"/>
        </w:rPr>
      </w:pPr>
      <w:r>
        <w:rPr>
          <w:rFonts w:ascii="Arial" w:cs="Arial" w:eastAsia="Arial" w:hAnsi="Arial"/>
          <w:sz w:val="12"/>
          <w:szCs w:val="12"/>
          <w:color w:val="auto"/>
        </w:rPr>
        <w:t>$0.2 million, net of amounts billed by Sumitovant to us, respectively, during the years ended March 31, 2021 and 2020 for costs incurred on behalf of Sumitovant.</w:t>
      </w:r>
    </w:p>
    <w:p>
      <w:pPr>
        <w:spacing w:after="0" w:line="124"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Additionally, on the Sumitomo Closing Date, Sumitomo deposited $75.0 million of the consideration payable pursuant to the Sumitomo Transaction Agreement in a segregated escrow account for the purpose of fulfilling our indemnification obligations that may become due to Sumitomo. Upon the expiration of the escrow period, being 18 months from the Sumitomo Closing Date, any remaining escrow funds will be disbursed to us.</w:t>
      </w:r>
    </w:p>
    <w:p>
      <w:pPr>
        <w:spacing w:after="0" w:line="87"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On the Sumitomo Closing Date, we also entered into an agreement with Sumitomo, pursuant to which we granted Sumitomo a right of first refusal with respect to potential transfers of Roivant’s ownership interest in common shares of Sio Gene Therapies (formerly Axovant Gene Therapies) (the “ROFR”). Among other things, such agreement provides that Roivant must promptly deliver notice to Sumitomo if it desires to transfer equity interests of Sio Gene Therapies and provide Sumitomo with an opportunity to make a matching offer for the subject shares in accordance with the terms and conditions set forth therein. The ROFR terminates on October 31, 2024. The ROFR also includes certain notification rights in favor of Sumitomo, in the event Roivant takes certain specified corporate actions.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275</w:t>
      </w:r>
    </w:p>
    <w:p>
      <w:pPr>
        <w:sectPr>
          <w:pgSz w:w="11900" w:h="16838" w:orient="portrait"/>
          <w:cols w:equalWidth="0" w:num="1">
            <w:col w:w="10159"/>
          </w:cols>
          <w:pgMar w:left="300" w:top="372" w:right="1440" w:bottom="1440" w:gutter="0" w:footer="0" w:header="0"/>
        </w:sectPr>
      </w:pPr>
    </w:p>
    <w:bookmarkStart w:id="283" w:name="page284"/>
    <w:bookmarkEnd w:id="2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26" w:lineRule="auto"/>
        <w:rPr>
          <w:sz w:val="20"/>
          <w:szCs w:val="20"/>
          <w:color w:val="auto"/>
        </w:rPr>
      </w:pPr>
      <w:r>
        <w:rPr>
          <w:rFonts w:ascii="Arial" w:cs="Arial" w:eastAsia="Arial" w:hAnsi="Arial"/>
          <w:sz w:val="10"/>
          <w:szCs w:val="10"/>
          <w:color w:val="auto"/>
        </w:rPr>
        <w:t>At the Sumitomo Closing Date, we also entered into a Share Return Agreement (the “Share Return Agreement”) with Sumitomo pursuant to which, subject to certain conditions provided therein, if Sumitomo directly or indirectly holds greater than 55.0% of the then issued and outstanding Common Shares of Myovant Sciences Ltd. (the “Requisite Threshold”), Sumitomo shall return to Roivant for no consideration Common Shares, up to a total of 4,243,005 Common Shares, such that Sumitomo directly or indirectly continues to hold Common Shares in excess of the Requisite Threshold.</w:t>
      </w:r>
    </w:p>
    <w:p>
      <w:pPr>
        <w:spacing w:after="0" w:line="95" w:lineRule="exact"/>
        <w:rPr>
          <w:sz w:val="20"/>
          <w:szCs w:val="20"/>
          <w:color w:val="auto"/>
        </w:rPr>
      </w:pPr>
    </w:p>
    <w:p>
      <w:pPr>
        <w:ind w:left="1980" w:right="1279" w:firstLine="294"/>
        <w:spacing w:after="0" w:line="323" w:lineRule="auto"/>
        <w:rPr>
          <w:sz w:val="20"/>
          <w:szCs w:val="20"/>
          <w:color w:val="auto"/>
        </w:rPr>
      </w:pPr>
      <w:r>
        <w:rPr>
          <w:rFonts w:ascii="Arial" w:cs="Arial" w:eastAsia="Arial" w:hAnsi="Arial"/>
          <w:sz w:val="11"/>
          <w:szCs w:val="11"/>
          <w:color w:val="auto"/>
        </w:rPr>
        <w:t>In connection with the foregoing transactions with Sumitomo, our board of directors approved an exchange and offer to repurchase equity securities for up to $1.0 billion of the proceeds received from Sumitomo. See “—Equity Exchange and Offer to Purchase.”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During the years ended March 31, 2021 and 2020, we paid Sumitomo a $1.0 million access fee pursuant to the strategic cooperation agreement.</w:t>
      </w:r>
    </w:p>
    <w:p>
      <w:pPr>
        <w:spacing w:after="0" w:line="173"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color w:val="auto"/>
        </w:rPr>
        <w:t>In May 2021, we entered into an Asset Purchase Agreement with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our equity interests in the Option Vants; (ii) we transferred and assigned to SPC all of our intellectual property, development, regulatory and commercialization rights to (a) lefamulin in Mainland China, Taiwan, Hong Kong, and Macau (collectively “Greater China”), (b) vibegron in Mainland China, (c) rodatristat ethyl in Greater China and South Korea, and</w:t>
      </w:r>
    </w:p>
    <w:p>
      <w:pPr>
        <w:spacing w:after="0" w:line="2" w:lineRule="exact"/>
        <w:rPr>
          <w:sz w:val="20"/>
          <w:szCs w:val="20"/>
          <w:color w:val="auto"/>
        </w:rPr>
      </w:pPr>
    </w:p>
    <w:p>
      <w:pPr>
        <w:ind w:left="1980" w:right="1019" w:hanging="8"/>
        <w:spacing w:after="0" w:line="260" w:lineRule="auto"/>
        <w:tabs>
          <w:tab w:leader="none" w:pos="215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RVT-802 in Greater China and South Korea; (iii) we received a $5 million cash payment; and (iv) Sumitomo entered into an agreement with us in respect of certain future collaborations with Genevant.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Equity Exchange and Offer to Purchase</w:t>
      </w:r>
    </w:p>
    <w:p>
      <w:pPr>
        <w:spacing w:after="0" w:line="82"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In February 2020, we commenced (i) an offer to purchase our Common Shares from our eligible shareholders (including certain of our eligible employees and former employees) at a price per share of $37.10, (ii) an offer to surrender for cash performance options and capped value appreciation rights (“CVARs”) issued in exchange for certain performance restricted stock units (“pRSUs”) held by certain of our eligible employees and former employees, whereby such holder’s eligible pRSUs were exchanged at a rate of approximately 0.7 performance options per eligible pRSU and, if applicable, approximately 0.7 CVARs per eligible pRSU (the “Exchange”) and, immediately thereafter, 11.23% of such performance options and CVARs were surrendered to us for cash and (iii) an offer to purchase outstanding options from certain of our eligible employees and former employees, the maximum aggregate repurchase value being equal to the lesser of (a) the fair market value of approximately 11.23% of the eligible holder’s outstanding vested and unvested unexercised options held as of December 27, 2019 and (b) the fair market value of 100% of the eligible holder’s outstanding options that were vested and exercisable as of December 27, 2019 (subject to certain adjustments). The foregoing transactions are referred to herein as the “2020 Equity Exchange and Offer to Purchase.” We additionally entered into an agreement with our Founder to repurchase a portion of his common stock held and exchange his Performance RSUs for performance options and capped value appreciation rights.</w:t>
      </w:r>
    </w:p>
    <w:p>
      <w:pPr>
        <w:spacing w:after="0" w:line="116" w:lineRule="exact"/>
        <w:rPr>
          <w:sz w:val="20"/>
          <w:szCs w:val="20"/>
          <w:color w:val="auto"/>
        </w:rPr>
      </w:pPr>
    </w:p>
    <w:p>
      <w:pPr>
        <w:jc w:val="both"/>
        <w:ind w:left="1980" w:right="919" w:firstLine="294"/>
        <w:spacing w:after="0" w:line="259" w:lineRule="auto"/>
        <w:rPr>
          <w:sz w:val="20"/>
          <w:szCs w:val="20"/>
          <w:color w:val="auto"/>
        </w:rPr>
      </w:pPr>
      <w:r>
        <w:rPr>
          <w:rFonts w:ascii="Arial" w:cs="Arial" w:eastAsia="Arial" w:hAnsi="Arial"/>
          <w:sz w:val="12"/>
          <w:szCs w:val="12"/>
          <w:color w:val="auto"/>
        </w:rPr>
        <w:t>In total, in the 2020 Equity Exchange and Offer to Purchase, including participation by certain Roivant Related Parties, we purchased 25,625,933 Common Shares, exchanged 18,016,310 primarily for pRSUs for performance options and CVARs, received 631,527 surrendered performance options, received 518,893 surrendered CVARs and purchased 895,923 options in connection with the various offers to exchange and purchase, for an aggregate purchase price of approximately $1.0 billion.</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276</w:t>
      </w:r>
    </w:p>
    <w:p>
      <w:pPr>
        <w:sectPr>
          <w:pgSz w:w="11900" w:h="16838" w:orient="portrait"/>
          <w:cols w:equalWidth="0" w:num="1">
            <w:col w:w="10159"/>
          </w:cols>
          <w:pgMar w:left="300" w:top="372" w:right="1440" w:bottom="1440" w:gutter="0" w:footer="0" w:header="0"/>
        </w:sectPr>
      </w:pPr>
    </w:p>
    <w:bookmarkStart w:id="284" w:name="page285"/>
    <w:bookmarkEnd w:id="2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2018 Equity Financing</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From September through December 2018, Roivant completed an equity financing in which certain Roivant Related Parties participated:</w:t>
      </w:r>
    </w:p>
    <w:p>
      <w:pPr>
        <w:spacing w:after="0" w:line="99" w:lineRule="exact"/>
        <w:rPr>
          <w:sz w:val="20"/>
          <w:szCs w:val="20"/>
          <w:color w:val="auto"/>
        </w:rPr>
      </w:pPr>
    </w:p>
    <w:p>
      <w:pPr>
        <w:ind w:left="2620" w:right="939" w:hanging="288"/>
        <w:spacing w:after="0" w:line="276" w:lineRule="auto"/>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Viking Global Entities (as defined herein) and certain of their affiliates purchased 155,038 Common Shares for an aggregate purchase price of $4,999,975.</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Dexxon Holdings Ltd. purchased 775,194 Common Shares for an aggregate purchase price of $25,000,006.</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SVF Investments (as defined herein) purchased 1,085,271 Common Shares for an aggregate purchase price of $34,999,989.</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QVT Entities (as defined herein) and certain of their affiliates purchased 62,015 Common Shares for an aggregate purchase price of $1,999,983.</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Certain Employment and Compensatory Arrangements</w:t>
      </w:r>
    </w:p>
    <w:p>
      <w:pPr>
        <w:spacing w:after="0" w:line="82"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Brett Venker, currently Director, Compensation and Data, is the brother of Eric Venker, Roivant’s President and Chief Operating Officer. During the fiscal year ended March 31, 2019, Brett Venker earned total cash compensation, consisting of salary and bonus, of $205,048 and was granted incentive equity awards with an aggregate grant date fair value, as computed in accordance with FASB ASC 718, of $1,025,505. During the fiscal year ended March 31, 2020, Dr. Venker earned total cash compensation, consisting of salary and bonus, of $338,273 and was granted incentive equity awards with an aggregate grant date fair value, as computed in accordance with FASB ASC 718, of $64,140. During the fiscal year ended March 31, 2021,</w:t>
      </w:r>
    </w:p>
    <w:p>
      <w:pPr>
        <w:spacing w:after="0" w:line="1" w:lineRule="exact"/>
        <w:rPr>
          <w:sz w:val="20"/>
          <w:szCs w:val="20"/>
          <w:color w:val="auto"/>
        </w:rPr>
      </w:pPr>
    </w:p>
    <w:p>
      <w:pPr>
        <w:ind w:left="1980" w:right="839"/>
        <w:spacing w:after="0" w:line="260" w:lineRule="auto"/>
        <w:rPr>
          <w:sz w:val="20"/>
          <w:szCs w:val="20"/>
          <w:color w:val="auto"/>
        </w:rPr>
      </w:pPr>
      <w:r>
        <w:rPr>
          <w:rFonts w:ascii="Arial" w:cs="Arial" w:eastAsia="Arial" w:hAnsi="Arial"/>
          <w:sz w:val="12"/>
          <w:szCs w:val="12"/>
          <w:color w:val="auto"/>
        </w:rPr>
        <w:t>Dr. Venker earned total cash compensation, consisting of salary and bonus, of $360,634 and was granted incentive equity awards with an aggregate grant date fair value, as computed in accordance with FASB ASC 718, of $400,039.</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Other Transactions</w:t>
      </w:r>
    </w:p>
    <w:p>
      <w:pPr>
        <w:spacing w:after="0" w:line="8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have granted and intend to continue to grant equity awards to our executive officers and certain of our directors. For a description of these equity awards, see the sections titled “Executive Compensation—Director Compensation” and “Executive Compensation—Post-Business Combination Director Compensation Program.”</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Indemnification Agreements</w:t>
      </w:r>
    </w:p>
    <w:p>
      <w:pPr>
        <w:spacing w:after="0" w:line="82"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We have entered into indemnification agreements with each of our directors and executive officers. These indemnification agreements provide the directors and executive officers with contractual rights to indemnification and expense advancement that are, in some cases, broader than the specific indemnification provisions contained under Bermuda law. See the section titled “Description of Securities—Indemnification of Directors and Officers” for additional information regarding indemnification under Bermuda law and our amended and restated bye-laws.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Related Person Transaction Policy</w:t>
      </w:r>
    </w:p>
    <w:p>
      <w:pPr>
        <w:spacing w:after="0" w:line="8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Roivant’s voting securities, and any of their respective immediate family members and any entity owned or controlled by such persons.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277</w:t>
      </w:r>
    </w:p>
    <w:p>
      <w:pPr>
        <w:sectPr>
          <w:pgSz w:w="11900" w:h="16838" w:orient="portrait"/>
          <w:cols w:equalWidth="0" w:num="1">
            <w:col w:w="10159"/>
          </w:cols>
          <w:pgMar w:left="300" w:top="372" w:right="1440" w:bottom="1440" w:gutter="0" w:footer="0" w:header="0"/>
        </w:sectPr>
      </w:pPr>
    </w:p>
    <w:bookmarkStart w:id="285" w:name="page286"/>
    <w:bookmarkEnd w:id="2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is required to take into account the relevant available facts and circumstances including, but not limited to:</w:t>
      </w:r>
    </w:p>
    <w:p>
      <w:pPr>
        <w:spacing w:after="0" w:line="57" w:lineRule="exact"/>
        <w:rPr>
          <w:sz w:val="20"/>
          <w:szCs w:val="20"/>
          <w:color w:val="auto"/>
        </w:rPr>
      </w:pPr>
    </w:p>
    <w:p>
      <w:pPr>
        <w:ind w:left="2620" w:hanging="288"/>
        <w:spacing w:after="0"/>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risks, costs and benefits to us;</w:t>
      </w:r>
    </w:p>
    <w:p>
      <w:pPr>
        <w:spacing w:after="0" w:line="14" w:lineRule="exact"/>
        <w:rPr>
          <w:rFonts w:ascii="Arial" w:cs="Arial" w:eastAsia="Arial" w:hAnsi="Arial"/>
          <w:sz w:val="12"/>
          <w:szCs w:val="12"/>
          <w:color w:val="auto"/>
        </w:rPr>
      </w:pPr>
    </w:p>
    <w:p>
      <w:pPr>
        <w:ind w:left="2620" w:right="1139" w:hanging="288"/>
        <w:spacing w:after="0" w:line="260" w:lineRule="auto"/>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impact on a director’s independence in the event that the related person is a director, immediate family member of a director or an entity with which a director is affiliated;</w:t>
      </w:r>
    </w:p>
    <w:p>
      <w:pPr>
        <w:spacing w:after="0" w:line="61" w:lineRule="exact"/>
        <w:rPr>
          <w:rFonts w:ascii="Arial" w:cs="Arial" w:eastAsia="Arial" w:hAnsi="Arial"/>
          <w:sz w:val="12"/>
          <w:szCs w:val="12"/>
          <w:color w:val="auto"/>
        </w:rPr>
      </w:pPr>
    </w:p>
    <w:p>
      <w:pPr>
        <w:ind w:left="2620" w:hanging="288"/>
        <w:spacing w:after="0"/>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availability of other sources for comparable services or products;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terms available to or from, as the case may be, unrelated third parties or to or from employees generally.</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Post-Business Combination Arrangements</w:t>
      </w:r>
    </w:p>
    <w:p>
      <w:pPr>
        <w:spacing w:after="0" w:line="8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connection with the Business Combination, certain agreements with certain Roivant Related Parties were entered into pursuant to the Business Combination Agreement. The agreements described in this section, or forms of such agreements as they will be in effect substantially concurrently with the completion of the business combination, are filed as exhibits to the registration statement of which this prospectus forms a part, and the following descriptions are qualified by reference thereto. These agreements include: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Transaction Support Agreement</w:t>
      </w:r>
    </w:p>
    <w:p>
      <w:pPr>
        <w:spacing w:after="0" w:line="7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Concurrently with the signing of the Business Combination Agreement, certain shareholders of Roivant entered into a Transaction Support Agreement (collectively, the “Transaction Support Agreements”) with MAAC and Roivant, pursuant to which such shareholders of Roivant have agreed to, among other things, certain covenants and agreements, to support, or that are otherwise related to, the Business Combination, including an agreement to terminate certain existing agreements between Roivant and such shareholders, an agreement to not transfer his, her or its Roivant shares prior to the Closing and, in the case of certain Roivant shareholders also participating in the PIPE Financing, certain covenants related to the expiration or termination of the waiting period under the HSR Act, to the extent applicable, with respect to the issuance of Common Shares to such shareholder in connection with the Business Combination.</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Sponsor Support Agreement</w:t>
      </w:r>
    </w:p>
    <w:p>
      <w:pPr>
        <w:spacing w:after="0" w:line="78"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Concurrently with the execution of the Business Combination Agreement, MAAC, the MAAC Sponsor, Roivant and each of the MAAC Insiders, entered into the Sponsor Support Agreement, which was subsequently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278</w:t>
      </w:r>
    </w:p>
    <w:p>
      <w:pPr>
        <w:sectPr>
          <w:pgSz w:w="11900" w:h="16838" w:orient="portrait"/>
          <w:cols w:equalWidth="0" w:num="1">
            <w:col w:w="10159"/>
          </w:cols>
          <w:pgMar w:left="300" w:top="372" w:right="1440" w:bottom="1440" w:gutter="0" w:footer="0" w:header="0"/>
        </w:sectPr>
      </w:pPr>
    </w:p>
    <w:bookmarkStart w:id="286" w:name="page287"/>
    <w:bookmarkEnd w:id="2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amended on June 9, 2021 to reflect the MAAC Independent Directors and Roivant entering into respective Lock-Up Agreements and further amended on September 30, 2021.</w:t>
      </w:r>
    </w:p>
    <w:p>
      <w:pPr>
        <w:spacing w:after="0" w:line="115" w:lineRule="exact"/>
        <w:rPr>
          <w:sz w:val="20"/>
          <w:szCs w:val="20"/>
          <w:color w:val="auto"/>
        </w:rPr>
      </w:pPr>
    </w:p>
    <w:p>
      <w:pPr>
        <w:ind w:left="1980" w:right="1039" w:firstLine="294"/>
        <w:spacing w:after="0" w:line="306" w:lineRule="auto"/>
        <w:rPr>
          <w:sz w:val="20"/>
          <w:szCs w:val="20"/>
          <w:color w:val="auto"/>
        </w:rPr>
      </w:pPr>
      <w:r>
        <w:rPr>
          <w:rFonts w:ascii="Arial" w:cs="Arial" w:eastAsia="Arial" w:hAnsi="Arial"/>
          <w:sz w:val="10"/>
          <w:szCs w:val="10"/>
          <w:color w:val="auto"/>
        </w:rPr>
        <w:t>Pursuant to the Sponsor Support Agreement, among other things: (i) the MAAC Sponsor and the MAAC Insiders reaffirmed his, her or its obligations in existing arrangements with MAAC to vote in favor of each of the proposals to be voted upon at the meeting of MAAC stockholders in connection with the Business Combination, including approval of the Business Combination Agreement and the transactions contemplated thereby;</w:t>
      </w:r>
    </w:p>
    <w:p>
      <w:pPr>
        <w:spacing w:after="0" w:line="1" w:lineRule="exact"/>
        <w:rPr>
          <w:sz w:val="20"/>
          <w:szCs w:val="20"/>
          <w:color w:val="auto"/>
        </w:rPr>
      </w:pPr>
    </w:p>
    <w:p>
      <w:pPr>
        <w:ind w:left="1980" w:right="1139" w:hanging="8"/>
        <w:spacing w:after="0" w:line="273" w:lineRule="auto"/>
        <w:tabs>
          <w:tab w:leader="none" w:pos="2157" w:val="left"/>
        </w:tabs>
        <w:numPr>
          <w:ilvl w:val="0"/>
          <w:numId w:val="154"/>
        </w:numPr>
        <w:rPr>
          <w:rFonts w:ascii="Arial" w:cs="Arial" w:eastAsia="Arial" w:hAnsi="Arial"/>
          <w:sz w:val="11"/>
          <w:szCs w:val="11"/>
          <w:color w:val="auto"/>
        </w:rPr>
      </w:pPr>
      <w:r>
        <w:rPr>
          <w:rFonts w:ascii="Arial" w:cs="Arial" w:eastAsia="Arial" w:hAnsi="Arial"/>
          <w:sz w:val="11"/>
          <w:szCs w:val="11"/>
          <w:color w:val="auto"/>
        </w:rPr>
        <w:t>the MAAC Sponsor waived any adjustment to the conversion ratio set forth in the governing documents of MAAC or any other anti-dilution or similar protection with respect to the MAAC Class B Shares that may result from the transactions contemplated by the Business Combination;</w:t>
      </w:r>
    </w:p>
    <w:p>
      <w:pPr>
        <w:ind w:left="1980" w:right="859" w:hanging="8"/>
        <w:spacing w:after="0" w:line="276" w:lineRule="auto"/>
        <w:tabs>
          <w:tab w:leader="none" w:pos="2190" w:val="left"/>
        </w:tabs>
        <w:numPr>
          <w:ilvl w:val="0"/>
          <w:numId w:val="154"/>
        </w:numPr>
        <w:rPr>
          <w:rFonts w:ascii="Arial" w:cs="Arial" w:eastAsia="Arial" w:hAnsi="Arial"/>
          <w:sz w:val="11"/>
          <w:szCs w:val="11"/>
          <w:color w:val="auto"/>
        </w:rPr>
      </w:pPr>
      <w:r>
        <w:rPr>
          <w:rFonts w:ascii="Arial" w:cs="Arial" w:eastAsia="Arial" w:hAnsi="Arial"/>
          <w:sz w:val="11"/>
          <w:szCs w:val="11"/>
          <w:color w:val="auto"/>
        </w:rPr>
        <w:t>subject to, and conditioned upon, the occurrence of and effective as of, the Effective Time, the MAAC Sponsor and the MAAC Insiders agreed to terminate certain existing arrangements with MAAC, including existing registration rights and the existing lock-up obligations with respect to his, her or its MAAC Shares; (iv) the MAAC Sponsor and the MAAC Insiders that hold Common Shares immediately following the Effective Time will be granted the right to include his, her or its Common Shares in a resale registration statement to be filed in connection with the transactions contemplated by the Subscription Agreements following the Effective Time; (v) the MAAC Sponsor, Roivant and MAAC have each agreed to certain covenants related to the expiration or termination of the waiting period under the HSR Act with respect to the issuance of Common Shares to the MAAC Sponsor in connection with the Business Combination; and (vi) subject to, and conditioned upon the occurrence of, and effective as of immediately after, the Effective Time, (a) 2,033,591 shares of the Common Shares issued to the MAAC Sponsor and 10,000 shares of the Common Shares issued to each MAAC Independent Director, each in respect of its MAAC Class B Shares, will be subject to the vesting conditions described below and the other restrictions set forth in the Sponsor Support Agreement with respect to the $15 Earn-Out Shares and (b) 1,016,796 shares of the Common Shares issued to the MAAC Sponsor and 5,000 shares of the Common Shares issued to each MAAC Independent Director, each in respect of its MAAC Class B Shares, will be subject to the vesting conditions described below and the other restrictions set forth in the Sponsor Support Agreement with respect to the $20 Earn-Out Shares.</w:t>
      </w:r>
    </w:p>
    <w:p>
      <w:pPr>
        <w:spacing w:after="0" w:line="11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$15 Earn-Out Shares will vest if the closing price of the Common Shares is greater than or equal to $15.00 over any twenty out of thirty trading day period during the period commencing on the earlier of (a) the date on which the registration statement of which this prospectus forms a part is declared effective or (b) November 15, 2021, and ending no later than the fifth anniversary of the Closing Date following the Closing (the “vesting period”), and the $20 Earn-Out Shares will vest if the closing price of the Common Shares is greater than or equal to $20.00 over any twenty out of thirty trading day period during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PIPE Agreements</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Prior to the consummation of the Business Combination, MAAC and Roivant entered into subscription agreements (collectively, the “Subscription Agreements”) with certain institutional and accredited investors, pursuant to which such investors agreed to subscribe for and purchase, and MAAC agreed to issue and sell to such investors, prior to and substantially concurrently with the closing of the Business Combination, an aggregate of 22,000,000 MAAC Class A Shares at a purchase price of $10.00 per share, for aggregate gross proceeds of $220,000,000 (the “PIPE Financing”). The PIPE Financing was consummated substantially concurrently with the closing of the Business Combination. Each MAAC Class A Share issued in the PIPE Financing was converted into one Common Share in connection with the closing of the Business Combination. The issuance of the Common Shares pursuant to the PIPE Financing was not registered the Securities Act and the Common Shares were issued in reliance upon the exemption provided in Section 4(a)(2) of the Securities Act.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279</w:t>
      </w:r>
    </w:p>
    <w:p>
      <w:pPr>
        <w:sectPr>
          <w:pgSz w:w="11900" w:h="16838" w:orient="portrait"/>
          <w:cols w:equalWidth="0" w:num="1">
            <w:col w:w="10159"/>
          </w:cols>
          <w:pgMar w:left="300" w:top="372" w:right="1440" w:bottom="1440" w:gutter="0" w:footer="0" w:header="0"/>
        </w:sectPr>
      </w:pPr>
    </w:p>
    <w:bookmarkStart w:id="287" w:name="page288"/>
    <w:bookmarkEnd w:id="2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Subscription Agreements included provisions requiring us to provide certain customary registration rights to the investors in the PIPE Financing, which we intend to satisfy with the registration statement of which this prospectus forms a part.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Registration Rights Agreement</w:t>
      </w:r>
    </w:p>
    <w:p>
      <w:pPr>
        <w:spacing w:after="0" w:line="7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Concurrently with the execution of the Business Combination Agreement, certain Roivant shareholders entered into the Third Amended and Restated Registration Rights Agreement (the “Registration Rights Agreement”) pursuant to which, among other things, certain Roivant shareholders party thereto, subject to certain exceptions, were be granted certain customary registration rights.</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Pursuant to the terms of the Registration Rights Agreement, Roivant is obligated to file a registration statement to register the resale of certain Common Shares within 30 days after the consummation of the Business Combination, which Roivant intends to satisfy with the registration statement of which this prospectus forms a part. In addition, pursuant to the terms of the Registration Rights Agreement and subject to certain requirements and customary conditions, including with regard to the number of demand rights that may be exercised and other requirements, at any time after March 30, 2022, certain significant shareholders (as provided in the Registration Rights Agreement), if any, holding at least five percent (5.0%) of the then-outstanding number of registrable securities of Roivant who is party to the Registration Rights Agreement may request that Roivant file a registration statement to register the registrable securities of Roivant held by such significant shareholder. The Registration Rights Agreement will also provide certain shareholders with “piggy-back” registration rights, subject to certain requirements and customary conditions.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Lock-Up Agreements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color w:val="auto"/>
        </w:rPr>
        <w:t>On May 1, 2021 and June 9, 2021, Roivant, on the one hand, and the MAAC Sponsor, both of MAAC’s independent directors (the “MAAC Independent Directors”) and certain Roivant equityholders, on the other hand, entered into lock-up agreements (the “Lock-Up Agreements”), pursuant to which, among other things, the MAAC Sponsor, MAAC Independent Directors and such Roivant equityholders have agreed not to, subject to, and conditioned upon the effectiveness of, the Closing, effect any sale or distribution of the Common Shares (including those underlying incentive equity awards or Warrants) held by the MAAC Sponsor, MAAC Independent Directors or such equityholders as of immediately following the Closing during the applicable lock-up period, subject to customary exceptions. The lock-up period applicable to Common Shares held by the MAAC Sponsor and MAAC Independent Directors as of immediately following the Closing will be (i) with respect to 25% of the Common Shares held by the MAAC Sponsor, six months following the Closing, (ii) with respect to an additional 25% of the Common Shares held by the MAAC Sponsor, the earlier of twelve months following the achievement of certain price-based vesting restrictions or six years from the Closing and (iii) with respect to 50% of the Common Shares held by the MAAC Sponsor, thirty-six months following the Closing. The Warrants and the Common Shares underlying Warrants held by the MAAC Sponsor as of immediately following the Closing will be subject to a corresponding lock-up period for (a) with respect to 25% of such Warrants held by the MAAC Sponsor, six months from the Closing, (b) with respect to an additional 25% of such Warrants held by the MAAC Sponsor, twelve months from Closing and (c) with respect to 50% of such warrants held by the MAAC Sponsor, thirty-six months from the Closing. The lock-up period applicable to Common Shares (including those underlying incentive equity awards) held by certain Roivant equityholders as of immediately following the Closing will be (x) with respect to 25% of the Common Shares (including those underlying incentive equity awards) held by such Roivant equityholders, six months following the Closing, (y) with respect to an additional 25% of the Common Shares (including those underlying incentive equity awards) held by such Roivant equityholders, twelve months following the Closing and (z) with respect to 50% of the Common Shares (including those underlying incentive equity awards) held by such Roivant equityholders, thirty-six months following the Closing.</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280</w:t>
      </w:r>
    </w:p>
    <w:p>
      <w:pPr>
        <w:sectPr>
          <w:pgSz w:w="11900" w:h="16838" w:orient="portrait"/>
          <w:cols w:equalWidth="0" w:num="1">
            <w:col w:w="10159"/>
          </w:cols>
          <w:pgMar w:left="300" w:top="372" w:right="1440" w:bottom="1440" w:gutter="0" w:footer="0" w:header="0"/>
        </w:sectPr>
      </w:pPr>
    </w:p>
    <w:bookmarkStart w:id="288" w:name="page289"/>
    <w:bookmarkEnd w:id="2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PRINCIPAL SECURITYHOLDERS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information regarding the beneficial ownership of the Common Shares as of September 30, 2021 by:</w:t>
      </w:r>
    </w:p>
    <w:p>
      <w:pPr>
        <w:spacing w:after="0" w:line="87" w:lineRule="exact"/>
        <w:rPr>
          <w:sz w:val="20"/>
          <w:szCs w:val="20"/>
          <w:color w:val="auto"/>
        </w:rPr>
      </w:pPr>
    </w:p>
    <w:p>
      <w:pPr>
        <w:ind w:left="2620" w:hanging="288"/>
        <w:spacing w:after="0"/>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each person known by the Company to be the beneficial owner of more than 5% of outstanding Common Shares;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each of the Company’s named executive officers and directors;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all executive officers and directors of the Company as a group.</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The ownership percentages set forth in the table below are based on 684,789,169 Common Shares issued and outstanding as of September 30, 2021 and unless otherwise noted below, do not take into account the issuance of any Common Shares issuable upon exercise of Warrants. However, shares that a person has the right to acquire within 60 days of September 30, 2021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 Unless otherwise noted in the footnotes to the following table, and subject to applicable community property laws, we believe the persons and entities named in the table have sole voting and investment power with respect to their beneficially owned Common Shares.</w:t>
      </w:r>
    </w:p>
    <w:p>
      <w:pPr>
        <w:spacing w:after="0" w:line="117" w:lineRule="exact"/>
        <w:rPr>
          <w:sz w:val="20"/>
          <w:szCs w:val="20"/>
          <w:color w:val="auto"/>
        </w:rPr>
      </w:pPr>
    </w:p>
    <w:p>
      <w:pPr>
        <w:jc w:val="both"/>
        <w:ind w:left="1980" w:right="859" w:firstLine="294"/>
        <w:spacing w:after="0" w:line="298" w:lineRule="auto"/>
        <w:rPr>
          <w:sz w:val="20"/>
          <w:szCs w:val="20"/>
          <w:color w:val="auto"/>
        </w:rPr>
      </w:pPr>
      <w:r>
        <w:rPr>
          <w:rFonts w:ascii="Arial" w:cs="Arial" w:eastAsia="Arial" w:hAnsi="Arial"/>
          <w:sz w:val="11"/>
          <w:szCs w:val="11"/>
          <w:color w:val="auto"/>
        </w:rPr>
        <w:t>Unless otherwise indicated, the Company believes that each person named in the table below has sole voting and investment power with respect to all shares of common stock beneficially owned by such person. Except as otherwise noted below, the address for persons or entities listed in the table is c/o Roivant Sciences Ltd., Suite 1, 3rd Floor, 11-12 St. James’s Square, London SW1Y 4LB, United Kingdom.</w:t>
      </w:r>
    </w:p>
    <w:p>
      <w:pPr>
        <w:spacing w:after="0" w:line="1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000" w:type="dxa"/>
            <w:vAlign w:val="bottom"/>
          </w:tcPr>
          <w:p>
            <w:pPr>
              <w:ind w:left="1560"/>
              <w:spacing w:after="0"/>
              <w:rPr>
                <w:sz w:val="20"/>
                <w:szCs w:val="20"/>
                <w:color w:val="auto"/>
              </w:rPr>
            </w:pPr>
            <w:r>
              <w:rPr>
                <w:rFonts w:ascii="Arial" w:cs="Arial" w:eastAsia="Arial" w:hAnsi="Arial"/>
                <w:sz w:val="10"/>
                <w:szCs w:val="10"/>
                <w:b w:val="1"/>
                <w:bCs w:val="1"/>
                <w:color w:val="auto"/>
              </w:rPr>
              <w:t>Name and Address of</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2"/>
        </w:trPr>
        <w:tc>
          <w:tcPr>
            <w:tcW w:w="3000" w:type="dxa"/>
            <w:vAlign w:val="bottom"/>
          </w:tcPr>
          <w:p>
            <w:pPr>
              <w:ind w:left="1620"/>
              <w:spacing w:after="0"/>
              <w:rPr>
                <w:sz w:val="20"/>
                <w:szCs w:val="20"/>
                <w:color w:val="auto"/>
              </w:rPr>
            </w:pPr>
            <w:r>
              <w:rPr>
                <w:rFonts w:ascii="Arial" w:cs="Arial" w:eastAsia="Arial" w:hAnsi="Arial"/>
                <w:sz w:val="10"/>
                <w:szCs w:val="10"/>
                <w:b w:val="1"/>
                <w:bCs w:val="1"/>
                <w:color w:val="auto"/>
              </w:rPr>
              <w:t>Beneficial Owners</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60" w:type="dxa"/>
            <w:vAlign w:val="bottom"/>
            <w:gridSpan w:val="2"/>
          </w:tcPr>
          <w:p>
            <w:pPr>
              <w:spacing w:after="0"/>
              <w:rPr>
                <w:sz w:val="20"/>
                <w:szCs w:val="20"/>
                <w:color w:val="auto"/>
              </w:rPr>
            </w:pPr>
            <w:r>
              <w:rPr>
                <w:rFonts w:ascii="Arial" w:cs="Arial" w:eastAsia="Arial" w:hAnsi="Arial"/>
                <w:sz w:val="10"/>
                <w:szCs w:val="10"/>
                <w:b w:val="1"/>
                <w:bCs w:val="1"/>
                <w:color w:val="auto"/>
              </w:rPr>
              <w:t>Number of Common Shares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7"/>
              </w:rPr>
              <w:t>% of Ownership</w:t>
            </w:r>
          </w:p>
        </w:tc>
      </w:tr>
      <w:tr>
        <w:trPr>
          <w:trHeight w:val="142"/>
        </w:trPr>
        <w:tc>
          <w:tcPr>
            <w:tcW w:w="300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Directors and current named executive officers:</w:t>
            </w:r>
          </w:p>
        </w:tc>
        <w:tc>
          <w:tcPr>
            <w:tcW w:w="10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63"/>
        </w:trPr>
        <w:tc>
          <w:tcPr>
            <w:tcW w:w="3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Matthew Gline</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Chief Executive Officer and Director</w:t>
            </w:r>
          </w:p>
        </w:tc>
        <w:tc>
          <w:tcPr>
            <w:tcW w:w="3520" w:type="dxa"/>
            <w:vAlign w:val="bottom"/>
            <w:gridSpan w:val="4"/>
            <w:shd w:val="clear" w:color="auto" w:fill="CCEEFF"/>
          </w:tcPr>
          <w:p>
            <w:pPr>
              <w:jc w:val="right"/>
              <w:ind w:right="700"/>
              <w:spacing w:after="0"/>
              <w:rPr>
                <w:sz w:val="20"/>
                <w:szCs w:val="20"/>
                <w:color w:val="auto"/>
              </w:rPr>
            </w:pPr>
            <w:r>
              <w:rPr>
                <w:rFonts w:ascii="Arial" w:cs="Arial" w:eastAsia="Arial" w:hAnsi="Arial"/>
                <w:sz w:val="12"/>
                <w:szCs w:val="12"/>
                <w:color w:val="auto"/>
              </w:rPr>
              <w:t>2,500,486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2"/>
                <w:szCs w:val="12"/>
                <w:color w:val="auto"/>
              </w:rPr>
              <w:t>Eric Venker</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000" w:type="dxa"/>
            <w:vAlign w:val="bottom"/>
          </w:tcPr>
          <w:p>
            <w:pPr>
              <w:ind w:left="120"/>
              <w:spacing w:after="0"/>
              <w:rPr>
                <w:sz w:val="20"/>
                <w:szCs w:val="20"/>
                <w:color w:val="auto"/>
              </w:rPr>
            </w:pPr>
            <w:r>
              <w:rPr>
                <w:rFonts w:ascii="Arial" w:cs="Arial" w:eastAsia="Arial" w:hAnsi="Arial"/>
                <w:sz w:val="12"/>
                <w:szCs w:val="12"/>
                <w:i w:val="1"/>
                <w:iCs w:val="1"/>
                <w:color w:val="auto"/>
              </w:rPr>
              <w:t>President and Chief Operating Officer</w:t>
            </w:r>
          </w:p>
        </w:tc>
        <w:tc>
          <w:tcPr>
            <w:tcW w:w="3520" w:type="dxa"/>
            <w:vAlign w:val="bottom"/>
            <w:gridSpan w:val="4"/>
          </w:tcPr>
          <w:p>
            <w:pPr>
              <w:jc w:val="right"/>
              <w:ind w:right="700"/>
              <w:spacing w:after="0"/>
              <w:rPr>
                <w:sz w:val="20"/>
                <w:szCs w:val="20"/>
                <w:color w:val="auto"/>
              </w:rPr>
            </w:pPr>
            <w:r>
              <w:rPr>
                <w:rFonts w:ascii="Arial" w:cs="Arial" w:eastAsia="Arial" w:hAnsi="Arial"/>
                <w:sz w:val="12"/>
                <w:szCs w:val="12"/>
                <w:color w:val="auto"/>
              </w:rPr>
              <w:t>1,230,296</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Benjamin Zimmer</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Former President, Roivant Health</w:t>
            </w:r>
          </w:p>
        </w:tc>
        <w:tc>
          <w:tcPr>
            <w:tcW w:w="3520" w:type="dxa"/>
            <w:vAlign w:val="bottom"/>
            <w:gridSpan w:val="4"/>
            <w:shd w:val="clear" w:color="auto" w:fill="CCEEFF"/>
          </w:tcPr>
          <w:p>
            <w:pPr>
              <w:jc w:val="right"/>
              <w:ind w:right="700"/>
              <w:spacing w:after="0"/>
              <w:rPr>
                <w:sz w:val="20"/>
                <w:szCs w:val="20"/>
                <w:color w:val="auto"/>
              </w:rPr>
            </w:pPr>
            <w:r>
              <w:rPr>
                <w:rFonts w:ascii="Arial" w:cs="Arial" w:eastAsia="Arial" w:hAnsi="Arial"/>
                <w:sz w:val="12"/>
                <w:szCs w:val="12"/>
                <w:color w:val="auto"/>
              </w:rPr>
              <w:t>1,610,224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2"/>
                <w:szCs w:val="12"/>
                <w:color w:val="auto"/>
              </w:rPr>
              <w:t>James C. Momtazee</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000" w:type="dxa"/>
            <w:vAlign w:val="bottom"/>
          </w:tcPr>
          <w:p>
            <w:pPr>
              <w:ind w:left="120"/>
              <w:spacing w:after="0"/>
              <w:rPr>
                <w:sz w:val="20"/>
                <w:szCs w:val="20"/>
                <w:color w:val="auto"/>
              </w:rPr>
            </w:pPr>
            <w:r>
              <w:rPr>
                <w:rFonts w:ascii="Arial" w:cs="Arial" w:eastAsia="Arial" w:hAnsi="Arial"/>
                <w:sz w:val="12"/>
                <w:szCs w:val="12"/>
                <w:i w:val="1"/>
                <w:iCs w:val="1"/>
                <w:color w:val="auto"/>
              </w:rPr>
              <w:t>Director</w:t>
            </w: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Vivek Ramaswamy</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Director</w:t>
            </w:r>
          </w:p>
        </w:tc>
        <w:tc>
          <w:tcPr>
            <w:tcW w:w="3520" w:type="dxa"/>
            <w:vAlign w:val="bottom"/>
            <w:gridSpan w:val="4"/>
            <w:shd w:val="clear" w:color="auto" w:fill="CCEEFF"/>
          </w:tcPr>
          <w:p>
            <w:pPr>
              <w:jc w:val="right"/>
              <w:ind w:right="700"/>
              <w:spacing w:after="0"/>
              <w:rPr>
                <w:sz w:val="20"/>
                <w:szCs w:val="20"/>
                <w:color w:val="auto"/>
              </w:rPr>
            </w:pPr>
            <w:r>
              <w:rPr>
                <w:rFonts w:ascii="Arial" w:cs="Arial" w:eastAsia="Arial" w:hAnsi="Arial"/>
                <w:sz w:val="12"/>
                <w:szCs w:val="12"/>
                <w:color w:val="auto"/>
              </w:rPr>
              <w:t>72,556,652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10.4%</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2"/>
                <w:szCs w:val="12"/>
                <w:color w:val="auto"/>
              </w:rPr>
              <w:t>Andrew Lo</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000" w:type="dxa"/>
            <w:vAlign w:val="bottom"/>
          </w:tcPr>
          <w:p>
            <w:pPr>
              <w:ind w:left="120"/>
              <w:spacing w:after="0"/>
              <w:rPr>
                <w:sz w:val="20"/>
                <w:szCs w:val="20"/>
                <w:color w:val="auto"/>
              </w:rPr>
            </w:pPr>
            <w:r>
              <w:rPr>
                <w:rFonts w:ascii="Arial" w:cs="Arial" w:eastAsia="Arial" w:hAnsi="Arial"/>
                <w:sz w:val="12"/>
                <w:szCs w:val="12"/>
                <w:i w:val="1"/>
                <w:iCs w:val="1"/>
                <w:color w:val="auto"/>
              </w:rPr>
              <w:t>Director</w:t>
            </w:r>
          </w:p>
        </w:tc>
        <w:tc>
          <w:tcPr>
            <w:tcW w:w="3520" w:type="dxa"/>
            <w:vAlign w:val="bottom"/>
            <w:gridSpan w:val="4"/>
          </w:tcPr>
          <w:p>
            <w:pPr>
              <w:jc w:val="right"/>
              <w:ind w:right="700"/>
              <w:spacing w:after="0"/>
              <w:rPr>
                <w:sz w:val="20"/>
                <w:szCs w:val="20"/>
                <w:color w:val="auto"/>
              </w:rPr>
            </w:pPr>
            <w:r>
              <w:rPr>
                <w:rFonts w:ascii="Arial" w:cs="Arial" w:eastAsia="Arial" w:hAnsi="Arial"/>
                <w:sz w:val="12"/>
                <w:szCs w:val="12"/>
                <w:color w:val="auto"/>
              </w:rPr>
              <w:t>690,583</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Patrick Machado</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Director</w:t>
            </w:r>
          </w:p>
        </w:tc>
        <w:tc>
          <w:tcPr>
            <w:tcW w:w="3520" w:type="dxa"/>
            <w:vAlign w:val="bottom"/>
            <w:gridSpan w:val="4"/>
            <w:shd w:val="clear" w:color="auto" w:fill="CCEEFF"/>
          </w:tcPr>
          <w:p>
            <w:pPr>
              <w:jc w:val="right"/>
              <w:ind w:right="700"/>
              <w:spacing w:after="0"/>
              <w:rPr>
                <w:sz w:val="20"/>
                <w:szCs w:val="20"/>
                <w:color w:val="auto"/>
              </w:rPr>
            </w:pPr>
            <w:r>
              <w:rPr>
                <w:rFonts w:ascii="Arial" w:cs="Arial" w:eastAsia="Arial" w:hAnsi="Arial"/>
                <w:sz w:val="12"/>
                <w:szCs w:val="12"/>
                <w:color w:val="auto"/>
              </w:rPr>
              <w:t>456,722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2"/>
                <w:szCs w:val="12"/>
                <w:color w:val="auto"/>
              </w:rPr>
              <w:t>Keith Manchester</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000" w:type="dxa"/>
            <w:vAlign w:val="bottom"/>
          </w:tcPr>
          <w:p>
            <w:pPr>
              <w:ind w:left="120"/>
              <w:spacing w:after="0"/>
              <w:rPr>
                <w:sz w:val="20"/>
                <w:szCs w:val="20"/>
                <w:color w:val="auto"/>
              </w:rPr>
            </w:pPr>
            <w:r>
              <w:rPr>
                <w:rFonts w:ascii="Arial" w:cs="Arial" w:eastAsia="Arial" w:hAnsi="Arial"/>
                <w:sz w:val="12"/>
                <w:szCs w:val="12"/>
                <w:i w:val="1"/>
                <w:iCs w:val="1"/>
                <w:color w:val="auto"/>
              </w:rPr>
              <w:t>Director</w:t>
            </w: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Ilan Oren</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Director</w:t>
            </w: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2"/>
                <w:szCs w:val="12"/>
                <w:color w:val="auto"/>
              </w:rPr>
              <w:t>Daniel Gold</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000" w:type="dxa"/>
            <w:vAlign w:val="bottom"/>
          </w:tcPr>
          <w:p>
            <w:pPr>
              <w:ind w:left="120"/>
              <w:spacing w:after="0"/>
              <w:rPr>
                <w:sz w:val="20"/>
                <w:szCs w:val="20"/>
                <w:color w:val="auto"/>
              </w:rPr>
            </w:pPr>
            <w:r>
              <w:rPr>
                <w:rFonts w:ascii="Arial" w:cs="Arial" w:eastAsia="Arial" w:hAnsi="Arial"/>
                <w:sz w:val="12"/>
                <w:szCs w:val="12"/>
                <w:i w:val="1"/>
                <w:iCs w:val="1"/>
                <w:color w:val="auto"/>
              </w:rPr>
              <w:t>Director</w:t>
            </w: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Masayo Tada</w:t>
            </w: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Director</w:t>
            </w: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r>
      <w:tr>
        <w:trPr>
          <w:trHeight w:val="243"/>
        </w:trPr>
        <w:tc>
          <w:tcPr>
            <w:tcW w:w="3000" w:type="dxa"/>
            <w:vAlign w:val="bottom"/>
          </w:tcPr>
          <w:p>
            <w:pPr>
              <w:spacing w:after="0"/>
              <w:rPr>
                <w:sz w:val="21"/>
                <w:szCs w:val="21"/>
                <w:color w:val="auto"/>
              </w:rPr>
            </w:pP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281</w:t>
            </w: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289" w:name="page290"/>
    <w:bookmarkEnd w:id="2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60" w:type="dxa"/>
            <w:vAlign w:val="bottom"/>
            <w:gridSpan w:val="2"/>
          </w:tcPr>
          <w:p>
            <w:pPr>
              <w:ind w:left="1560"/>
              <w:spacing w:after="0"/>
              <w:rPr>
                <w:sz w:val="20"/>
                <w:szCs w:val="20"/>
                <w:color w:val="auto"/>
              </w:rPr>
            </w:pPr>
            <w:r>
              <w:rPr>
                <w:rFonts w:ascii="Arial" w:cs="Arial" w:eastAsia="Arial" w:hAnsi="Arial"/>
                <w:sz w:val="10"/>
                <w:szCs w:val="10"/>
                <w:b w:val="1"/>
                <w:bCs w:val="1"/>
                <w:color w:val="auto"/>
              </w:rPr>
              <w:t>Name and Address of</w:t>
            </w: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1620"/>
              <w:spacing w:after="0"/>
              <w:rPr>
                <w:sz w:val="20"/>
                <w:szCs w:val="20"/>
                <w:color w:val="auto"/>
              </w:rPr>
            </w:pPr>
            <w:r>
              <w:rPr>
                <w:rFonts w:ascii="Arial" w:cs="Arial" w:eastAsia="Arial" w:hAnsi="Arial"/>
                <w:sz w:val="10"/>
                <w:szCs w:val="10"/>
                <w:b w:val="1"/>
                <w:bCs w:val="1"/>
                <w:color w:val="auto"/>
              </w:rPr>
              <w:t>Beneficial Owners</w:t>
            </w:r>
          </w:p>
        </w:tc>
        <w:tc>
          <w:tcPr>
            <w:tcW w:w="680" w:type="dxa"/>
            <w:vAlign w:val="bottom"/>
          </w:tcPr>
          <w:p>
            <w:pPr>
              <w:spacing w:after="0"/>
              <w:rPr>
                <w:sz w:val="10"/>
                <w:szCs w:val="10"/>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w w:val="84"/>
              </w:rPr>
              <w:t>Number of Common Shares</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7"/>
              </w:rPr>
              <w:t>% of Ownership</w:t>
            </w:r>
          </w:p>
        </w:tc>
        <w:tc>
          <w:tcPr>
            <w:tcW w:w="0" w:type="dxa"/>
            <w:vAlign w:val="bottom"/>
          </w:tcPr>
          <w:p>
            <w:pPr>
              <w:spacing w:after="0"/>
              <w:rPr>
                <w:sz w:val="1"/>
                <w:szCs w:val="1"/>
                <w:color w:val="auto"/>
              </w:rPr>
            </w:pPr>
          </w:p>
        </w:tc>
      </w:tr>
      <w:tr>
        <w:trPr>
          <w:trHeight w:val="20"/>
        </w:trPr>
        <w:tc>
          <w:tcPr>
            <w:tcW w:w="39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All directors and executive officers as a group (14 persons)</w:t>
            </w:r>
          </w:p>
        </w:tc>
        <w:tc>
          <w:tcPr>
            <w:tcW w:w="680" w:type="dxa"/>
            <w:vAlign w:val="bottom"/>
            <w:vMerge w:val="continue"/>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86,618,953</w:t>
            </w:r>
          </w:p>
        </w:tc>
        <w:tc>
          <w:tcPr>
            <w:tcW w:w="720" w:type="dxa"/>
            <w:vAlign w:val="bottom"/>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88"/>
        </w:trPr>
        <w:tc>
          <w:tcPr>
            <w:tcW w:w="4660" w:type="dxa"/>
            <w:vAlign w:val="bottom"/>
            <w:gridSpan w:val="2"/>
          </w:tcPr>
          <w:p>
            <w:pPr>
              <w:spacing w:after="0"/>
              <w:rPr>
                <w:sz w:val="20"/>
                <w:szCs w:val="20"/>
                <w:color w:val="auto"/>
              </w:rPr>
            </w:pPr>
            <w:r>
              <w:rPr>
                <w:rFonts w:ascii="Arial" w:cs="Arial" w:eastAsia="Arial" w:hAnsi="Arial"/>
                <w:sz w:val="12"/>
                <w:szCs w:val="12"/>
                <w:i w:val="1"/>
                <w:iCs w:val="1"/>
                <w:color w:val="auto"/>
              </w:rPr>
              <w:t>Five Percent Holders (excluding directors)</w:t>
            </w:r>
            <w:r>
              <w:rPr>
                <w:rFonts w:ascii="Arial" w:cs="Arial" w:eastAsia="Arial" w:hAnsi="Arial"/>
                <w:sz w:val="12"/>
                <w:szCs w:val="12"/>
                <w:color w:val="auto"/>
              </w:rPr>
              <w:t>:</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SVF Investments(1)</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99,375,586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4"/>
        </w:trPr>
        <w:tc>
          <w:tcPr>
            <w:tcW w:w="4660" w:type="dxa"/>
            <w:vAlign w:val="bottom"/>
            <w:gridSpan w:val="2"/>
          </w:tcPr>
          <w:p>
            <w:pPr>
              <w:spacing w:after="0"/>
              <w:rPr>
                <w:sz w:val="20"/>
                <w:szCs w:val="20"/>
                <w:color w:val="auto"/>
              </w:rPr>
            </w:pPr>
            <w:r>
              <w:rPr>
                <w:rFonts w:ascii="Arial" w:cs="Arial" w:eastAsia="Arial" w:hAnsi="Arial"/>
                <w:sz w:val="12"/>
                <w:szCs w:val="12"/>
                <w:color w:val="auto"/>
              </w:rPr>
              <w:t>QVT Entities(2)</w:t>
            </w:r>
          </w:p>
        </w:tc>
        <w:tc>
          <w:tcPr>
            <w:tcW w:w="1860" w:type="dxa"/>
            <w:vAlign w:val="bottom"/>
            <w:gridSpan w:val="2"/>
          </w:tcPr>
          <w:p>
            <w:pPr>
              <w:jc w:val="right"/>
              <w:ind w:right="720"/>
              <w:spacing w:after="0"/>
              <w:rPr>
                <w:sz w:val="20"/>
                <w:szCs w:val="20"/>
                <w:color w:val="auto"/>
              </w:rPr>
            </w:pPr>
            <w:r>
              <w:rPr>
                <w:rFonts w:ascii="Arial" w:cs="Arial" w:eastAsia="Arial" w:hAnsi="Arial"/>
                <w:sz w:val="12"/>
                <w:szCs w:val="12"/>
                <w:color w:val="auto"/>
              </w:rPr>
              <w:t>129,393,817</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144"/>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Dexxon Holdings(3)</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98,809,158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4660" w:type="dxa"/>
            <w:vAlign w:val="bottom"/>
            <w:gridSpan w:val="2"/>
          </w:tcPr>
          <w:p>
            <w:pPr>
              <w:spacing w:after="0"/>
              <w:rPr>
                <w:sz w:val="20"/>
                <w:szCs w:val="20"/>
                <w:color w:val="auto"/>
              </w:rPr>
            </w:pPr>
            <w:r>
              <w:rPr>
                <w:rFonts w:ascii="Arial" w:cs="Arial" w:eastAsia="Arial" w:hAnsi="Arial"/>
                <w:sz w:val="12"/>
                <w:szCs w:val="12"/>
                <w:color w:val="auto"/>
              </w:rPr>
              <w:t>Viking Global Entities(4)</w:t>
            </w:r>
          </w:p>
        </w:tc>
        <w:tc>
          <w:tcPr>
            <w:tcW w:w="1860" w:type="dxa"/>
            <w:vAlign w:val="bottom"/>
            <w:gridSpan w:val="2"/>
          </w:tcPr>
          <w:p>
            <w:pPr>
              <w:jc w:val="right"/>
              <w:ind w:right="720"/>
              <w:spacing w:after="0"/>
              <w:rPr>
                <w:sz w:val="20"/>
                <w:szCs w:val="20"/>
                <w:color w:val="auto"/>
              </w:rPr>
            </w:pPr>
            <w:r>
              <w:rPr>
                <w:rFonts w:ascii="Arial" w:cs="Arial" w:eastAsia="Arial" w:hAnsi="Arial"/>
                <w:sz w:val="12"/>
                <w:szCs w:val="12"/>
                <w:color w:val="auto"/>
              </w:rPr>
              <w:t>88,238,700</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4"/>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Sumitomo Dainippon Pharma Co., Ltd.(5).</w:t>
            </w:r>
          </w:p>
        </w:tc>
        <w:tc>
          <w:tcPr>
            <w:tcW w:w="18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86,367,360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hanging="288"/>
        <w:spacing w:after="0"/>
        <w:tabs>
          <w:tab w:leader="none" w:pos="226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5" w:lineRule="exact"/>
        <w:rPr>
          <w:sz w:val="20"/>
          <w:szCs w:val="20"/>
          <w:color w:val="auto"/>
        </w:rPr>
      </w:pPr>
    </w:p>
    <w:p>
      <w:pPr>
        <w:ind w:left="2260" w:right="839" w:hanging="288"/>
        <w:spacing w:after="0" w:line="250" w:lineRule="auto"/>
        <w:tabs>
          <w:tab w:leader="none" w:pos="226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Securities held of record by SVF Investments (UK) Limited (“SVF Investments”). SVF GP (Jersey) Limited is the general partner of Softbank Vision Fund LP, which is the managing member of SVF Holdings (UK) LLP, which is the sole owner of SVF Investments. SB Investment Advisers (UK) Limited (“SBIA UK”) has been appointed by SVF GP (Jersey) Limited as the alternative investment fund manager (“AIFM”) of SoftBank Vision Fund LP. SBIA UK is authorized and regulated by the UK Financial Conduct Authority and is exclusively responsible for making all decisions related to the acquisition, structuring, financing and disposal of SoftBank Vision Fund LP’s investments. The principal address of SVF Investments is 69 Grosvenor Street, London, United Kingdom W1K 3JP.</w:t>
      </w:r>
    </w:p>
    <w:p>
      <w:pPr>
        <w:spacing w:after="0" w:line="1" w:lineRule="exact"/>
        <w:rPr>
          <w:rFonts w:ascii="Arial" w:cs="Arial" w:eastAsia="Arial" w:hAnsi="Arial"/>
          <w:sz w:val="12"/>
          <w:szCs w:val="12"/>
          <w:color w:val="auto"/>
        </w:rPr>
      </w:pPr>
    </w:p>
    <w:p>
      <w:pPr>
        <w:ind w:left="2260" w:right="859" w:hanging="288"/>
        <w:spacing w:after="0" w:line="273" w:lineRule="auto"/>
        <w:tabs>
          <w:tab w:leader="none" w:pos="226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Consists of Common Shares held by QVT Financial Investment Cayman Ltd., QVT Roiv Hldgs Offshore Ltd., QVT Roiv Hldgs Onshore Ltd., QVT Deferred Compensation Holdings Ltd., QVT P&amp;E Roiv Hldgs Ltd. and Fourth Avenue Capital Partners LP (together, the “QVT Entities”). Fourth Avenue Capital Partners GP LLC may be deemed to share beneficial ownership of the Common Shares held by Fourth Avenue Capital Partners LP. Each of QVT Financial LP and QVT Financial GP LLC may be deemed to share beneficial ownership of the Common Shares held by the QVT Entities. The Managing Members of QVT Financial GP LLC and Fourth Avenue Capital Partners GP LLC are Daniel Gold, Nicholas Brumm, Arthur Chu and Tracy Fu, each of whom disclaims beneficial ownership of the securities held by the QVT Entities except to the extent of any pecuniary interest. The principal business address for the QVT Entities, QVT Financial LP, QVT Financial GP LLC, Fourth Avenue Capital Partners GP LLC and the Managing Members is 888 Seventh Avenue, 27th Floor, New York, NY 10106.</w:t>
      </w:r>
    </w:p>
    <w:p>
      <w:pPr>
        <w:ind w:left="2260" w:right="899" w:hanging="288"/>
        <w:spacing w:after="0" w:line="273" w:lineRule="auto"/>
        <w:tabs>
          <w:tab w:leader="none" w:pos="226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Consists of Common Shares held by Dexxon Holdings Ltd. (“Dexxon Holdings”) and Dexcel Pharma Technologies Ltd. (“Dexcel Pharma”). Dan Oren is the sole shareholder and sole director of Dexxon Holdings and the ultimate (indirect) sole shareholder and the Executive Chairman of Dexcel Pharma. As such, each of Dexxon Holdings, Dexcel Pharma and Dan Oren may be deemed to share beneficial ownership of the Common Shares. The principal business address of Dexxon Holdings and Dan Oren is 1 Dexcel Street, Or Akiva, 3060000, Israel. The principal business address of Dexcel Pharma is 21 Nahum Haftzadi Street, Jerusalem, 9548402, Israel.</w:t>
      </w:r>
    </w:p>
    <w:p>
      <w:pPr>
        <w:ind w:left="2260" w:right="879" w:hanging="288"/>
        <w:spacing w:after="0" w:line="276" w:lineRule="auto"/>
        <w:tabs>
          <w:tab w:leader="none" w:pos="226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Consists of Common Shares held by Viking Global Equities Master Ltd. (“VGEM”), Viking Global Equities II LP (“VGEII”), Viking Long Fund Master Ltd. (“VLFM”) and Viking Global Opportunities Illiquid Investments Sub-Master LP (“Opportunities Fund,” and together with all of the preceding entities, the “Viking Global Entities”) and includes 1,000,000 Common Shares issued to the Viking Global Entities in connection with the PIPE Financing. VGEM has the power to dispose of and vote the shares directly owned by it, which power may be exercised by its investment manager, Viking Global Performance LLC (“VGP”), and by Viking Global Investors LP (“VGI”), which provides managerial services to VGEM. VGEII has the authority to dispose of and vote the shares directly owned by it, which power may be exercised by its general partner, VGP, and by VGI, which provides managerial services to VGEII. VLFM has the authority to dispose of and vote the shares directly owned by it, which power may be exercised by its investment manager, Viking Long Fund GP LLC (“VLFGP”), and by VGI, which provides managerial services to VLFM. Opportunities Fund has the authority to dispose of and vote the shares directly owned by it, which power may be exercised by its general partner, Viking Global Opportunities Portfolio GP LLC (“Opportunities GP”), and by VGI, which provides managerial services to Opportunities Fund. O. Andreas</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282</w:t>
      </w:r>
    </w:p>
    <w:p>
      <w:pPr>
        <w:sectPr>
          <w:pgSz w:w="11900" w:h="16838" w:orient="portrait"/>
          <w:cols w:equalWidth="0" w:num="1">
            <w:col w:w="10159"/>
          </w:cols>
          <w:pgMar w:left="300" w:top="372" w:right="1440" w:bottom="1440" w:gutter="0" w:footer="0" w:header="0"/>
        </w:sectPr>
      </w:pPr>
    </w:p>
    <w:bookmarkStart w:id="290" w:name="page291"/>
    <w:bookmarkEnd w:id="2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979"/>
        <w:spacing w:after="0" w:line="259" w:lineRule="auto"/>
        <w:rPr>
          <w:sz w:val="20"/>
          <w:szCs w:val="20"/>
          <w:color w:val="auto"/>
        </w:rPr>
      </w:pPr>
      <w:r>
        <w:rPr>
          <w:rFonts w:ascii="Arial" w:cs="Arial" w:eastAsia="Arial" w:hAnsi="Arial"/>
          <w:sz w:val="12"/>
          <w:szCs w:val="12"/>
          <w:color w:val="auto"/>
        </w:rPr>
        <w:t>Halvorsen, David C. Ott and Rose Shabet, as Executive Committee members of Viking Global Partners LLC (the general partner of VGI), VGP, VLFGP and Viking Global Opportunities GP LLC (the sole member of Opportunities GP) have shared authority to direct the voting and disposition of investments beneficially owned by VGI, VGP, VLFGP and Opportunities GP. The business address of each of the Viking Global Entities is 55 Railroad Avenue, Greenwich, Connecticut 06830.</w:t>
      </w:r>
    </w:p>
    <w:p>
      <w:pPr>
        <w:spacing w:after="0" w:line="61" w:lineRule="exact"/>
        <w:rPr>
          <w:sz w:val="20"/>
          <w:szCs w:val="20"/>
          <w:color w:val="auto"/>
        </w:rPr>
      </w:pPr>
    </w:p>
    <w:p>
      <w:pPr>
        <w:ind w:left="2260" w:right="1099" w:hanging="288"/>
        <w:spacing w:after="0" w:line="263" w:lineRule="auto"/>
        <w:tabs>
          <w:tab w:leader="none" w:pos="226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Consists of Common Shares held by Sumitomo Dainippon Pharma Co., Ltd. (“Sumitomo”), including 7,500,000 Common Shares issued to Sumitomo in connection with the PIPE Financing. The principal business address of Sumitomo is 6-8 Doshomachi 2-chome, Chuo-ku, Osaka 541-0045 Japan.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283</w:t>
      </w:r>
    </w:p>
    <w:p>
      <w:pPr>
        <w:sectPr>
          <w:pgSz w:w="11900" w:h="16838" w:orient="portrait"/>
          <w:cols w:equalWidth="0" w:num="1">
            <w:col w:w="10159"/>
          </w:cols>
          <w:pgMar w:left="300" w:top="372" w:right="1440" w:bottom="1440" w:gutter="0" w:footer="0" w:header="0"/>
        </w:sectPr>
      </w:pPr>
    </w:p>
    <w:bookmarkStart w:id="291" w:name="page292"/>
    <w:bookmarkEnd w:id="2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SELLING HOLDERS</w:t>
      </w:r>
    </w:p>
    <w:p>
      <w:pPr>
        <w:spacing w:after="0" w:line="154"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This prospectus relates to the possible offer and resale by the Holders of (i) up to 595,134,445 Common Shares, consisting of (x) 22,000,000 Common Shares issued in the PIPE Financing, (y) up to 10,214,365 Common Shares issuable upon exercise of the Private Placement Warrants and (z) 562,920,080 issued and outstanding Common Shares held by certain Holders (including Common Shares underlying vested restricted share awards), and (ii) the Private Placement Warrants.</w:t>
      </w:r>
    </w:p>
    <w:p>
      <w:pPr>
        <w:spacing w:after="0" w:line="124"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Other than the Common Shares issued in the PIPE Financing, the Common Shares and Warrants included in the tables below are all subject to the lock-up provisions described in “Securities Act Restrictions on Resale of Securities—Lock-up Provisions” extending for a period at least six months from the closing of the Business Combination. Subject to the requirements of that lock-up, as applicable, the Holders may from time to time offer and sell any or all of the Common Shares and Warrants set forth below pursuant to this prospectus. When we refer to the “</w:t>
      </w:r>
      <w:r>
        <w:rPr>
          <w:rFonts w:ascii="Arial" w:cs="Arial" w:eastAsia="Arial" w:hAnsi="Arial"/>
          <w:sz w:val="12"/>
          <w:szCs w:val="12"/>
          <w:i w:val="1"/>
          <w:iCs w:val="1"/>
          <w:color w:val="auto"/>
        </w:rPr>
        <w:t>Holders</w:t>
      </w:r>
      <w:r>
        <w:rPr>
          <w:rFonts w:ascii="Arial" w:cs="Arial" w:eastAsia="Arial" w:hAnsi="Arial"/>
          <w:sz w:val="12"/>
          <w:szCs w:val="12"/>
          <w:color w:val="auto"/>
        </w:rPr>
        <w:t>” in this prospectus, we mean the persons listed in the table below, and the pledgees, donees, transferees, assignees, successors and others who later come to hold any of the Holders’ interest in the securities of the Company listed in the table below after the date of this prospectus such that registration rights shall apply to those securities.</w:t>
      </w:r>
    </w:p>
    <w:p>
      <w:pPr>
        <w:spacing w:after="0" w:line="13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The following tables are prepared based on information provided to us by the Holders. They set forth the name and address of the Holders, the aggregate number of Common Shares and Private Warrants that the Holders may offer pursuant to this prospectus, and the beneficial ownership of the Holders both before and after the offering. We have based percentage ownership prior to this offering on 684,789,169 Common Shares and 30,750,261 Warrants outstanding, in each case as of September 30, 2021. In calculating percentages of Common Shares owned by a particular Holder, we treated as outstanding the number of Common Shares issuable upon exercise of that particular Holder’s Warrants, if any, and did not assume the exercise of any other Holder’s Warrants. The following tables do not reflect the beneficial ownership of any Common Shares Stock issuable upon exercise of Warrants or incentive equity awards unless such securities are exercisable or convertible within 60 days.</w:t>
      </w:r>
    </w:p>
    <w:p>
      <w:pPr>
        <w:spacing w:after="0" w:line="115"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We cannot advise you as to whether the Holders will in fact sell any or all of the securities set forth in the tables below. In addition, subject to the lock-up provisions described in “Securities Act Restrictions on Resale of Securities—Lock-up Provisions,” the Holders may sell, transfer or otherwise dispose of, at any time and from time to time, such securities in transactions exempt from the registration requirements of the Securities Act after the date of this prospectus. For purposes of the below tables, unless otherwise indicated below, we have assumed that the Holders will have sold all of the securities covered by this prospectus upon the completion of the offering.</w:t>
      </w:r>
    </w:p>
    <w:p>
      <w:pPr>
        <w:spacing w:after="0" w:line="128" w:lineRule="exact"/>
        <w:rPr>
          <w:sz w:val="20"/>
          <w:szCs w:val="20"/>
          <w:color w:val="auto"/>
        </w:rPr>
      </w:pPr>
    </w:p>
    <w:p>
      <w:pPr>
        <w:jc w:val="both"/>
        <w:ind w:left="1980" w:right="959" w:firstLine="294"/>
        <w:spacing w:after="0" w:line="276" w:lineRule="auto"/>
        <w:rPr>
          <w:sz w:val="20"/>
          <w:szCs w:val="20"/>
          <w:color w:val="auto"/>
        </w:rPr>
      </w:pPr>
      <w:r>
        <w:rPr>
          <w:rFonts w:ascii="Arial" w:cs="Arial" w:eastAsia="Arial" w:hAnsi="Arial"/>
          <w:sz w:val="12"/>
          <w:szCs w:val="12"/>
          <w:color w:val="auto"/>
        </w:rPr>
        <w:t>Unless otherwise indicated below, the address of each beneficial owner listed in the tables below is c/o Roivant Sciences Ltd., Suite 1, 3rd Floor, 11-12 St. James’s Square, London SW1Y 4LB, United Kingdom.</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w:t>
      </w:r>
    </w:p>
    <w:p>
      <w:pPr>
        <w:spacing w:after="0" w:line="8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As noted above, from the closing of the Business Combination, all pre-Business Combination equity holders, the MAAC Sponsor and MAAC’s former independent directors are subject to a lock-up covering all Roivant Common Shares, Warrants and incentive equity awards held by such entities and individuals. The term of these lock-ups is summarized below.</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Holder</w:t>
            </w:r>
          </w:p>
        </w:tc>
        <w:tc>
          <w:tcPr>
            <w:tcW w:w="1560" w:type="dxa"/>
            <w:vAlign w:val="bottom"/>
          </w:tcPr>
          <w:p>
            <w:pPr>
              <w:spacing w:after="0"/>
              <w:rPr>
                <w:sz w:val="11"/>
                <w:szCs w:val="11"/>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Lock-Up Terms</w:t>
            </w:r>
          </w:p>
        </w:tc>
      </w:tr>
      <w:tr>
        <w:trPr>
          <w:trHeight w:val="185"/>
        </w:trPr>
        <w:tc>
          <w:tcPr>
            <w:tcW w:w="1840" w:type="dxa"/>
            <w:vAlign w:val="bottom"/>
            <w:gridSpan w:val="2"/>
          </w:tcPr>
          <w:p>
            <w:pPr>
              <w:spacing w:after="0"/>
              <w:rPr>
                <w:sz w:val="20"/>
                <w:szCs w:val="20"/>
                <w:color w:val="auto"/>
              </w:rPr>
            </w:pPr>
            <w:r>
              <w:rPr>
                <w:rFonts w:ascii="Arial" w:cs="Arial" w:eastAsia="Arial" w:hAnsi="Arial"/>
                <w:sz w:val="12"/>
                <w:szCs w:val="12"/>
                <w:color w:val="auto"/>
              </w:rPr>
              <w:t>All pre-Business Combination</w:t>
            </w:r>
          </w:p>
        </w:tc>
        <w:tc>
          <w:tcPr>
            <w:tcW w:w="140" w:type="dxa"/>
            <w:vAlign w:val="bottom"/>
          </w:tcPr>
          <w:p>
            <w:pPr>
              <w:spacing w:after="0"/>
              <w:rPr>
                <w:sz w:val="16"/>
                <w:szCs w:val="16"/>
                <w:color w:val="auto"/>
              </w:rPr>
            </w:pPr>
          </w:p>
        </w:tc>
        <w:tc>
          <w:tcPr>
            <w:tcW w:w="5360" w:type="dxa"/>
            <w:vAlign w:val="bottom"/>
          </w:tcPr>
          <w:p>
            <w:pPr>
              <w:spacing w:after="0"/>
              <w:rPr>
                <w:sz w:val="16"/>
                <w:szCs w:val="16"/>
                <w:color w:val="auto"/>
              </w:rPr>
            </w:pPr>
          </w:p>
        </w:tc>
      </w:tr>
      <w:tr>
        <w:trPr>
          <w:trHeight w:val="153"/>
        </w:trPr>
        <w:tc>
          <w:tcPr>
            <w:tcW w:w="1840" w:type="dxa"/>
            <w:vAlign w:val="bottom"/>
            <w:gridSpan w:val="2"/>
          </w:tcPr>
          <w:p>
            <w:pPr>
              <w:spacing w:after="0"/>
              <w:rPr>
                <w:sz w:val="20"/>
                <w:szCs w:val="20"/>
                <w:color w:val="auto"/>
              </w:rPr>
            </w:pPr>
            <w:r>
              <w:rPr>
                <w:rFonts w:ascii="Arial" w:cs="Arial" w:eastAsia="Arial" w:hAnsi="Arial"/>
                <w:sz w:val="12"/>
                <w:szCs w:val="12"/>
                <w:color w:val="auto"/>
              </w:rPr>
              <w:t>holders</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360" w:type="dxa"/>
            <w:vAlign w:val="bottom"/>
          </w:tcPr>
          <w:p>
            <w:pPr>
              <w:jc w:val="right"/>
              <w:spacing w:after="0"/>
              <w:rPr>
                <w:sz w:val="20"/>
                <w:szCs w:val="20"/>
                <w:color w:val="auto"/>
              </w:rPr>
            </w:pPr>
            <w:r>
              <w:rPr>
                <w:rFonts w:ascii="Arial" w:cs="Arial" w:eastAsia="Arial" w:hAnsi="Arial"/>
                <w:sz w:val="12"/>
                <w:szCs w:val="12"/>
                <w:color w:val="auto"/>
                <w:w w:val="92"/>
              </w:rPr>
              <w:t>100% of holdings are subject to a six month lock-up, measured from the closing of the Business Combination</w:t>
            </w:r>
          </w:p>
        </w:tc>
      </w:tr>
      <w:tr>
        <w:trPr>
          <w:trHeight w:val="243"/>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60" w:type="dxa"/>
            <w:vAlign w:val="bottom"/>
          </w:tcPr>
          <w:p>
            <w:pPr>
              <w:jc w:val="right"/>
              <w:ind w:right="3520"/>
              <w:spacing w:after="0"/>
              <w:rPr>
                <w:sz w:val="20"/>
                <w:szCs w:val="20"/>
                <w:color w:val="auto"/>
              </w:rPr>
            </w:pPr>
            <w:r>
              <w:rPr>
                <w:rFonts w:ascii="Arial" w:cs="Arial" w:eastAsia="Arial" w:hAnsi="Arial"/>
                <w:sz w:val="12"/>
                <w:szCs w:val="12"/>
                <w:color w:val="auto"/>
              </w:rPr>
              <w:t>284</w:t>
            </w:r>
          </w:p>
        </w:tc>
      </w:tr>
    </w:tbl>
    <w:p>
      <w:pPr>
        <w:sectPr>
          <w:pgSz w:w="11900" w:h="16838" w:orient="portrait"/>
          <w:cols w:equalWidth="0" w:num="1">
            <w:col w:w="10159"/>
          </w:cols>
          <w:pgMar w:left="300" w:top="372" w:right="1440" w:bottom="1440" w:gutter="0" w:footer="0" w:header="0"/>
        </w:sectPr>
      </w:pPr>
    </w:p>
    <w:bookmarkStart w:id="292" w:name="page293"/>
    <w:bookmarkEnd w:id="2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Holder</w:t>
            </w:r>
          </w:p>
        </w:tc>
        <w:tc>
          <w:tcPr>
            <w:tcW w:w="460" w:type="dxa"/>
            <w:vAlign w:val="bottom"/>
          </w:tcPr>
          <w:p>
            <w:pPr>
              <w:spacing w:after="0"/>
              <w:rPr>
                <w:sz w:val="11"/>
                <w:szCs w:val="11"/>
                <w:color w:val="auto"/>
              </w:rPr>
            </w:pPr>
          </w:p>
        </w:tc>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Lock-Up Terms</w:t>
            </w:r>
          </w:p>
        </w:tc>
        <w:tc>
          <w:tcPr>
            <w:tcW w:w="0" w:type="dxa"/>
            <w:vAlign w:val="bottom"/>
          </w:tcPr>
          <w:p>
            <w:pPr>
              <w:spacing w:after="0"/>
              <w:rPr>
                <w:sz w:val="1"/>
                <w:szCs w:val="1"/>
                <w:color w:val="auto"/>
              </w:rPr>
            </w:pPr>
          </w:p>
        </w:tc>
      </w:tr>
      <w:tr>
        <w:trPr>
          <w:trHeight w:val="185"/>
        </w:trPr>
        <w:tc>
          <w:tcPr>
            <w:tcW w:w="740" w:type="dxa"/>
            <w:vAlign w:val="bottom"/>
            <w:gridSpan w:val="2"/>
          </w:tcPr>
          <w:p>
            <w:pPr>
              <w:spacing w:after="0"/>
              <w:rPr>
                <w:sz w:val="20"/>
                <w:szCs w:val="20"/>
                <w:color w:val="auto"/>
              </w:rPr>
            </w:pPr>
            <w:r>
              <w:rPr>
                <w:rFonts w:ascii="Arial" w:cs="Arial" w:eastAsia="Arial" w:hAnsi="Arial"/>
                <w:sz w:val="12"/>
                <w:szCs w:val="12"/>
                <w:color w:val="auto"/>
              </w:rPr>
              <w:t>Dexxon</w:t>
            </w:r>
          </w:p>
        </w:tc>
        <w:tc>
          <w:tcPr>
            <w:tcW w:w="14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Holdings*</w:t>
            </w:r>
          </w:p>
        </w:tc>
        <w:tc>
          <w:tcPr>
            <w:tcW w:w="1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Matthew</w:t>
            </w:r>
          </w:p>
        </w:tc>
        <w:tc>
          <w:tcPr>
            <w:tcW w:w="1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Gline*</w:t>
            </w:r>
          </w:p>
        </w:tc>
        <w:tc>
          <w:tcPr>
            <w:tcW w:w="1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Patient</w:t>
            </w:r>
          </w:p>
        </w:tc>
        <w:tc>
          <w:tcPr>
            <w:tcW w:w="140" w:type="dxa"/>
            <w:vAlign w:val="bottom"/>
            <w:vMerge w:val="restart"/>
          </w:tcPr>
          <w:p>
            <w:pPr>
              <w:spacing w:after="0"/>
              <w:rPr>
                <w:sz w:val="20"/>
                <w:szCs w:val="20"/>
                <w:color w:val="auto"/>
              </w:rPr>
            </w:pPr>
            <w:r>
              <w:rPr>
                <w:rFonts w:ascii="Arial" w:cs="Arial" w:eastAsia="Arial" w:hAnsi="Arial"/>
                <w:sz w:val="12"/>
                <w:szCs w:val="12"/>
                <w:color w:val="auto"/>
              </w:rPr>
              <w:t>•</w:t>
            </w:r>
          </w:p>
        </w:tc>
        <w:tc>
          <w:tcPr>
            <w:tcW w:w="8500" w:type="dxa"/>
            <w:vAlign w:val="bottom"/>
            <w:vMerge w:val="restart"/>
          </w:tcPr>
          <w:p>
            <w:pPr>
              <w:ind w:left="80"/>
              <w:spacing w:after="0"/>
              <w:rPr>
                <w:sz w:val="20"/>
                <w:szCs w:val="20"/>
                <w:color w:val="auto"/>
              </w:rPr>
            </w:pPr>
            <w:r>
              <w:rPr>
                <w:rFonts w:ascii="Arial" w:cs="Arial" w:eastAsia="Arial" w:hAnsi="Arial"/>
                <w:sz w:val="12"/>
                <w:szCs w:val="12"/>
                <w:color w:val="auto"/>
              </w:rPr>
              <w:t>25% of holdings are subject to a six month lock-up, measured from the closing of the Business Combination</w:t>
            </w: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Square</w:t>
            </w:r>
          </w:p>
        </w:tc>
        <w:tc>
          <w:tcPr>
            <w:tcW w:w="140" w:type="dxa"/>
            <w:vAlign w:val="bottom"/>
            <w:vMerge w:val="continue"/>
          </w:tcPr>
          <w:p>
            <w:pPr>
              <w:spacing w:after="0"/>
              <w:rPr>
                <w:sz w:val="12"/>
                <w:szCs w:val="12"/>
                <w:color w:val="auto"/>
              </w:rPr>
            </w:pPr>
          </w:p>
        </w:tc>
        <w:tc>
          <w:tcPr>
            <w:tcW w:w="8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rPr>
              <w:t>Capital*</w:t>
            </w:r>
          </w:p>
        </w:tc>
        <w:tc>
          <w:tcPr>
            <w:tcW w:w="140" w:type="dxa"/>
            <w:vAlign w:val="bottom"/>
            <w:vMerge w:val="restart"/>
          </w:tcPr>
          <w:p>
            <w:pPr>
              <w:spacing w:after="0"/>
              <w:rPr>
                <w:sz w:val="20"/>
                <w:szCs w:val="20"/>
                <w:color w:val="auto"/>
              </w:rPr>
            </w:pPr>
            <w:r>
              <w:rPr>
                <w:rFonts w:ascii="Arial" w:cs="Arial" w:eastAsia="Arial" w:hAnsi="Arial"/>
                <w:sz w:val="12"/>
                <w:szCs w:val="12"/>
                <w:color w:val="auto"/>
              </w:rPr>
              <w:t>•</w:t>
            </w:r>
          </w:p>
        </w:tc>
        <w:tc>
          <w:tcPr>
            <w:tcW w:w="8500" w:type="dxa"/>
            <w:vAlign w:val="bottom"/>
            <w:vMerge w:val="restart"/>
          </w:tcPr>
          <w:p>
            <w:pPr>
              <w:ind w:left="80"/>
              <w:spacing w:after="0"/>
              <w:rPr>
                <w:sz w:val="20"/>
                <w:szCs w:val="20"/>
                <w:color w:val="auto"/>
              </w:rPr>
            </w:pPr>
            <w:r>
              <w:rPr>
                <w:rFonts w:ascii="Arial" w:cs="Arial" w:eastAsia="Arial" w:hAnsi="Arial"/>
                <w:sz w:val="12"/>
                <w:szCs w:val="12"/>
                <w:color w:val="auto"/>
                <w:w w:val="90"/>
              </w:rPr>
              <w:t>25% of holdings are subject to a one year lock-up, measured from the closing of the Business Combination (or, in the case of the Common Shares held by Patient Square Capit</w:t>
            </w:r>
          </w:p>
        </w:tc>
        <w:tc>
          <w:tcPr>
            <w:tcW w:w="0" w:type="dxa"/>
            <w:vAlign w:val="bottom"/>
          </w:tcPr>
          <w:p>
            <w:pPr>
              <w:spacing w:after="0"/>
              <w:rPr>
                <w:sz w:val="1"/>
                <w:szCs w:val="1"/>
                <w:color w:val="auto"/>
              </w:rPr>
            </w:pPr>
          </w:p>
        </w:tc>
      </w:tr>
      <w:tr>
        <w:trPr>
          <w:trHeight w:val="72"/>
        </w:trPr>
        <w:tc>
          <w:tcPr>
            <w:tcW w:w="740" w:type="dxa"/>
            <w:vAlign w:val="bottom"/>
            <w:gridSpan w:val="2"/>
            <w:vMerge w:val="restart"/>
          </w:tcPr>
          <w:p>
            <w:pPr>
              <w:spacing w:after="0"/>
              <w:rPr>
                <w:sz w:val="20"/>
                <w:szCs w:val="20"/>
                <w:color w:val="auto"/>
              </w:rPr>
            </w:pPr>
            <w:r>
              <w:rPr>
                <w:rFonts w:ascii="Arial" w:cs="Arial" w:eastAsia="Arial" w:hAnsi="Arial"/>
                <w:sz w:val="12"/>
                <w:szCs w:val="12"/>
                <w:color w:val="auto"/>
              </w:rPr>
              <w:t>Vivek</w:t>
            </w:r>
          </w:p>
        </w:tc>
        <w:tc>
          <w:tcPr>
            <w:tcW w:w="140" w:type="dxa"/>
            <w:vAlign w:val="bottom"/>
            <w:vMerge w:val="continue"/>
          </w:tcPr>
          <w:p>
            <w:pPr>
              <w:spacing w:after="0"/>
              <w:rPr>
                <w:sz w:val="6"/>
                <w:szCs w:val="6"/>
                <w:color w:val="auto"/>
              </w:rPr>
            </w:pPr>
          </w:p>
        </w:tc>
        <w:tc>
          <w:tcPr>
            <w:tcW w:w="8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40" w:type="dxa"/>
            <w:vAlign w:val="bottom"/>
            <w:gridSpan w:val="2"/>
          </w:tcPr>
          <w:p>
            <w:pPr>
              <w:spacing w:after="0"/>
              <w:rPr>
                <w:sz w:val="20"/>
                <w:szCs w:val="20"/>
                <w:color w:val="auto"/>
              </w:rPr>
            </w:pPr>
            <w:r>
              <w:rPr>
                <w:rFonts w:ascii="Arial" w:cs="Arial" w:eastAsia="Arial" w:hAnsi="Arial"/>
                <w:sz w:val="12"/>
                <w:szCs w:val="12"/>
                <w:color w:val="auto"/>
                <w:w w:val="97"/>
              </w:rPr>
              <w:t>Ramaswamy*</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8500" w:type="dxa"/>
            <w:vAlign w:val="bottom"/>
          </w:tcPr>
          <w:p>
            <w:pPr>
              <w:ind w:left="80"/>
              <w:spacing w:after="0"/>
              <w:rPr>
                <w:sz w:val="20"/>
                <w:szCs w:val="20"/>
                <w:color w:val="auto"/>
              </w:rPr>
            </w:pPr>
            <w:r>
              <w:rPr>
                <w:rFonts w:ascii="Arial" w:cs="Arial" w:eastAsia="Arial" w:hAnsi="Arial"/>
                <w:sz w:val="12"/>
                <w:szCs w:val="12"/>
                <w:color w:val="auto"/>
              </w:rPr>
              <w:t>50% of holdings are subject to a three year lock-up, measured from the closing of the Business 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6" w:lineRule="exact"/>
        <w:rPr>
          <w:sz w:val="20"/>
          <w:szCs w:val="20"/>
          <w:color w:val="auto"/>
        </w:rPr>
      </w:pPr>
    </w:p>
    <w:p>
      <w:pPr>
        <w:ind w:left="2260" w:right="2460" w:hanging="288"/>
        <w:spacing w:after="0" w:line="276" w:lineRule="auto"/>
        <w:tabs>
          <w:tab w:leader="none" w:pos="22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Each of these holders has voluntarily agreed to the extended lock-up set forth in this table with respect to the Roivant equity securities and Warrants, as applicable, held by such holder, including those registered hereby.</w:t>
      </w:r>
    </w:p>
    <w:p>
      <w:pPr>
        <w:spacing w:after="0" w:line="114" w:lineRule="exact"/>
        <w:rPr>
          <w:rFonts w:ascii="Arial" w:cs="Arial" w:eastAsia="Arial" w:hAnsi="Arial"/>
          <w:sz w:val="12"/>
          <w:szCs w:val="12"/>
          <w:color w:val="auto"/>
        </w:rPr>
      </w:pPr>
    </w:p>
    <w:p>
      <w:pPr>
        <w:ind w:left="2260"/>
        <w:spacing w:after="0"/>
        <w:rPr>
          <w:rFonts w:ascii="Arial" w:cs="Arial" w:eastAsia="Arial" w:hAnsi="Arial"/>
          <w:sz w:val="12"/>
          <w:szCs w:val="12"/>
          <w:color w:val="auto"/>
        </w:rPr>
      </w:pPr>
      <w:r>
        <w:rPr>
          <w:rFonts w:ascii="Arial" w:cs="Arial" w:eastAsia="Arial" w:hAnsi="Arial"/>
          <w:sz w:val="12"/>
          <w:szCs w:val="12"/>
          <w:color w:val="auto"/>
        </w:rPr>
        <w:t>See “Certain Relationships and Related Party Transactions–Post-Business Combination Arrangements” for more information.</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Common Shares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Shares to be</w:t>
            </w:r>
          </w:p>
        </w:tc>
        <w:tc>
          <w:tcPr>
            <w:tcW w:w="700" w:type="dxa"/>
            <w:vAlign w:val="bottom"/>
            <w:gridSpan w:val="2"/>
          </w:tcPr>
          <w:p>
            <w:pPr>
              <w:jc w:val="center"/>
              <w:ind w:left="163"/>
              <w:spacing w:after="0"/>
              <w:rPr>
                <w:sz w:val="20"/>
                <w:szCs w:val="20"/>
                <w:color w:val="auto"/>
              </w:rPr>
            </w:pPr>
            <w:r>
              <w:rPr>
                <w:rFonts w:ascii="Arial" w:cs="Arial" w:eastAsia="Arial" w:hAnsi="Arial"/>
                <w:sz w:val="10"/>
                <w:szCs w:val="10"/>
                <w:b w:val="1"/>
                <w:bCs w:val="1"/>
                <w:color w:val="auto"/>
                <w:w w:val="84"/>
              </w:rPr>
              <w:t>Beneficial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tcPr>
          <w:p>
            <w:pPr>
              <w:jc w:val="right"/>
              <w:ind w:right="260"/>
              <w:spacing w:after="0" w:line="99" w:lineRule="exact"/>
              <w:rPr>
                <w:sz w:val="20"/>
                <w:szCs w:val="20"/>
                <w:color w:val="auto"/>
              </w:rPr>
            </w:pPr>
            <w:r>
              <w:rPr>
                <w:rFonts w:ascii="Arial" w:cs="Arial" w:eastAsia="Arial" w:hAnsi="Arial"/>
                <w:sz w:val="10"/>
                <w:szCs w:val="10"/>
                <w:b w:val="1"/>
                <w:bCs w:val="1"/>
                <w:color w:val="auto"/>
                <w:w w:val="90"/>
              </w:rPr>
              <w:t>Beneficial Ownership</w:t>
            </w:r>
          </w:p>
        </w:tc>
        <w:tc>
          <w:tcPr>
            <w:tcW w:w="7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1"/>
              </w:rPr>
              <w:t>Registered</w:t>
            </w:r>
          </w:p>
        </w:tc>
        <w:tc>
          <w:tcPr>
            <w:tcW w:w="700" w:type="dxa"/>
            <w:vAlign w:val="bottom"/>
            <w:gridSpan w:val="2"/>
          </w:tcPr>
          <w:p>
            <w:pPr>
              <w:jc w:val="center"/>
              <w:ind w:left="163"/>
              <w:spacing w:after="0" w:line="99" w:lineRule="exact"/>
              <w:rPr>
                <w:sz w:val="20"/>
                <w:szCs w:val="20"/>
                <w:color w:val="auto"/>
              </w:rPr>
            </w:pPr>
            <w:r>
              <w:rPr>
                <w:rFonts w:ascii="Arial" w:cs="Arial" w:eastAsia="Arial" w:hAnsi="Arial"/>
                <w:sz w:val="10"/>
                <w:szCs w:val="10"/>
                <w:b w:val="1"/>
                <w:bCs w:val="1"/>
                <w:color w:val="auto"/>
                <w:w w:val="85"/>
              </w:rPr>
              <w:t>Ownership</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00" w:type="dxa"/>
            <w:vAlign w:val="bottom"/>
            <w:vMerge w:val="restart"/>
          </w:tcPr>
          <w:p>
            <w:pPr>
              <w:ind w:left="1680"/>
              <w:spacing w:after="0"/>
              <w:rPr>
                <w:sz w:val="20"/>
                <w:szCs w:val="20"/>
                <w:color w:val="auto"/>
              </w:rPr>
            </w:pPr>
            <w:r>
              <w:rPr>
                <w:rFonts w:ascii="Arial" w:cs="Arial" w:eastAsia="Arial" w:hAnsi="Arial"/>
                <w:sz w:val="10"/>
                <w:szCs w:val="10"/>
                <w:b w:val="1"/>
                <w:bCs w:val="1"/>
                <w:color w:val="auto"/>
              </w:rPr>
              <w:t>Name and Address of</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4"/>
          </w:tcPr>
          <w:p>
            <w:pPr>
              <w:ind w:left="100"/>
              <w:spacing w:after="0" w:line="114" w:lineRule="exact"/>
              <w:rPr>
                <w:sz w:val="20"/>
                <w:szCs w:val="20"/>
                <w:color w:val="auto"/>
              </w:rPr>
            </w:pPr>
            <w:r>
              <w:rPr>
                <w:rFonts w:ascii="Arial" w:cs="Arial" w:eastAsia="Arial" w:hAnsi="Arial"/>
                <w:sz w:val="10"/>
                <w:szCs w:val="10"/>
                <w:b w:val="1"/>
                <w:bCs w:val="1"/>
                <w:color w:val="auto"/>
              </w:rPr>
              <w:t>Before the Offering</w:t>
            </w:r>
          </w:p>
        </w:tc>
        <w:tc>
          <w:tcPr>
            <w:tcW w:w="7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8"/>
              </w:rPr>
              <w:t>Hereby</w:t>
            </w:r>
          </w:p>
        </w:tc>
        <w:tc>
          <w:tcPr>
            <w:tcW w:w="106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92"/>
              </w:rPr>
              <w:t>After Offering</w:t>
            </w:r>
          </w:p>
        </w:tc>
        <w:tc>
          <w:tcPr>
            <w:tcW w:w="0" w:type="dxa"/>
            <w:vAlign w:val="bottom"/>
          </w:tcPr>
          <w:p>
            <w:pPr>
              <w:spacing w:after="0"/>
              <w:rPr>
                <w:sz w:val="1"/>
                <w:szCs w:val="1"/>
                <w:color w:val="auto"/>
              </w:rPr>
            </w:pPr>
          </w:p>
        </w:tc>
      </w:tr>
      <w:tr>
        <w:trPr>
          <w:trHeight w:val="70"/>
        </w:trPr>
        <w:tc>
          <w:tcPr>
            <w:tcW w:w="32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gridSpan w:val="2"/>
          </w:tcPr>
          <w:p>
            <w:pPr>
              <w:ind w:left="100"/>
              <w:spacing w:after="0" w:line="70" w:lineRule="exact"/>
              <w:rPr>
                <w:sz w:val="20"/>
                <w:szCs w:val="20"/>
                <w:color w:val="auto"/>
              </w:rPr>
            </w:pPr>
            <w:r>
              <w:rPr>
                <w:rFonts w:ascii="Arial" w:cs="Arial" w:eastAsia="Arial" w:hAnsi="Arial"/>
                <w:sz w:val="8"/>
                <w:szCs w:val="8"/>
                <w:b w:val="1"/>
                <w:bCs w:val="1"/>
                <w:color w:val="auto"/>
              </w:rPr>
              <w:t>Number of</w:t>
            </w:r>
          </w:p>
        </w:tc>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8"/>
                <w:szCs w:val="8"/>
                <w:b w:val="1"/>
                <w:bCs w:val="1"/>
                <w:color w:val="auto"/>
              </w:rPr>
              <w:t>Number of</w:t>
            </w:r>
          </w:p>
        </w:tc>
        <w:tc>
          <w:tcPr>
            <w:tcW w:w="100" w:type="dxa"/>
            <w:vAlign w:val="bottom"/>
          </w:tcPr>
          <w:p>
            <w:pPr>
              <w:spacing w:after="0"/>
              <w:rPr>
                <w:sz w:val="6"/>
                <w:szCs w:val="6"/>
                <w:color w:val="auto"/>
              </w:rPr>
            </w:pPr>
          </w:p>
        </w:tc>
        <w:tc>
          <w:tcPr>
            <w:tcW w:w="700" w:type="dxa"/>
            <w:vAlign w:val="bottom"/>
            <w:tcBorders>
              <w:top w:val="single" w:sz="8" w:color="auto"/>
            </w:tcBorders>
            <w:gridSpan w:val="2"/>
          </w:tcPr>
          <w:p>
            <w:pPr>
              <w:jc w:val="right"/>
              <w:ind w:right="180"/>
              <w:spacing w:after="0" w:line="70" w:lineRule="exact"/>
              <w:rPr>
                <w:sz w:val="20"/>
                <w:szCs w:val="20"/>
                <w:color w:val="auto"/>
              </w:rPr>
            </w:pPr>
            <w:r>
              <w:rPr>
                <w:rFonts w:ascii="Arial" w:cs="Arial" w:eastAsia="Arial" w:hAnsi="Arial"/>
                <w:sz w:val="8"/>
                <w:szCs w:val="8"/>
                <w:b w:val="1"/>
                <w:bCs w:val="1"/>
                <w:color w:val="auto"/>
              </w:rPr>
              <w:t>Number of</w:t>
            </w:r>
          </w:p>
        </w:tc>
        <w:tc>
          <w:tcPr>
            <w:tcW w:w="2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200" w:type="dxa"/>
            <w:vAlign w:val="bottom"/>
          </w:tcPr>
          <w:p>
            <w:pPr>
              <w:ind w:left="1960"/>
              <w:spacing w:after="0"/>
              <w:rPr>
                <w:sz w:val="20"/>
                <w:szCs w:val="20"/>
                <w:color w:val="auto"/>
              </w:rPr>
            </w:pPr>
            <w:r>
              <w:rPr>
                <w:rFonts w:ascii="Arial" w:cs="Arial" w:eastAsia="Arial" w:hAnsi="Arial"/>
                <w:sz w:val="10"/>
                <w:szCs w:val="10"/>
                <w:b w:val="1"/>
                <w:bCs w:val="1"/>
                <w:color w:val="auto"/>
              </w:rPr>
              <w:t>Holders</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jc w:val="right"/>
              <w:ind w:right="21"/>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7"/>
              </w:rPr>
              <w:t>Shares</w:t>
            </w:r>
          </w:p>
        </w:tc>
        <w:tc>
          <w:tcPr>
            <w:tcW w:w="7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1"/>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i w:val="1"/>
                <w:iCs w:val="1"/>
                <w:color w:val="auto"/>
              </w:rPr>
              <w:t>PIPE Investors – Not Subject to Lock-Up</w:t>
            </w: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Averill Master Fund, Ltd.(1)</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500,000</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500,000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Castanea Biosciences Inc.(2)</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Eventide Healthcare &amp; Life Sciences Fund(3)</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700,000</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700,000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Fidelity Select Portfolios: Biotechnology Portfolio(4)</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2,500,000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2,500,000</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Kepos Alpha Master Fund L.P.(5)</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832,364</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500,000</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332,364</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Millennium Management LLC(6)</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2,161,044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1,361,044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Palantir Technologies Inc.(7)</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3,000,000</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3,000,000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PTC Trustees GY Limited as Trustee of the GYF Trust(8)</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250,000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250,000</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Pura Vida Investments, LLC and Certain of its Affiliates(9)</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610,738</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300,000</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310,738</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RTW Funds(10)</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802,719</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402,719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SB Northstar LP(11)</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2,500,000</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2,500,000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The Eleven Fund LLC(12)</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2"/>
                <w:szCs w:val="12"/>
                <w:b w:val="1"/>
                <w:bCs w:val="1"/>
                <w:i w:val="1"/>
                <w:iCs w:val="1"/>
                <w:color w:val="auto"/>
              </w:rPr>
              <w:t>Holders Subject to Extended Lock-Up**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Dexxon Holdings(13)</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98,809,158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98,809,158</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Patient Square Capital LLC(14)</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17,840,332</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17,840,332</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Vivek Ramaswamy</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72,556,652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58,409,211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14,147,441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2"/>
                <w:szCs w:val="12"/>
                <w:b w:val="1"/>
                <w:bCs w:val="1"/>
                <w:i w:val="1"/>
                <w:iCs w:val="1"/>
                <w:color w:val="auto"/>
              </w:rPr>
              <w:t>Five Percent Holders – Subject to Six Month Lock-Up</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QVT Entities(15)</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129,393,817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18.9%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5"/>
              </w:rPr>
              <w:t>129,393,817</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Sumitomo Dainippon Pharma Co., Ltd.(16)</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86,367,360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12.6%</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86,367,360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SVF Investments(17)</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99,375,586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99,375,586</w:t>
            </w:r>
          </w:p>
        </w:tc>
        <w:tc>
          <w:tcPr>
            <w:tcW w:w="700" w:type="dxa"/>
            <w:vAlign w:val="bottom"/>
            <w:gridSpan w:val="2"/>
            <w:shd w:val="clear" w:color="auto" w:fill="CCEEFF"/>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Viking Global Entities(18)</w:t>
            </w:r>
          </w:p>
        </w:tc>
        <w:tc>
          <w:tcPr>
            <w:tcW w:w="1860" w:type="dxa"/>
            <w:vAlign w:val="bottom"/>
            <w:gridSpan w:val="4"/>
          </w:tcPr>
          <w:p>
            <w:pPr>
              <w:jc w:val="right"/>
              <w:ind w:right="100"/>
              <w:spacing w:after="0"/>
              <w:rPr>
                <w:sz w:val="20"/>
                <w:szCs w:val="20"/>
                <w:color w:val="auto"/>
              </w:rPr>
            </w:pPr>
            <w:r>
              <w:rPr>
                <w:rFonts w:ascii="Arial" w:cs="Arial" w:eastAsia="Arial" w:hAnsi="Arial"/>
                <w:sz w:val="12"/>
                <w:szCs w:val="12"/>
                <w:color w:val="auto"/>
              </w:rPr>
              <w:t>88,238,700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12.9%</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88,238,700</w:t>
            </w:r>
          </w:p>
        </w:tc>
        <w:tc>
          <w:tcPr>
            <w:tcW w:w="700" w:type="dxa"/>
            <w:vAlign w:val="bottom"/>
            <w:gridSpan w:val="2"/>
          </w:tcPr>
          <w:p>
            <w:pPr>
              <w:jc w:val="center"/>
              <w:ind w:left="163"/>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2"/>
                <w:szCs w:val="12"/>
                <w:color w:val="auto"/>
              </w:rPr>
              <w:t>285</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372" w:right="239" w:bottom="1440" w:gutter="0" w:footer="0" w:header="0"/>
        </w:sectPr>
      </w:pPr>
    </w:p>
    <w:bookmarkStart w:id="293" w:name="page294"/>
    <w:bookmarkEnd w:id="2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3"/>
              </w:rPr>
              <w:t>Shares to be</w:t>
            </w:r>
          </w:p>
        </w:tc>
        <w:tc>
          <w:tcPr>
            <w:tcW w:w="840" w:type="dxa"/>
            <w:vAlign w:val="bottom"/>
            <w:gridSpan w:val="3"/>
          </w:tcPr>
          <w:p>
            <w:pPr>
              <w:jc w:val="center"/>
              <w:ind w:left="147"/>
              <w:spacing w:after="0"/>
              <w:rPr>
                <w:sz w:val="20"/>
                <w:szCs w:val="20"/>
                <w:color w:val="auto"/>
              </w:rPr>
            </w:pPr>
            <w:r>
              <w:rPr>
                <w:rFonts w:ascii="Arial" w:cs="Arial" w:eastAsia="Arial" w:hAnsi="Arial"/>
                <w:sz w:val="10"/>
                <w:szCs w:val="10"/>
                <w:b w:val="1"/>
                <w:bCs w:val="1"/>
                <w:color w:val="auto"/>
                <w:w w:val="84"/>
              </w:rPr>
              <w:t>Beneficial</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5"/>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Beneficial Ownership</w:t>
            </w:r>
          </w:p>
        </w:tc>
        <w:tc>
          <w:tcPr>
            <w:tcW w:w="82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Registered</w:t>
            </w:r>
          </w:p>
        </w:tc>
        <w:tc>
          <w:tcPr>
            <w:tcW w:w="840" w:type="dxa"/>
            <w:vAlign w:val="bottom"/>
            <w:gridSpan w:val="3"/>
          </w:tcPr>
          <w:p>
            <w:pPr>
              <w:jc w:val="center"/>
              <w:ind w:left="167"/>
              <w:spacing w:after="0" w:line="99" w:lineRule="exact"/>
              <w:rPr>
                <w:sz w:val="20"/>
                <w:szCs w:val="20"/>
                <w:color w:val="auto"/>
              </w:rPr>
            </w:pPr>
            <w:r>
              <w:rPr>
                <w:rFonts w:ascii="Arial" w:cs="Arial" w:eastAsia="Arial" w:hAnsi="Arial"/>
                <w:sz w:val="10"/>
                <w:szCs w:val="10"/>
                <w:b w:val="1"/>
                <w:bCs w:val="1"/>
                <w:color w:val="auto"/>
                <w:w w:val="88"/>
              </w:rPr>
              <w:t>Ownership</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60" w:type="dxa"/>
            <w:vAlign w:val="bottom"/>
            <w:gridSpan w:val="2"/>
            <w:vMerge w:val="restart"/>
          </w:tcPr>
          <w:p>
            <w:pPr>
              <w:ind w:left="1600"/>
              <w:spacing w:after="0"/>
              <w:rPr>
                <w:sz w:val="20"/>
                <w:szCs w:val="20"/>
                <w:color w:val="auto"/>
              </w:rPr>
            </w:pPr>
            <w:r>
              <w:rPr>
                <w:rFonts w:ascii="Arial" w:cs="Arial" w:eastAsia="Arial" w:hAnsi="Arial"/>
                <w:sz w:val="10"/>
                <w:szCs w:val="10"/>
                <w:b w:val="1"/>
                <w:bCs w:val="1"/>
                <w:color w:val="auto"/>
              </w:rPr>
              <w:t>Name and Address of</w:t>
            </w:r>
          </w:p>
        </w:tc>
        <w:tc>
          <w:tcPr>
            <w:tcW w:w="1000" w:type="dxa"/>
            <w:vAlign w:val="bottom"/>
            <w:gridSpan w:val="3"/>
          </w:tcPr>
          <w:p>
            <w:pPr>
              <w:jc w:val="center"/>
              <w:ind w:left="106"/>
              <w:spacing w:after="0" w:line="114" w:lineRule="exact"/>
              <w:rPr>
                <w:sz w:val="20"/>
                <w:szCs w:val="20"/>
                <w:color w:val="auto"/>
              </w:rPr>
            </w:pPr>
            <w:r>
              <w:rPr>
                <w:rFonts w:ascii="Arial" w:cs="Arial" w:eastAsia="Arial" w:hAnsi="Arial"/>
                <w:sz w:val="10"/>
                <w:szCs w:val="10"/>
                <w:b w:val="1"/>
                <w:bCs w:val="1"/>
                <w:color w:val="auto"/>
                <w:w w:val="87"/>
              </w:rPr>
              <w:t>Before the Offering</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Hereby</w:t>
            </w:r>
          </w:p>
        </w:tc>
        <w:tc>
          <w:tcPr>
            <w:tcW w:w="840" w:type="dxa"/>
            <w:vAlign w:val="bottom"/>
            <w:gridSpan w:val="3"/>
          </w:tcPr>
          <w:p>
            <w:pPr>
              <w:jc w:val="center"/>
              <w:ind w:left="147"/>
              <w:spacing w:after="0" w:line="114" w:lineRule="exact"/>
              <w:rPr>
                <w:sz w:val="20"/>
                <w:szCs w:val="20"/>
                <w:color w:val="auto"/>
              </w:rPr>
            </w:pPr>
            <w:r>
              <w:rPr>
                <w:rFonts w:ascii="Arial" w:cs="Arial" w:eastAsia="Arial" w:hAnsi="Arial"/>
                <w:sz w:val="10"/>
                <w:szCs w:val="10"/>
                <w:b w:val="1"/>
                <w:bCs w:val="1"/>
                <w:color w:val="auto"/>
                <w:w w:val="92"/>
              </w:rPr>
              <w:t>After Offering</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60" w:type="dxa"/>
            <w:vAlign w:val="bottom"/>
            <w:gridSpan w:val="2"/>
            <w:vMerge w:val="continue"/>
          </w:tcPr>
          <w:p>
            <w:pPr>
              <w:spacing w:after="0"/>
              <w:rPr>
                <w:sz w:val="6"/>
                <w:szCs w:val="6"/>
                <w:color w:val="auto"/>
              </w:rPr>
            </w:pPr>
          </w:p>
        </w:tc>
        <w:tc>
          <w:tcPr>
            <w:tcW w:w="1000" w:type="dxa"/>
            <w:vAlign w:val="bottom"/>
            <w:tcBorders>
              <w:top w:val="single" w:sz="8" w:color="auto"/>
            </w:tcBorders>
            <w:gridSpan w:val="3"/>
          </w:tcPr>
          <w:p>
            <w:pPr>
              <w:jc w:val="center"/>
              <w:ind w:right="160"/>
              <w:spacing w:after="0" w:line="70" w:lineRule="exact"/>
              <w:rPr>
                <w:sz w:val="20"/>
                <w:szCs w:val="20"/>
                <w:color w:val="auto"/>
              </w:rPr>
            </w:pPr>
            <w:r>
              <w:rPr>
                <w:rFonts w:ascii="Arial" w:cs="Arial" w:eastAsia="Arial" w:hAnsi="Arial"/>
                <w:sz w:val="8"/>
                <w:szCs w:val="8"/>
                <w:b w:val="1"/>
                <w:bCs w:val="1"/>
                <w:color w:val="auto"/>
              </w:rPr>
              <w:t>Number of</w:t>
            </w:r>
          </w:p>
        </w:tc>
        <w:tc>
          <w:tcPr>
            <w:tcW w:w="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top w:val="single" w:sz="8" w:color="auto"/>
            </w:tcBorders>
          </w:tcPr>
          <w:p>
            <w:pPr>
              <w:jc w:val="center"/>
              <w:spacing w:after="0" w:line="70" w:lineRule="exact"/>
              <w:rPr>
                <w:sz w:val="20"/>
                <w:szCs w:val="20"/>
                <w:color w:val="auto"/>
              </w:rPr>
            </w:pPr>
            <w:r>
              <w:rPr>
                <w:rFonts w:ascii="Arial" w:cs="Arial" w:eastAsia="Arial" w:hAnsi="Arial"/>
                <w:sz w:val="8"/>
                <w:szCs w:val="8"/>
                <w:b w:val="1"/>
                <w:bCs w:val="1"/>
                <w:color w:val="auto"/>
              </w:rPr>
              <w:t>Number of</w:t>
            </w:r>
          </w:p>
        </w:tc>
        <w:tc>
          <w:tcPr>
            <w:tcW w:w="120" w:type="dxa"/>
            <w:vAlign w:val="bottom"/>
          </w:tcPr>
          <w:p>
            <w:pPr>
              <w:spacing w:after="0"/>
              <w:rPr>
                <w:sz w:val="6"/>
                <w:szCs w:val="6"/>
                <w:color w:val="auto"/>
              </w:rPr>
            </w:pPr>
          </w:p>
        </w:tc>
        <w:tc>
          <w:tcPr>
            <w:tcW w:w="840" w:type="dxa"/>
            <w:vAlign w:val="bottom"/>
            <w:tcBorders>
              <w:top w:val="single" w:sz="8" w:color="auto"/>
            </w:tcBorders>
            <w:gridSpan w:val="3"/>
          </w:tcPr>
          <w:p>
            <w:pPr>
              <w:ind w:left="100"/>
              <w:spacing w:after="0" w:line="70" w:lineRule="exact"/>
              <w:rPr>
                <w:sz w:val="20"/>
                <w:szCs w:val="20"/>
                <w:color w:val="auto"/>
              </w:rPr>
            </w:pPr>
            <w:r>
              <w:rPr>
                <w:rFonts w:ascii="Arial" w:cs="Arial" w:eastAsia="Arial" w:hAnsi="Arial"/>
                <w:sz w:val="8"/>
                <w:szCs w:val="8"/>
                <w:b w:val="1"/>
                <w:bCs w:val="1"/>
                <w:color w:val="auto"/>
              </w:rPr>
              <w:t>Number of</w:t>
            </w:r>
          </w:p>
        </w:tc>
        <w:tc>
          <w:tcPr>
            <w:tcW w:w="2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160" w:type="dxa"/>
            <w:vAlign w:val="bottom"/>
            <w:gridSpan w:val="2"/>
          </w:tcPr>
          <w:p>
            <w:pPr>
              <w:ind w:left="1880"/>
              <w:spacing w:after="0"/>
              <w:rPr>
                <w:sz w:val="20"/>
                <w:szCs w:val="20"/>
                <w:color w:val="auto"/>
              </w:rPr>
            </w:pPr>
            <w:r>
              <w:rPr>
                <w:rFonts w:ascii="Arial" w:cs="Arial" w:eastAsia="Arial" w:hAnsi="Arial"/>
                <w:sz w:val="10"/>
                <w:szCs w:val="10"/>
                <w:b w:val="1"/>
                <w:bCs w:val="1"/>
                <w:color w:val="auto"/>
              </w:rPr>
              <w:t>Holders</w:t>
            </w:r>
          </w:p>
        </w:tc>
        <w:tc>
          <w:tcPr>
            <w:tcW w:w="10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3"/>
              </w:rPr>
              <w:t>Shares</w:t>
            </w:r>
          </w:p>
        </w:tc>
        <w:tc>
          <w:tcPr>
            <w:tcW w:w="140" w:type="dxa"/>
            <w:vAlign w:val="bottom"/>
          </w:tcPr>
          <w:p>
            <w:pPr>
              <w:jc w:val="right"/>
              <w:spacing w:after="0"/>
              <w:rPr>
                <w:sz w:val="20"/>
                <w:szCs w:val="20"/>
                <w:color w:val="auto"/>
              </w:rPr>
            </w:pPr>
            <w:r>
              <w:rPr>
                <w:rFonts w:ascii="Arial" w:cs="Arial" w:eastAsia="Arial" w:hAnsi="Arial"/>
                <w:sz w:val="10"/>
                <w:szCs w:val="10"/>
                <w:b w:val="1"/>
                <w:bCs w:val="1"/>
                <w:color w:val="auto"/>
                <w:w w:val="89"/>
              </w:rPr>
              <w:t>%</w:t>
            </w:r>
          </w:p>
        </w:tc>
        <w:tc>
          <w:tcPr>
            <w:tcW w:w="12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Shares</w:t>
            </w:r>
          </w:p>
        </w:tc>
        <w:tc>
          <w:tcPr>
            <w:tcW w:w="840" w:type="dxa"/>
            <w:vAlign w:val="bottom"/>
            <w:gridSpan w:val="3"/>
          </w:tcPr>
          <w:p>
            <w:pPr>
              <w:ind w:left="18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4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Other Holders – Subject to Six Month Lock-Up</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Elliot Lorne Chaikof(19)</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916,992</w:t>
            </w:r>
          </w:p>
        </w:tc>
        <w:tc>
          <w:tcPr>
            <w:tcW w:w="2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916,992</w:t>
            </w:r>
          </w:p>
        </w:tc>
        <w:tc>
          <w:tcPr>
            <w:tcW w:w="840" w:type="dxa"/>
            <w:vAlign w:val="bottom"/>
            <w:gridSpan w:val="3"/>
          </w:tcPr>
          <w:p>
            <w:pPr>
              <w:ind w:left="440"/>
              <w:spacing w:after="0"/>
              <w:rPr>
                <w:sz w:val="20"/>
                <w:szCs w:val="20"/>
                <w:color w:val="auto"/>
              </w:rPr>
            </w:pPr>
            <w:r>
              <w:rPr>
                <w:rFonts w:ascii="Arial" w:cs="Arial" w:eastAsia="Arial" w:hAnsi="Arial"/>
                <w:sz w:val="12"/>
                <w:szCs w:val="12"/>
                <w:color w:val="auto"/>
              </w:rPr>
              <w:t>—</w:t>
            </w: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Finith Ewin Jernigan, III(20)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519,628</w:t>
            </w: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519,628</w:t>
            </w: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Arial" w:cs="Arial" w:eastAsia="Arial" w:hAnsi="Arial"/>
                <w:sz w:val="12"/>
                <w:szCs w:val="12"/>
                <w:color w:val="auto"/>
              </w:rPr>
              <w:t>Lijun Sun(21)</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1,344,922</w:t>
            </w:r>
          </w:p>
        </w:tc>
        <w:tc>
          <w:tcPr>
            <w:tcW w:w="2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1,344,922</w:t>
            </w:r>
          </w:p>
        </w:tc>
        <w:tc>
          <w:tcPr>
            <w:tcW w:w="840" w:type="dxa"/>
            <w:vAlign w:val="bottom"/>
            <w:gridSpan w:val="3"/>
          </w:tcPr>
          <w:p>
            <w:pPr>
              <w:ind w:left="440"/>
              <w:spacing w:after="0"/>
              <w:rPr>
                <w:sz w:val="20"/>
                <w:szCs w:val="20"/>
                <w:color w:val="auto"/>
              </w:rPr>
            </w:pPr>
            <w:r>
              <w:rPr>
                <w:rFonts w:ascii="Arial" w:cs="Arial" w:eastAsia="Arial" w:hAnsi="Arial"/>
                <w:sz w:val="12"/>
                <w:szCs w:val="12"/>
                <w:color w:val="auto"/>
              </w:rPr>
              <w:t>—</w:t>
            </w: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Parkway Limited(22)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398,364</w:t>
            </w: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398,364</w:t>
            </w:r>
          </w:p>
        </w:tc>
        <w:tc>
          <w:tcPr>
            <w:tcW w:w="840" w:type="dxa"/>
            <w:vAlign w:val="bottom"/>
            <w:gridSpan w:val="3"/>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20"/>
                <w:szCs w:val="20"/>
                <w:color w:val="auto"/>
              </w:rPr>
            </w:pPr>
            <w:r>
              <w:rPr>
                <w:rFonts w:ascii="Arial" w:cs="Arial" w:eastAsia="Arial" w:hAnsi="Arial"/>
                <w:sz w:val="12"/>
                <w:szCs w:val="12"/>
                <w:color w:val="auto"/>
              </w:rPr>
              <w:t>Ross Charles Walker(23)</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20,375</w:t>
            </w:r>
          </w:p>
        </w:tc>
        <w:tc>
          <w:tcPr>
            <w:tcW w:w="2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20,375</w:t>
            </w:r>
          </w:p>
        </w:tc>
        <w:tc>
          <w:tcPr>
            <w:tcW w:w="840" w:type="dxa"/>
            <w:vAlign w:val="bottom"/>
            <w:gridSpan w:val="3"/>
          </w:tcPr>
          <w:p>
            <w:pPr>
              <w:ind w:left="440"/>
              <w:spacing w:after="0"/>
              <w:rPr>
                <w:sz w:val="20"/>
                <w:szCs w:val="20"/>
                <w:color w:val="auto"/>
              </w:rPr>
            </w:pPr>
            <w:r>
              <w:rPr>
                <w:rFonts w:ascii="Arial" w:cs="Arial" w:eastAsia="Arial" w:hAnsi="Arial"/>
                <w:sz w:val="12"/>
                <w:szCs w:val="12"/>
                <w:color w:val="auto"/>
              </w:rPr>
              <w:t>—</w:t>
            </w: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51435</wp:posOffset>
            </wp:positionV>
            <wp:extent cx="51435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8" w:lineRule="exact"/>
        <w:rPr>
          <w:sz w:val="20"/>
          <w:szCs w:val="20"/>
          <w:color w:val="auto"/>
        </w:rPr>
      </w:pPr>
    </w:p>
    <w:p>
      <w:pPr>
        <w:ind w:left="2260" w:hanging="288"/>
        <w:spacing w:after="0"/>
        <w:tabs>
          <w:tab w:leader="none" w:pos="22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5" w:lineRule="exact"/>
        <w:rPr>
          <w:sz w:val="20"/>
          <w:szCs w:val="20"/>
          <w:color w:val="auto"/>
        </w:rPr>
      </w:pPr>
    </w:p>
    <w:p>
      <w:pPr>
        <w:ind w:left="2260" w:hanging="288"/>
        <w:spacing w:after="0"/>
        <w:tabs>
          <w:tab w:leader="none" w:pos="2260" w:val="left"/>
        </w:tabs>
        <w:numPr>
          <w:ilvl w:val="0"/>
          <w:numId w:val="161"/>
        </w:numPr>
        <w:rPr>
          <w:rFonts w:ascii="Arial" w:cs="Arial" w:eastAsia="Arial" w:hAnsi="Arial"/>
          <w:sz w:val="11"/>
          <w:szCs w:val="11"/>
          <w:color w:val="auto"/>
        </w:rPr>
      </w:pPr>
      <w:r>
        <w:rPr>
          <w:rFonts w:ascii="Arial" w:cs="Arial" w:eastAsia="Arial" w:hAnsi="Arial"/>
          <w:sz w:val="11"/>
          <w:szCs w:val="11"/>
          <w:color w:val="auto"/>
        </w:rPr>
        <w:t>Each of these holders is subject to an extended lock-up covering their equity securities, including those registered hereby, as follows: (i) 25% of</w:t>
      </w:r>
    </w:p>
    <w:p>
      <w:pPr>
        <w:spacing w:after="0" w:line="18" w:lineRule="exact"/>
        <w:rPr>
          <w:sz w:val="20"/>
          <w:szCs w:val="20"/>
          <w:color w:val="auto"/>
        </w:rPr>
      </w:pPr>
    </w:p>
    <w:p>
      <w:pPr>
        <w:ind w:left="2260" w:right="839"/>
        <w:spacing w:after="0" w:line="250" w:lineRule="auto"/>
        <w:rPr>
          <w:sz w:val="20"/>
          <w:szCs w:val="20"/>
          <w:color w:val="auto"/>
        </w:rPr>
      </w:pPr>
      <w:r>
        <w:rPr>
          <w:rFonts w:ascii="Arial" w:cs="Arial" w:eastAsia="Arial" w:hAnsi="Arial"/>
          <w:sz w:val="12"/>
          <w:szCs w:val="12"/>
          <w:color w:val="auto"/>
        </w:rPr>
        <w:t>holdings are subject to a six month lock-up, measured from the closing of the Business Combination, (ii) an additional 25% of holdings are subject to a one year lock-up, measured from the closing of the Business Combination (or, in the case of the Common Shares held by Patient Square Capital, a one year lock-up measured from the achievement of the applicable earn-out threshold) and (iii) the remaining 50% of holdings are subject to a three year lock-up, measured from the closing of the Business Combination. See “Certain Relationships and Related Party Transactions–Post-Business Combination Arrangements” for more information.</w:t>
      </w:r>
    </w:p>
    <w:p>
      <w:pPr>
        <w:spacing w:after="0" w:line="1" w:lineRule="exact"/>
        <w:rPr>
          <w:sz w:val="20"/>
          <w:szCs w:val="20"/>
          <w:color w:val="auto"/>
        </w:rPr>
      </w:pPr>
    </w:p>
    <w:p>
      <w:pPr>
        <w:ind w:left="2260" w:right="859" w:hanging="288"/>
        <w:spacing w:after="0" w:line="250" w:lineRule="auto"/>
        <w:tabs>
          <w:tab w:leader="none" w:pos="226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Suvretta Capital Management, LLC is the investment manager of Averill Master Fund, Ltd. Aaron Cowen is the control person of Suvretta Capital Management, LLC. The address of Averill Master Fund, Ltd. is 540 Madison Ave., 7th Floor, New York, NY 10022.</w:t>
      </w:r>
    </w:p>
    <w:p>
      <w:pPr>
        <w:ind w:left="2260" w:right="1179" w:hanging="288"/>
        <w:spacing w:after="0" w:line="250" w:lineRule="auto"/>
        <w:tabs>
          <w:tab w:leader="none" w:pos="226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Castanea Biosciences Inc. is a wholly-owned subsidiary of SK Inc. Kiel Kim, Donghoon Lee and Joonsik Chai are members of the board of directors of Castanea Biosciences Inc. and have shared dispositive and voting power over the Common Shares. The address of Castanea Biosciences Inc. is 55 E. 59th Street, 10th Floor, New York, NY 10022.</w:t>
      </w:r>
    </w:p>
    <w:p>
      <w:pPr>
        <w:ind w:left="2260" w:right="919" w:hanging="288"/>
        <w:spacing w:after="0" w:line="273" w:lineRule="auto"/>
        <w:tabs>
          <w:tab w:leader="none" w:pos="226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Finny Kuruvilla has dispositive and voting power over the Common Shares as a portfolio manager for Eventide Asset Management, LLC, which is the investment advisor to Mutual Fund Series Trust on behalf of Eventide Healthcare &amp; Life Sciences Fund. Mr. Kuruvilla disclaims beneficial ownership of such shares except to the extent of his pecuniary interest therein. The address of each of Mutual Fund Series Trust on behalf of Eventide Healthcare &amp; Life Sciences Fund and Eventide Asset Management, LLC is 1 International Place, Suite 4210, Boston, MA 02110.</w:t>
      </w:r>
    </w:p>
    <w:p>
      <w:pPr>
        <w:ind w:left="2260" w:right="859" w:hanging="288"/>
        <w:spacing w:after="0" w:line="273" w:lineRule="auto"/>
        <w:tabs>
          <w:tab w:leader="none" w:pos="226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and the Fidelity Funds is c/o Brown Brothers Harriman &amp; Co. Attn: Corporate Actions /Vault 140 Broadway New York, NY 10005.</w:t>
      </w:r>
    </w:p>
    <w:p>
      <w:pPr>
        <w:spacing w:after="0" w:line="1" w:lineRule="exact"/>
        <w:rPr>
          <w:rFonts w:ascii="Arial" w:cs="Arial" w:eastAsia="Arial" w:hAnsi="Arial"/>
          <w:sz w:val="11"/>
          <w:szCs w:val="11"/>
          <w:color w:val="auto"/>
        </w:rPr>
      </w:pPr>
    </w:p>
    <w:p>
      <w:pPr>
        <w:ind w:left="2260" w:right="1139" w:hanging="288"/>
        <w:spacing w:after="0" w:line="260" w:lineRule="auto"/>
        <w:tabs>
          <w:tab w:leader="none" w:pos="226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Consists of (i) 500,000 Common Shares issued in connection with the PIPE Financing being registered for resale hereunder, (ii) 94,864 other Common Shares and (iii) 237,500 Common Shares issuable upon</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286</w:t>
      </w:r>
    </w:p>
    <w:p>
      <w:pPr>
        <w:sectPr>
          <w:pgSz w:w="11900" w:h="16838" w:orient="portrait"/>
          <w:cols w:equalWidth="0" w:num="1">
            <w:col w:w="10159"/>
          </w:cols>
          <w:pgMar w:left="300" w:top="372" w:right="1440" w:bottom="1440" w:gutter="0" w:footer="0" w:header="0"/>
        </w:sectPr>
      </w:pPr>
    </w:p>
    <w:bookmarkStart w:id="294" w:name="page295"/>
    <w:bookmarkEnd w:id="2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79"/>
        <w:spacing w:after="0" w:line="303" w:lineRule="auto"/>
        <w:rPr>
          <w:sz w:val="20"/>
          <w:szCs w:val="20"/>
          <w:color w:val="auto"/>
        </w:rPr>
      </w:pPr>
      <w:r>
        <w:rPr>
          <w:rFonts w:ascii="Arial" w:cs="Arial" w:eastAsia="Arial" w:hAnsi="Arial"/>
          <w:sz w:val="10"/>
          <w:szCs w:val="10"/>
          <w:color w:val="auto"/>
        </w:rPr>
        <w:t>exercise of Public Warrants.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address of Kepos Capital LP and Mr. Carhart is 11 Times Square, 35th Floor, New York, New York 10036.</w:t>
      </w:r>
    </w:p>
    <w:p>
      <w:pPr>
        <w:spacing w:after="0" w:line="2" w:lineRule="exact"/>
        <w:rPr>
          <w:sz w:val="20"/>
          <w:szCs w:val="20"/>
          <w:color w:val="auto"/>
        </w:rPr>
      </w:pPr>
    </w:p>
    <w:p>
      <w:pPr>
        <w:ind w:left="2260" w:right="859" w:hanging="288"/>
        <w:spacing w:after="0" w:line="273" w:lineRule="auto"/>
        <w:tabs>
          <w:tab w:leader="none" w:pos="226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Includes (i) 911,044 Common Shares held by Integrated Core Strategies (US) LLC, a Delaware limited liability company (“Integrated Core Strategies”), consisting of (x) 200,000 Common Shares issued in connection with the PIPE Financing being registered for resale hereunder and (y) 711,044 Common Shares issuable upon exercise of Public Warrants and (ii) 1,250,000 Common Shares held by ICS Opportunities, Ltd., an exempted company organized under the laws of the Cayman Islands (“ICS Opportunities”), consisting of (x) 600,000 Common Shares issued in connection with the PIPE Financing being registered for resale hereunder and (y) 650,000 Common Shares issuable upon exercise of Public Warrants. Millennium International Management LP, a Delaware limited partnership (“Millennium International Management”), is the investment manager to ICS Opportunities and may be deemed to have shared voting control and investment discretion over securities owned by ICS Opportunities. 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 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 The address for each of the above entities and Mr. Englander is c/o Millennium Management LLC, 399 Park Avenue, New York, New York 10022.</w:t>
      </w:r>
    </w:p>
    <w:p>
      <w:pPr>
        <w:spacing w:after="0" w:line="2" w:lineRule="exact"/>
        <w:rPr>
          <w:rFonts w:ascii="Arial" w:cs="Arial" w:eastAsia="Arial" w:hAnsi="Arial"/>
          <w:sz w:val="11"/>
          <w:szCs w:val="11"/>
          <w:color w:val="auto"/>
        </w:rPr>
      </w:pPr>
    </w:p>
    <w:p>
      <w:pPr>
        <w:ind w:left="2260" w:right="939" w:hanging="288"/>
        <w:spacing w:after="0" w:line="273" w:lineRule="auto"/>
        <w:tabs>
          <w:tab w:leader="none" w:pos="226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Palantir Technologies Inc. is currently controlled by its seven-member board of directors. For more information, please see Palantir Technologies Inc.’s public filings with the SEC. The address of Palantir Technologies Inc. is 1555 Blake Street, Suite 250, Denver, CO 80202.</w:t>
      </w:r>
    </w:p>
    <w:p>
      <w:pPr>
        <w:ind w:left="2260" w:right="919" w:hanging="288"/>
        <w:spacing w:after="0" w:line="250" w:lineRule="auto"/>
        <w:tabs>
          <w:tab w:leader="none" w:pos="22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Gavril Yushvaev has sole voting and dispositive power over the Common Shares held by PTC Trustees Limited as Trustee of the GYF Trust. The address of the business office of PTC Trustees Limited as Trustee of the GYF Trust is Anastasios Leventis 5, Leventis Gallery Tower, 8th Floor, 1097 Nicosia, Cyprus.</w:t>
      </w:r>
    </w:p>
    <w:p>
      <w:pPr>
        <w:ind w:left="2260" w:right="839" w:hanging="288"/>
        <w:spacing w:after="0" w:line="277" w:lineRule="auto"/>
        <w:tabs>
          <w:tab w:leader="none" w:pos="226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Consists of (i) (x) 172,500 Common Shares issued in connection with the PIPE Financing being registered for resale hereunder and (y) 124,267 Common Shares issuable upon exercise of Public Warrants, each held by Pura Vida Master Fund, Ltd.; (ii) (x) 68,700 Common Shares issued in connection with the PIPE Financing being registered for resale hereunder and (y) 47,653 Common Shares issuable upon exercise of Public Warrants, each held by Highmark Limited, in respect of its Segregated Account Highmark Long/Short Equity 20; (iii) (x) 18,600 Common Shares issued in connection with the PIPE Financing being registered for resale hereunder and (y) 10,064 Common Shares issuable upon exercise of Public Warrants, each held by Walleye Manager Opportunities LLC; (iv) (x) 28,200 Common Shares issued in connection with the PIPE Financing being registered for resale hereunder, (y) 58,744 other Common Shares and (z) 61,588 Common Shares issuable upon exercise of Public Warrants, each held by Walleye Opportunities</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287</w:t>
      </w:r>
    </w:p>
    <w:p>
      <w:pPr>
        <w:sectPr>
          <w:pgSz w:w="11900" w:h="16838" w:orient="portrait"/>
          <w:cols w:equalWidth="0" w:num="1">
            <w:col w:w="10159"/>
          </w:cols>
          <w:pgMar w:left="300" w:top="372" w:right="1440" w:bottom="1440" w:gutter="0" w:footer="0" w:header="0"/>
        </w:sectPr>
      </w:pPr>
    </w:p>
    <w:bookmarkStart w:id="295" w:name="page296"/>
    <w:bookmarkEnd w:id="2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59"/>
        <w:spacing w:after="0" w:line="275" w:lineRule="auto"/>
        <w:rPr>
          <w:sz w:val="20"/>
          <w:szCs w:val="20"/>
          <w:color w:val="auto"/>
        </w:rPr>
      </w:pPr>
      <w:r>
        <w:rPr>
          <w:rFonts w:ascii="Arial" w:cs="Arial" w:eastAsia="Arial" w:hAnsi="Arial"/>
          <w:sz w:val="11"/>
          <w:szCs w:val="11"/>
          <w:color w:val="auto"/>
        </w:rPr>
        <w:t>Master Fund Ltd; and (v) (x) 12,000 Common Shares issued in connection with the PIPE Financing being registered for resale hereunder and (y) 8,422 Common Shares issuable upon exercise of Public Warrants, each held by Sea Hawk Multi-Strategy Master Fund Ltd (together with Pura Vida Master Fund, Ltd, Highmark Limited, in respect of its Segregated Account Highmark Long/Short Equity 20, Walleye Manager Opportunities LLC, and Walleye Opportunities Master Fund Ltd, the “Pura Vida Entities”). Pura Vida Investments, LLC (“PVI”) serves as the investment manager or sub-adviser to each of the Pura Vida Entities. Efrem Kamen serves as the managing member of PVI. By virtue of these relationships, PVI and Efrem Kamen may be deemed to have shared voting and dispositive power with respect to the Common Shares and certain other securities owned by the Pura Vida Entities. Each of PVI and Efrem Kamen disclaims beneficial ownership of the Common Shares and other securities described herein except to the extent of each PVI’s and Efrem Kamen’s pecuniary interest therein. The address for each of the Pura Vida Entities, PVI and Efrem Kamen is c/o Pura Vida Investments, LLC, 888 Seventh Ave., 6th Floor, New York, NY 10106.</w:t>
      </w:r>
    </w:p>
    <w:p>
      <w:pPr>
        <w:spacing w:after="0" w:line="1" w:lineRule="exact"/>
        <w:rPr>
          <w:sz w:val="20"/>
          <w:szCs w:val="20"/>
          <w:color w:val="auto"/>
        </w:rPr>
      </w:pPr>
    </w:p>
    <w:p>
      <w:pPr>
        <w:ind w:left="2260" w:right="859" w:hanging="288"/>
        <w:spacing w:after="0" w:line="273" w:lineRule="auto"/>
        <w:tabs>
          <w:tab w:leader="none" w:pos="226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Consists of (i) (x) 254,066 Common Shares issued in connection with the PIPE Financing being registered for resale hereunder and (y) 349,810 other Common Shares, each held by RTW Master Fund, Ltd.; (ii) (x) 119,901 Common Shares issued in connection with the PIPE Financing being registered for resale hereunder and (y) 52,909 other Common Shares, each held by RTW Innovation Master Fund, Ltd.; and (iii) 26,033 Common Shares issued in connection with the PIPE Financing being registered for resale hereunder held by RTW Venture Fund Limited (together with RTW Master Fund, Ltd. and RTW Innovation Master Fund, Ltd., the “RTW Funds”). Roderick Wong, M.D., is the managing partner of each of the RTW Funds and has ultimate voting and dispositive power over the Common Shares. The address for each of the RTW Funds and Dr. Wong is 40 10th Avenue, Floor 7, New York, NY 10014.</w:t>
      </w:r>
    </w:p>
    <w:p>
      <w:pPr>
        <w:ind w:left="2260" w:right="859" w:hanging="288"/>
        <w:spacing w:after="0" w:line="250" w:lineRule="auto"/>
        <w:tabs>
          <w:tab w:leader="none" w:pos="226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SB Management Limited is the investment manager of SB Northstar LP and as such may be deemed to have voting and investment power over the securities held by SB Northstar LP. SB Management Limited is owned by Softbank Group Corp. The address of SB Northstar LP is 190 Elgin Avenue, George Town, Grand Cayman KY1-9008, Cayman Islands.</w:t>
      </w:r>
    </w:p>
    <w:p>
      <w:pPr>
        <w:ind w:left="2260" w:right="1019" w:hanging="288"/>
        <w:spacing w:after="0" w:line="250" w:lineRule="auto"/>
        <w:tabs>
          <w:tab w:leader="none" w:pos="226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Hartley Wasko is the manager of The Eleven Fund LLC and has voting and dispositive power over the Common Shares. The address of each of Hartley Wasko and The Eleven Fund LLC is 463 Adams Street, Denver, CO 80206.</w:t>
      </w:r>
    </w:p>
    <w:p>
      <w:pPr>
        <w:ind w:left="2260" w:right="899" w:hanging="288"/>
        <w:spacing w:after="0" w:line="273" w:lineRule="auto"/>
        <w:tabs>
          <w:tab w:leader="none" w:pos="226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Consists of Common Shares held by Dexxon Holdings Ltd. (“Dexxon Holdings”) and Dexcel Pharma Technologies Ltd. (“Dexcel Pharma”). Dan Oren is the sole shareholder and sole director of Dexxon Holdings and the ultimate (indirect) sole shareholder and the Executive Chairman of Dexcel Pharma. As such, each of Dexxon Holdings, Dexcel Pharma and Dan Oren may be deemed to share beneficial ownership of the Common Shares. The principal business address of Dexxon Holdings and Dan Oren is 1 Dexcel Street, Or Akiva, 3060000, Israel. The principal business address of Dexcel Pharma is 21 Nahum Haftzadi Street, Jerusalem, 9548402, Israel.</w:t>
      </w:r>
    </w:p>
    <w:p>
      <w:pPr>
        <w:ind w:left="2260" w:right="839" w:hanging="288"/>
        <w:spacing w:after="0" w:line="250" w:lineRule="auto"/>
        <w:tabs>
          <w:tab w:leader="none" w:pos="226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number of Common Shares consists of (i) 7,625,967 Common Shares and (ii) 10,214,365 Common Shares that are issuable upon the exercise of the Private Placement Warrants. James C. Momtazee, Alex Albert and Adam Fliss are members of the committee of Patient Square Capital LLC (the “MAAC Committee”). The MAAC Committee holds voting and dispositive power with respect to such securities. The address of Patient Square Capital LLC is 2884 Sand Hill Road, Suite 100, Menlo Park, CA 94025.</w:t>
      </w:r>
    </w:p>
    <w:p>
      <w:pPr>
        <w:spacing w:after="0" w:line="1" w:lineRule="exact"/>
        <w:rPr>
          <w:rFonts w:ascii="Arial" w:cs="Arial" w:eastAsia="Arial" w:hAnsi="Arial"/>
          <w:sz w:val="12"/>
          <w:szCs w:val="12"/>
          <w:color w:val="auto"/>
        </w:rPr>
      </w:pPr>
    </w:p>
    <w:p>
      <w:pPr>
        <w:ind w:left="2260" w:right="859" w:hanging="288"/>
        <w:spacing w:after="0" w:line="277" w:lineRule="auto"/>
        <w:tabs>
          <w:tab w:leader="none" w:pos="226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Consists of Common Shares held by QVT Financial Investment Cayman Ltd., QVT Roiv Hldgs Offshore Ltd., QVT Roiv Hldgs Onshore Ltd., QVT Deferred Compensation Holdings Ltd., QVT P&amp;E Roiv Hldgs Ltd. and Fourth Avenue Capital Partners LP (together, the “QVT Entities”). Fourth Avenue Capital Partners GP LLC may be deemed to share beneficial ownership of the Common Shares held by Fourth Avenue Capital Partners LP. Each of QVT Financial LP and QVT Financial GP LLC may be deemed to share beneficial ownership of the Common Shares held by the QVT Entities. The Managing Members of QVT Financial GP LLC and Fourth Avenue Capital Partners GP LLC are Daniel Gold, Nicholas Brumm, Arthur Chu and Tracy Fu, each of whom disclaims beneficial ownership of the securities held by the QVT Entities except to the extent of any pecuniary interest. The principal business address for the QVT Entities, QVT Financial LP, QVT Financial GP LLC, Fourth Avenue Capital Partners GP LLC and the Managing Members is 888 Seventh Avenue, 27th Floor, New York, NY 10106.</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288</w:t>
      </w:r>
    </w:p>
    <w:p>
      <w:pPr>
        <w:sectPr>
          <w:pgSz w:w="11900" w:h="16838" w:orient="portrait"/>
          <w:cols w:equalWidth="0" w:num="1">
            <w:col w:w="10159"/>
          </w:cols>
          <w:pgMar w:left="300" w:top="372" w:right="1440" w:bottom="1440" w:gutter="0" w:footer="0" w:header="0"/>
        </w:sectPr>
      </w:pPr>
    </w:p>
    <w:bookmarkStart w:id="296" w:name="page297"/>
    <w:bookmarkEnd w:id="2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1019" w:hanging="288"/>
        <w:spacing w:after="0" w:line="278" w:lineRule="auto"/>
        <w:tabs>
          <w:tab w:leader="none" w:pos="2260" w:val="left"/>
        </w:tabs>
        <w:numPr>
          <w:ilvl w:val="0"/>
          <w:numId w:val="165"/>
        </w:numPr>
        <w:rPr>
          <w:rFonts w:ascii="Arial" w:cs="Arial" w:eastAsia="Arial" w:hAnsi="Arial"/>
          <w:sz w:val="11"/>
          <w:szCs w:val="11"/>
          <w:color w:val="auto"/>
        </w:rPr>
      </w:pPr>
      <w:r>
        <w:rPr>
          <w:rFonts w:ascii="Arial" w:cs="Arial" w:eastAsia="Arial" w:hAnsi="Arial"/>
          <w:sz w:val="11"/>
          <w:szCs w:val="11"/>
          <w:color w:val="auto"/>
        </w:rPr>
        <w:t>Consists of Common Shares held by Sumitomo Dainippon Pharma Co., Ltd. (“Sumitomo”), including 7,500,000 Common Shares issued to Sumitomo in connection with the PIPE Financing. Common Shares issued in connection with the PIPE Financing are not subject to the lock-up described above. The principal business address of Sumitomo is 6-8 Doshomachi 2-chome, Chuo-ku, Osaka 541-0045 Japan.</w:t>
      </w:r>
    </w:p>
    <w:p>
      <w:pPr>
        <w:spacing w:after="0" w:line="1" w:lineRule="exact"/>
        <w:rPr>
          <w:rFonts w:ascii="Arial" w:cs="Arial" w:eastAsia="Arial" w:hAnsi="Arial"/>
          <w:sz w:val="11"/>
          <w:szCs w:val="11"/>
          <w:color w:val="auto"/>
        </w:rPr>
      </w:pPr>
    </w:p>
    <w:p>
      <w:pPr>
        <w:ind w:left="2260" w:right="839" w:hanging="288"/>
        <w:spacing w:after="0" w:line="250" w:lineRule="auto"/>
        <w:tabs>
          <w:tab w:leader="none" w:pos="22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Securities held of record by SVF Investments (UK) Limited (“SVF Investments”). SVF GP (Jersey) Limited is the general partner of Softbank Vision Fund LP, which is the managing member of SVF Holdings (UK) LLP, which is the sole owner of SVF Investments. SB Investment Advisers (UK) Limited (“SBIA UK”) has been appointed by SVF GP (Jersey) Limited as the alternative investment fund manager (“AIFM”) of SoftBank Vision Fund LP. SBIA UK is authorized and regulated by the UK Financial Conduct Authority and is exclusively responsible for making all decisions related to the acquisition, structuring, financing and disposal of SoftBank Vision Fund LP’s investments. The principal address of SVF Investments is 69 Grosvenor Street, London, United Kingdom W1K 3JP.</w:t>
      </w:r>
    </w:p>
    <w:p>
      <w:pPr>
        <w:spacing w:after="0" w:line="1" w:lineRule="exact"/>
        <w:rPr>
          <w:rFonts w:ascii="Arial" w:cs="Arial" w:eastAsia="Arial" w:hAnsi="Arial"/>
          <w:sz w:val="12"/>
          <w:szCs w:val="12"/>
          <w:color w:val="auto"/>
        </w:rPr>
      </w:pPr>
    </w:p>
    <w:p>
      <w:pPr>
        <w:ind w:left="2260" w:right="879" w:hanging="288"/>
        <w:spacing w:after="0" w:line="273" w:lineRule="auto"/>
        <w:tabs>
          <w:tab w:leader="none" w:pos="2260" w:val="left"/>
        </w:tabs>
        <w:numPr>
          <w:ilvl w:val="0"/>
          <w:numId w:val="165"/>
        </w:numPr>
        <w:rPr>
          <w:rFonts w:ascii="Arial" w:cs="Arial" w:eastAsia="Arial" w:hAnsi="Arial"/>
          <w:sz w:val="11"/>
          <w:szCs w:val="11"/>
          <w:color w:val="auto"/>
        </w:rPr>
      </w:pPr>
      <w:r>
        <w:rPr>
          <w:rFonts w:ascii="Arial" w:cs="Arial" w:eastAsia="Arial" w:hAnsi="Arial"/>
          <w:sz w:val="11"/>
          <w:szCs w:val="11"/>
          <w:color w:val="auto"/>
        </w:rPr>
        <w:t>Consists of Common Shares held by Viking Global Equities Master Ltd. (“VGEM”), Viking Global Equities II LP (“VGEII”), Viking Long Fund Master Ltd. (“VLFM”) and Viking Global Opportunities Illiquid Investments Sub-Master LP (“Opportunities Fund,” and together with all of the preceding entities, the “Viking Global Entities”) and includes 1,000,000 Common Shares issued to the Viking Global Entities in connection with the PIPE Financing. Common Shares issued in connection with the PIPE Financing are not subject to the lock-up described above. VGEM has the power to dispose of and vote the shares directly owned by it, which power may be exercised by its investment manager, Viking Global Performance LLC (“VGP”), and by Viking Global Investors LP (“VGI”), which provides managerial services to VGEM. VGEII has the authority to dispose of and vote the shares directly owned by it, which power may be exercised by its general partner, VGP, and by VGI, which provides managerial services to VGEII. VLFM has the authority to dispose of and vote the shares directly owned by it, which power may be exercised by its investment manager, Viking Long Fund GP LLC (“VLFGP”), and by VGI, which provides managerial services to VLFM. Opportunities Fund has the authority to dispose of and vote the shares directly owned by it, which power may be exercised by its general partner, Viking Global Opportunities Portfolio GP LLC (“Opportunities GP”), and by VGI, which provides managerial services to Opportunities Fund. O. Andreas Halvorsen, David C. Ott and Rose Shabet, as Executive Committee members of Viking Global Partners LLC (the general partner of VGI), VGP, VLFGP and Viking Global Opportunities GP LLC (the sole member of Opportunities GP) have shared authority to direct the voting and disposition of investments beneficially owned by VGI, VGP, VLFGP and Opportunities GP. The business address of each of the Viking Global Entities is 55 Railroad Avenue, Greenwich, Connecticut 06830.</w:t>
      </w:r>
    </w:p>
    <w:p>
      <w:pPr>
        <w:spacing w:after="0" w:line="1" w:lineRule="exact"/>
        <w:rPr>
          <w:rFonts w:ascii="Arial" w:cs="Arial" w:eastAsia="Arial" w:hAnsi="Arial"/>
          <w:sz w:val="11"/>
          <w:szCs w:val="11"/>
          <w:color w:val="auto"/>
        </w:rPr>
      </w:pPr>
    </w:p>
    <w:p>
      <w:pPr>
        <w:ind w:left="2260" w:hanging="288"/>
        <w:spacing w:after="0"/>
        <w:tabs>
          <w:tab w:leader="none" w:pos="22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address of Mr. Chaikof is 165 Bigelow Road, Newton, MA 02465.</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address of Mr. Jernigan is 55 SE 6th Street #4301, Miami, FL 33131.</w:t>
      </w:r>
    </w:p>
    <w:p>
      <w:pPr>
        <w:spacing w:after="0" w:line="6" w:lineRule="exact"/>
        <w:rPr>
          <w:rFonts w:ascii="Arial" w:cs="Arial" w:eastAsia="Arial" w:hAnsi="Arial"/>
          <w:sz w:val="12"/>
          <w:szCs w:val="12"/>
          <w:color w:val="auto"/>
        </w:rPr>
      </w:pPr>
    </w:p>
    <w:p>
      <w:pPr>
        <w:ind w:left="2200" w:hanging="228"/>
        <w:spacing w:after="0"/>
        <w:tabs>
          <w:tab w:leader="none" w:pos="220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address of Mr. Sun is 178 Depot Rd., Harvard, MA 01451.</w:t>
      </w:r>
    </w:p>
    <w:p>
      <w:pPr>
        <w:spacing w:after="0" w:line="6" w:lineRule="exact"/>
        <w:rPr>
          <w:rFonts w:ascii="Arial" w:cs="Arial" w:eastAsia="Arial" w:hAnsi="Arial"/>
          <w:sz w:val="12"/>
          <w:szCs w:val="12"/>
          <w:color w:val="auto"/>
        </w:rPr>
      </w:pPr>
    </w:p>
    <w:p>
      <w:pPr>
        <w:ind w:left="2260" w:right="939" w:hanging="288"/>
        <w:spacing w:after="0" w:line="250" w:lineRule="auto"/>
        <w:tabs>
          <w:tab w:leader="none" w:pos="22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Xie Yi Jing is a director of Parkway Limited and has voting and dispositive power over the Common Shares. The address of each of Mr. Jing and Parkway Limited is 25F East Tower, Raffles City, the Bund, No. 1089 East Daming Road, Shanghai, China.</w:t>
      </w:r>
    </w:p>
    <w:p>
      <w:pPr>
        <w:ind w:left="2200" w:hanging="228"/>
        <w:spacing w:after="0"/>
        <w:tabs>
          <w:tab w:leader="none" w:pos="220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address of Mr. Walker is 1721 Valley Forge Road Unit 343, Valley Forge, PA 19481-0343.</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289</w:t>
      </w:r>
    </w:p>
    <w:p>
      <w:pPr>
        <w:sectPr>
          <w:pgSz w:w="11900" w:h="16838" w:orient="portrait"/>
          <w:cols w:equalWidth="0" w:num="1">
            <w:col w:w="10159"/>
          </w:cols>
          <w:pgMar w:left="300" w:top="372" w:right="1440" w:bottom="1440" w:gutter="0" w:footer="0" w:header="0"/>
        </w:sectPr>
      </w:pPr>
    </w:p>
    <w:bookmarkStart w:id="297" w:name="page298"/>
    <w:bookmarkEnd w:id="2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ind w:right="7699"/>
        <w:spacing w:after="0"/>
        <w:rPr>
          <w:sz w:val="20"/>
          <w:szCs w:val="20"/>
          <w:color w:val="auto"/>
        </w:rPr>
      </w:pPr>
      <w:r>
        <w:rPr>
          <w:rFonts w:ascii="Arial" w:cs="Arial" w:eastAsia="Arial" w:hAnsi="Arial"/>
          <w:sz w:val="12"/>
          <w:szCs w:val="12"/>
          <w:b w:val="1"/>
          <w:bCs w:val="1"/>
          <w:color w:val="auto"/>
        </w:rPr>
        <w:t>Warrants</w:t>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left="2560"/>
        <w:spacing w:after="0"/>
        <w:rPr>
          <w:sz w:val="20"/>
          <w:szCs w:val="20"/>
          <w:color w:val="auto"/>
        </w:rPr>
      </w:pPr>
      <w:r>
        <w:rPr>
          <w:rFonts w:ascii="Arial" w:cs="Arial" w:eastAsia="Arial" w:hAnsi="Arial"/>
          <w:sz w:val="8"/>
          <w:szCs w:val="8"/>
          <w:b w:val="1"/>
          <w:bCs w:val="1"/>
          <w:color w:val="auto"/>
        </w:rPr>
        <w:t>Name and Address of</w:t>
      </w:r>
    </w:p>
    <w:p>
      <w:pPr>
        <w:spacing w:after="0" w:line="15" w:lineRule="exact"/>
        <w:rPr>
          <w:sz w:val="20"/>
          <w:szCs w:val="20"/>
          <w:color w:val="auto"/>
        </w:rPr>
      </w:pPr>
    </w:p>
    <w:p>
      <w:pPr>
        <w:jc w:val="center"/>
        <w:ind w:left="2560"/>
        <w:spacing w:after="0"/>
        <w:rPr>
          <w:sz w:val="20"/>
          <w:szCs w:val="20"/>
          <w:color w:val="auto"/>
        </w:rPr>
      </w:pPr>
      <w:r>
        <w:rPr>
          <w:rFonts w:ascii="Arial" w:cs="Arial" w:eastAsia="Arial" w:hAnsi="Arial"/>
          <w:sz w:val="10"/>
          <w:szCs w:val="10"/>
          <w:b w:val="1"/>
          <w:bCs w:val="1"/>
          <w:color w:val="auto"/>
        </w:rPr>
        <w:t>Holders</w:t>
      </w:r>
    </w:p>
    <w:p>
      <w:pPr>
        <w:ind w:left="1980"/>
        <w:spacing w:after="0"/>
        <w:rPr>
          <w:sz w:val="20"/>
          <w:szCs w:val="20"/>
          <w:color w:val="auto"/>
        </w:rPr>
      </w:pPr>
      <w:r>
        <w:rPr>
          <w:rFonts w:ascii="Arial" w:cs="Arial" w:eastAsia="Arial" w:hAnsi="Arial"/>
          <w:sz w:val="12"/>
          <w:szCs w:val="12"/>
          <w:b w:val="1"/>
          <w:bCs w:val="1"/>
          <w:i w:val="1"/>
          <w:iCs w:val="1"/>
          <w:color w:val="auto"/>
        </w:rPr>
        <w:t>Holders Subject to Extended Lock-Up*</w:t>
      </w:r>
    </w:p>
    <w:p>
      <w:pPr>
        <w:spacing w:after="0" w:line="1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Patient Square Capital LLC(14)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51435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760" w:type="dxa"/>
            <w:vAlign w:val="bottom"/>
            <w:gridSpan w:val="2"/>
          </w:tcPr>
          <w:p>
            <w:pPr>
              <w:jc w:val="center"/>
              <w:ind w:left="190"/>
              <w:spacing w:after="0"/>
              <w:rPr>
                <w:sz w:val="20"/>
                <w:szCs w:val="20"/>
                <w:color w:val="auto"/>
              </w:rPr>
            </w:pPr>
            <w:r>
              <w:rPr>
                <w:rFonts w:ascii="Arial" w:cs="Arial" w:eastAsia="Arial" w:hAnsi="Arial"/>
                <w:sz w:val="10"/>
                <w:szCs w:val="10"/>
                <w:b w:val="1"/>
                <w:bCs w:val="1"/>
                <w:color w:val="auto"/>
                <w:w w:val="84"/>
              </w:rPr>
              <w:t>Beneficial</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83"/>
              </w:rPr>
              <w:t>Shares to be Sold in</w:t>
            </w:r>
          </w:p>
        </w:tc>
        <w:tc>
          <w:tcPr>
            <w:tcW w:w="620" w:type="dxa"/>
            <w:vAlign w:val="bottom"/>
            <w:gridSpan w:val="2"/>
          </w:tcPr>
          <w:p>
            <w:pPr>
              <w:jc w:val="center"/>
              <w:ind w:left="131"/>
              <w:spacing w:after="0"/>
              <w:rPr>
                <w:sz w:val="20"/>
                <w:szCs w:val="20"/>
                <w:color w:val="auto"/>
              </w:rPr>
            </w:pPr>
            <w:r>
              <w:rPr>
                <w:rFonts w:ascii="Arial" w:cs="Arial" w:eastAsia="Arial" w:hAnsi="Arial"/>
                <w:sz w:val="10"/>
                <w:szCs w:val="10"/>
                <w:b w:val="1"/>
                <w:bCs w:val="1"/>
                <w:color w:val="auto"/>
                <w:w w:val="84"/>
              </w:rPr>
              <w:t>Beneficial</w:t>
            </w:r>
          </w:p>
        </w:tc>
        <w:tc>
          <w:tcPr>
            <w:tcW w:w="180" w:type="dxa"/>
            <w:vAlign w:val="bottom"/>
          </w:tcPr>
          <w:p>
            <w:pPr>
              <w:spacing w:after="0"/>
              <w:rPr>
                <w:sz w:val="10"/>
                <w:szCs w:val="10"/>
                <w:color w:val="auto"/>
              </w:rPr>
            </w:pPr>
          </w:p>
        </w:tc>
      </w:tr>
      <w:tr>
        <w:trPr>
          <w:trHeight w:val="99"/>
        </w:trPr>
        <w:tc>
          <w:tcPr>
            <w:tcW w:w="760" w:type="dxa"/>
            <w:vAlign w:val="bottom"/>
            <w:gridSpan w:val="2"/>
          </w:tcPr>
          <w:p>
            <w:pPr>
              <w:jc w:val="center"/>
              <w:ind w:left="210"/>
              <w:spacing w:after="0" w:line="99" w:lineRule="exact"/>
              <w:rPr>
                <w:sz w:val="20"/>
                <w:szCs w:val="20"/>
                <w:color w:val="auto"/>
              </w:rPr>
            </w:pPr>
            <w:r>
              <w:rPr>
                <w:rFonts w:ascii="Arial" w:cs="Arial" w:eastAsia="Arial" w:hAnsi="Arial"/>
                <w:sz w:val="10"/>
                <w:szCs w:val="10"/>
                <w:b w:val="1"/>
                <w:bCs w:val="1"/>
                <w:color w:val="auto"/>
                <w:w w:val="88"/>
              </w:rPr>
              <w:t>Ownership</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tcPr>
          <w:p>
            <w:pPr>
              <w:jc w:val="center"/>
              <w:ind w:left="190"/>
              <w:spacing w:after="0" w:line="99" w:lineRule="exact"/>
              <w:rPr>
                <w:sz w:val="20"/>
                <w:szCs w:val="20"/>
                <w:color w:val="auto"/>
              </w:rPr>
            </w:pPr>
            <w:r>
              <w:rPr>
                <w:rFonts w:ascii="Arial" w:cs="Arial" w:eastAsia="Arial" w:hAnsi="Arial"/>
                <w:sz w:val="10"/>
                <w:szCs w:val="10"/>
                <w:b w:val="1"/>
                <w:bCs w:val="1"/>
                <w:color w:val="auto"/>
                <w:w w:val="79"/>
              </w:rPr>
              <w:t>the</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8"/>
              </w:rPr>
              <w:t>Ownership</w:t>
            </w:r>
          </w:p>
        </w:tc>
      </w:tr>
      <w:tr>
        <w:trPr>
          <w:trHeight w:val="113"/>
        </w:trPr>
        <w:tc>
          <w:tcPr>
            <w:tcW w:w="1280" w:type="dxa"/>
            <w:vAlign w:val="bottom"/>
            <w:gridSpan w:val="4"/>
          </w:tcPr>
          <w:p>
            <w:pPr>
              <w:jc w:val="center"/>
              <w:ind w:right="280"/>
              <w:spacing w:after="0" w:line="114" w:lineRule="exact"/>
              <w:rPr>
                <w:sz w:val="20"/>
                <w:szCs w:val="20"/>
                <w:color w:val="auto"/>
              </w:rPr>
            </w:pPr>
            <w:r>
              <w:rPr>
                <w:rFonts w:ascii="Arial" w:cs="Arial" w:eastAsia="Arial" w:hAnsi="Arial"/>
                <w:sz w:val="10"/>
                <w:szCs w:val="10"/>
                <w:b w:val="1"/>
                <w:bCs w:val="1"/>
                <w:color w:val="auto"/>
                <w:w w:val="87"/>
              </w:rPr>
              <w:t>Before the Offering</w:t>
            </w:r>
          </w:p>
        </w:tc>
        <w:tc>
          <w:tcPr>
            <w:tcW w:w="760" w:type="dxa"/>
            <w:vAlign w:val="bottom"/>
            <w:gridSpan w:val="2"/>
          </w:tcPr>
          <w:p>
            <w:pPr>
              <w:jc w:val="center"/>
              <w:ind w:left="190"/>
              <w:spacing w:after="0" w:line="114" w:lineRule="exact"/>
              <w:rPr>
                <w:sz w:val="20"/>
                <w:szCs w:val="20"/>
                <w:color w:val="auto"/>
              </w:rPr>
            </w:pPr>
            <w:r>
              <w:rPr>
                <w:rFonts w:ascii="Arial" w:cs="Arial" w:eastAsia="Arial" w:hAnsi="Arial"/>
                <w:sz w:val="10"/>
                <w:szCs w:val="10"/>
                <w:b w:val="1"/>
                <w:bCs w:val="1"/>
                <w:color w:val="auto"/>
                <w:w w:val="92"/>
              </w:rPr>
              <w:t>Offering</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92"/>
              </w:rPr>
              <w:t>After Offering</w:t>
            </w:r>
          </w:p>
        </w:tc>
      </w:tr>
      <w:tr>
        <w:trPr>
          <w:trHeight w:val="74"/>
        </w:trPr>
        <w:tc>
          <w:tcPr>
            <w:tcW w:w="5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Borders>
              <w:top w:val="single" w:sz="8" w:color="auto"/>
            </w:tcBorders>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Number</w:t>
            </w:r>
          </w:p>
        </w:tc>
        <w:tc>
          <w:tcPr>
            <w:tcW w:w="180" w:type="dxa"/>
            <w:vAlign w:val="bottom"/>
            <w:tcBorders>
              <w:top w:val="single" w:sz="8" w:color="auto"/>
            </w:tcBorders>
          </w:tcPr>
          <w:p>
            <w:pPr>
              <w:spacing w:after="0"/>
              <w:rPr>
                <w:sz w:val="6"/>
                <w:szCs w:val="6"/>
                <w:color w:val="auto"/>
              </w:rPr>
            </w:pPr>
          </w:p>
        </w:tc>
      </w:tr>
      <w:tr>
        <w:trPr>
          <w:trHeight w:val="99"/>
        </w:trPr>
        <w:tc>
          <w:tcPr>
            <w:tcW w:w="7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Number of</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Number of</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of</w:t>
            </w:r>
          </w:p>
        </w:tc>
        <w:tc>
          <w:tcPr>
            <w:tcW w:w="180" w:type="dxa"/>
            <w:vAlign w:val="bottom"/>
          </w:tcPr>
          <w:p>
            <w:pPr>
              <w:spacing w:after="0"/>
              <w:rPr>
                <w:sz w:val="8"/>
                <w:szCs w:val="8"/>
                <w:color w:val="auto"/>
              </w:rPr>
            </w:pPr>
          </w:p>
        </w:tc>
      </w:tr>
      <w:tr>
        <w:trPr>
          <w:trHeight w:val="113"/>
        </w:trPr>
        <w:tc>
          <w:tcPr>
            <w:tcW w:w="5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7"/>
              </w:rPr>
              <w:t>Warrants</w:t>
            </w:r>
          </w:p>
        </w:tc>
        <w:tc>
          <w:tcPr>
            <w:tcW w:w="180" w:type="dxa"/>
            <w:vAlign w:val="bottom"/>
          </w:tcPr>
          <w:p>
            <w:pPr>
              <w:spacing w:after="0"/>
              <w:rPr>
                <w:sz w:val="9"/>
                <w:szCs w:val="9"/>
                <w:color w:val="auto"/>
              </w:rPr>
            </w:pPr>
          </w:p>
        </w:tc>
        <w:tc>
          <w:tcPr>
            <w:tcW w:w="260" w:type="dxa"/>
            <w:vAlign w:val="bottom"/>
          </w:tcPr>
          <w:p>
            <w:pPr>
              <w:jc w:val="right"/>
              <w:ind w:right="26"/>
              <w:spacing w:after="0" w:line="114"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7"/>
              </w:rPr>
              <w:t>Warrants</w:t>
            </w:r>
          </w:p>
        </w:tc>
        <w:tc>
          <w:tcPr>
            <w:tcW w:w="180" w:type="dxa"/>
            <w:vAlign w:val="bottom"/>
          </w:tcPr>
          <w:p>
            <w:pPr>
              <w:spacing w:after="0"/>
              <w:rPr>
                <w:sz w:val="9"/>
                <w:szCs w:val="9"/>
                <w:color w:val="auto"/>
              </w:rPr>
            </w:pPr>
          </w:p>
        </w:tc>
        <w:tc>
          <w:tcPr>
            <w:tcW w:w="240" w:type="dxa"/>
            <w:vAlign w:val="bottom"/>
          </w:tcPr>
          <w:p>
            <w:pPr>
              <w:jc w:val="right"/>
              <w:ind w:right="6"/>
              <w:spacing w:after="0" w:line="114"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2"/>
              </w:rPr>
              <w:t>Warrants</w:t>
            </w:r>
          </w:p>
        </w:tc>
        <w:tc>
          <w:tcPr>
            <w:tcW w:w="180" w:type="dxa"/>
            <w:vAlign w:val="bottom"/>
          </w:tcPr>
          <w:p>
            <w:pPr>
              <w:jc w:val="right"/>
              <w:ind w:right="6"/>
              <w:spacing w:after="0" w:line="114" w:lineRule="exact"/>
              <w:rPr>
                <w:sz w:val="20"/>
                <w:szCs w:val="20"/>
                <w:color w:val="auto"/>
              </w:rPr>
            </w:pPr>
            <w:r>
              <w:rPr>
                <w:rFonts w:ascii="Arial" w:cs="Arial" w:eastAsia="Arial" w:hAnsi="Arial"/>
                <w:sz w:val="10"/>
                <w:szCs w:val="10"/>
                <w:b w:val="1"/>
                <w:bCs w:val="1"/>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77"/>
        </w:trPr>
        <w:tc>
          <w:tcPr>
            <w:tcW w:w="580" w:type="dxa"/>
            <w:vAlign w:val="bottom"/>
          </w:tcPr>
          <w:p>
            <w:pPr>
              <w:jc w:val="right"/>
              <w:spacing w:after="0"/>
              <w:rPr>
                <w:sz w:val="20"/>
                <w:szCs w:val="20"/>
                <w:color w:val="auto"/>
              </w:rPr>
            </w:pPr>
            <w:r>
              <w:rPr>
                <w:rFonts w:ascii="Arial" w:cs="Arial" w:eastAsia="Arial" w:hAnsi="Arial"/>
                <w:sz w:val="12"/>
                <w:szCs w:val="12"/>
                <w:color w:val="auto"/>
                <w:w w:val="93"/>
              </w:rPr>
              <w:t>10,214,365</w:t>
            </w:r>
          </w:p>
        </w:tc>
        <w:tc>
          <w:tcPr>
            <w:tcW w:w="1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33.2%</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10,214,365</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33.2%</w:t>
            </w:r>
          </w:p>
        </w:tc>
        <w:tc>
          <w:tcPr>
            <w:tcW w:w="6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6"/>
              <w:spacing w:after="0"/>
              <w:rPr>
                <w:sz w:val="20"/>
                <w:szCs w:val="20"/>
                <w:color w:val="auto"/>
              </w:rPr>
            </w:pPr>
            <w:r>
              <w:rPr>
                <w:rFonts w:ascii="Arial" w:cs="Arial" w:eastAsia="Arial" w:hAnsi="Arial"/>
                <w:sz w:val="12"/>
                <w:szCs w:val="12"/>
                <w:color w:val="auto"/>
                <w:w w:val="8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-187960</wp:posOffset>
            </wp:positionV>
            <wp:extent cx="4663440" cy="971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63440" cy="9715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200" w:space="720"/>
            <w:col w:w="4239"/>
          </w:cols>
          <w:pgMar w:left="300" w:top="372" w:right="1440" w:bottom="1440" w:gutter="0" w:footer="0" w:header="0"/>
          <w:type w:val="continuous"/>
        </w:sectPr>
      </w:pPr>
    </w:p>
    <w:p>
      <w:pPr>
        <w:ind w:left="2260" w:right="879" w:hanging="288"/>
        <w:spacing w:after="0" w:line="259" w:lineRule="auto"/>
        <w:tabs>
          <w:tab w:leader="none" w:pos="226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warrants held by Patient Square Capital are subject to an extended lock-up, as follows: (i) 25% of holdings are subject to a six month lock-up, (ii) an additional 25% of holdings are subject to a one year lock-up and (iii) the remaining 50% of holdings are subject to a three year lock-up, in each case measured from the closing of the Business Combination. See “Certain Relationships and Related Party Transactions–Post-Business Combination Arrangements” for more information.</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Material Relationships with the Holders</w:t>
      </w:r>
    </w:p>
    <w:p>
      <w:pPr>
        <w:spacing w:after="0" w:line="82"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a description of our relationships with the Holders and their affiliates see the sections entitled “</w:t>
      </w:r>
      <w:r>
        <w:rPr>
          <w:rFonts w:ascii="Arial" w:cs="Arial" w:eastAsia="Arial" w:hAnsi="Arial"/>
          <w:sz w:val="12"/>
          <w:szCs w:val="12"/>
          <w:i w:val="1"/>
          <w:iCs w:val="1"/>
          <w:color w:val="auto"/>
        </w:rPr>
        <w:t>Management</w:t>
      </w:r>
      <w:r>
        <w:rPr>
          <w:rFonts w:ascii="Arial" w:cs="Arial" w:eastAsia="Arial" w:hAnsi="Arial"/>
          <w:sz w:val="12"/>
          <w:szCs w:val="12"/>
          <w:color w:val="auto"/>
        </w:rPr>
        <w:t>,” “</w:t>
      </w:r>
      <w:r>
        <w:rPr>
          <w:rFonts w:ascii="Arial" w:cs="Arial" w:eastAsia="Arial" w:hAnsi="Arial"/>
          <w:sz w:val="12"/>
          <w:szCs w:val="12"/>
          <w:i w:val="1"/>
          <w:iCs w:val="1"/>
          <w:color w:val="auto"/>
        </w:rPr>
        <w:t>Certain Relationships and</w:t>
      </w:r>
      <w:r>
        <w:rPr>
          <w:rFonts w:ascii="Arial" w:cs="Arial" w:eastAsia="Arial" w:hAnsi="Arial"/>
          <w:sz w:val="12"/>
          <w:szCs w:val="12"/>
          <w:color w:val="auto"/>
        </w:rPr>
        <w:t xml:space="preserve"> </w:t>
      </w:r>
      <w:r>
        <w:rPr>
          <w:rFonts w:ascii="Arial" w:cs="Arial" w:eastAsia="Arial" w:hAnsi="Arial"/>
          <w:sz w:val="12"/>
          <w:szCs w:val="12"/>
          <w:i w:val="1"/>
          <w:iCs w:val="1"/>
          <w:color w:val="auto"/>
        </w:rPr>
        <w:t>Related Transactions</w:t>
      </w:r>
      <w:r>
        <w:rPr>
          <w:rFonts w:ascii="Arial" w:cs="Arial" w:eastAsia="Arial" w:hAnsi="Arial"/>
          <w:sz w:val="12"/>
          <w:szCs w:val="12"/>
          <w:color w:val="auto"/>
        </w:rPr>
        <w:t>” and “</w:t>
      </w:r>
      <w:r>
        <w:rPr>
          <w:rFonts w:ascii="Arial" w:cs="Arial" w:eastAsia="Arial" w:hAnsi="Arial"/>
          <w:sz w:val="12"/>
          <w:szCs w:val="12"/>
          <w:i w:val="1"/>
          <w:iCs w:val="1"/>
          <w:color w:val="auto"/>
        </w:rPr>
        <w:t>Executive Compensation</w:t>
      </w:r>
      <w:r>
        <w:rPr>
          <w:rFonts w:ascii="Arial" w:cs="Arial" w:eastAsia="Arial" w:hAnsi="Arial"/>
          <w:sz w:val="12"/>
          <w:szCs w:val="12"/>
          <w:color w:val="auto"/>
        </w:rPr>
        <w: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290</w:t>
      </w:r>
    </w:p>
    <w:p>
      <w:pPr>
        <w:sectPr>
          <w:pgSz w:w="11900" w:h="16838" w:orient="portrait"/>
          <w:cols w:equalWidth="0" w:num="1">
            <w:col w:w="10159"/>
          </w:cols>
          <w:pgMar w:left="300" w:top="372" w:right="1440" w:bottom="1440" w:gutter="0" w:footer="0" w:header="0"/>
          <w:type w:val="continuous"/>
        </w:sectPr>
      </w:pPr>
    </w:p>
    <w:bookmarkStart w:id="298" w:name="page299"/>
    <w:bookmarkEnd w:id="2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DESCRIPTION OF SECURITIES</w:t>
      </w:r>
    </w:p>
    <w:p>
      <w:pPr>
        <w:spacing w:after="0" w:line="154"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i w:val="1"/>
          <w:iCs w:val="1"/>
          <w:color w:val="auto"/>
        </w:rPr>
        <w:t xml:space="preserve">The following summary of the material terms of our securities is not intended to be a complete summary of the rights and preferences of such securities, and is qualified by reference to our Charter, our Bylaws and the warrant-related documents described herein, which are exhibits to the registration statement of which this prospectus is a part. </w:t>
      </w:r>
      <w:r>
        <w:rPr>
          <w:rFonts w:ascii="Arial" w:cs="Arial" w:eastAsia="Arial" w:hAnsi="Arial"/>
          <w:sz w:val="11"/>
          <w:szCs w:val="11"/>
          <w:color w:val="auto"/>
        </w:rPr>
        <w:t>We urge to you read each of the Charter, the Bylaws and the warrant-related documents</w:t>
      </w:r>
      <w:r>
        <w:rPr>
          <w:rFonts w:ascii="Arial" w:cs="Arial" w:eastAsia="Arial" w:hAnsi="Arial"/>
          <w:sz w:val="11"/>
          <w:szCs w:val="11"/>
          <w:i w:val="1"/>
          <w:iCs w:val="1"/>
          <w:color w:val="auto"/>
        </w:rPr>
        <w:t xml:space="preserve"> </w:t>
      </w:r>
      <w:r>
        <w:rPr>
          <w:rFonts w:ascii="Arial" w:cs="Arial" w:eastAsia="Arial" w:hAnsi="Arial"/>
          <w:sz w:val="11"/>
          <w:szCs w:val="11"/>
          <w:color w:val="auto"/>
        </w:rPr>
        <w:t>described herein in their entirety for a complete description of the rights and preferences of our securities.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w:t>
      </w:r>
    </w:p>
    <w:p>
      <w:pPr>
        <w:spacing w:after="0" w:line="82"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are an exempted company incorporated under the laws of Bermuda. We are registered with the Registrar of Companies in Bermuda under registration number 48931. We were incorporated on 7 April 2014 under the name Valor Biotechnology Ltd. We changed our name to Roivant Sciences Ltd. on 5 November 2014. Our registered office is located at Clarendon House, 2 Church Street, Hamilton HM11, Bermuda.</w:t>
      </w:r>
    </w:p>
    <w:p>
      <w:pPr>
        <w:spacing w:after="0" w:line="105"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The objects of our business are unrestricted, and Roivant Sciences Ltd. has the capacity of a natural person. We can therefore undertake activities without restriction on our capacity. Prior to the consummation of the Business Combination, our shareholders will approve certain amendments to our bye-laws that will become effective upon the closing of this offering. The following description assumes that such amendments have become effective.</w:t>
      </w:r>
    </w:p>
    <w:p>
      <w:pPr>
        <w:spacing w:after="0" w:line="87"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There have been no public takeover offers by third parties for our shares nor any public takeover offers by us for the shares of another company that have occurred during the last or current financial years.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8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Immediately following the closing of the Business Combination and after giving effect to the subdivision of Common Shares, our authorized share capital will consist of 7,000,000,000 Common Shares, $0.000000341740141 par value per common share. As of September 30, 2021, we had 684,789,169 Common Shares issued and outstanding. All of the issued Common Shares prior to the closing of this offering are fully paid. Pursuant to our amended and restated bye-laws, subject to the requirements of Nasdaq, and to any resolution of the shareholders to the contrary, our board of directors is authorized to issue any of our authorized but unissued shares. There are no limitations on the right of non-Bermudians or non-residents of Bermuda to hold or vote our shares provided Common Shares remain listed on an appointed stock exchange, which includes Nasdaq.</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Common Shares</w:t>
      </w:r>
    </w:p>
    <w:p>
      <w:pPr>
        <w:spacing w:after="0" w:line="8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Holders of Common Shares have no pre-emptive, redemption, conversion or sinking fund rights. Holders of Common Shares are entitled to one vote per share on all matters submitted to a vote of holders of Common Shares. Unless a different majority is required by law or by our amended and restated bye-laws, resolutions to be approved by holders of Common Shares require approval by a simple majority of votes cast at a meeting at which a quorum is present.</w:t>
      </w:r>
    </w:p>
    <w:p>
      <w:pPr>
        <w:spacing w:after="0" w:line="124" w:lineRule="exact"/>
        <w:rPr>
          <w:sz w:val="20"/>
          <w:szCs w:val="20"/>
          <w:color w:val="auto"/>
        </w:rPr>
      </w:pPr>
    </w:p>
    <w:p>
      <w:pPr>
        <w:ind w:left="1980" w:right="859" w:firstLine="294"/>
        <w:spacing w:after="0" w:line="379" w:lineRule="auto"/>
        <w:rPr>
          <w:sz w:val="20"/>
          <w:szCs w:val="20"/>
          <w:color w:val="auto"/>
        </w:rPr>
      </w:pPr>
      <w:r>
        <w:rPr>
          <w:rFonts w:ascii="Arial" w:cs="Arial" w:eastAsia="Arial" w:hAnsi="Arial"/>
          <w:sz w:val="10"/>
          <w:szCs w:val="10"/>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preference shares.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Preference Shares</w:t>
      </w:r>
    </w:p>
    <w:p>
      <w:pPr>
        <w:spacing w:after="0" w:line="8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Pursuant to Bermuda law and our amended and restated bye-laws, our board of directors may, by resolution, establish one or more series of preference shares having such number of shares, designations, dividend rates,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291</w:t>
      </w:r>
    </w:p>
    <w:p>
      <w:pPr>
        <w:sectPr>
          <w:pgSz w:w="11900" w:h="16838" w:orient="portrait"/>
          <w:cols w:equalWidth="0" w:num="1">
            <w:col w:w="10159"/>
          </w:cols>
          <w:pgMar w:left="300" w:top="372" w:right="1440" w:bottom="1440" w:gutter="0" w:footer="0" w:header="0"/>
        </w:sectPr>
      </w:pPr>
    </w:p>
    <w:bookmarkStart w:id="299" w:name="page300"/>
    <w:bookmarkEnd w:id="2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relative voting rights, conversion or exchange rights, redemption rights, liquidation rights, rights to elect or appoint directors and other relative participation, optional or other special rights, qualifications, limitations or restrictions as may be fixed by the board of directors without any further shareholder approval. Such rights, preferences, powers and limitations, as may be established, could have the effect of discouraging an attempt to obtain control of our company.</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82"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Under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Variation of Rights</w:t>
      </w:r>
    </w:p>
    <w:p>
      <w:pPr>
        <w:spacing w:after="0" w:line="82"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If at any time we have more than one class of shares, the rights attaching to any class, unless otherwise provided for by the terms of issue of the relevant class, may be varied either: (1) with the consent in writing of the holders of 66 2/3% of the issued shares of that class; or (2) with the sanction of a resolution passed by a majority of the votes cast at a general meeting of the relevant class of shareholders at which a quorum consisting of at least one person holding or representing a majority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of Shares</w:t>
      </w:r>
    </w:p>
    <w:p>
      <w:pPr>
        <w:spacing w:after="0" w:line="8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or unless all applicable consents, authorizations and permissions of any governmental agency or body in Bermuda have been obtained. Subject to these restrictions, a holder of Common Shares may transfer the title to all or any of his or her Common Shares by completing an instrument of transfer in writing in such form as our board of directors may accept. The instrument of transfer must be signed by the transferor and transferee, although in the case of a fully paid share our board of directors may accept the instrument signed only by the transferor.</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Meetings of Shareholders</w:t>
      </w:r>
    </w:p>
    <w:p>
      <w:pPr>
        <w:spacing w:after="0" w:line="8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Under Bermuda law, a company is required to convene at least one general meeting of shareholders each calendar year, which we refer to as the annual general meeting. While Bermuda law permits the shareholders to waive the requirement to hold an annual general meeting by resolution (either for a specific year or a period of time or indefinitely), our amended and restated bye-laws provide that, notwithstanding, an annual general meeting shall be held in each year.</w:t>
      </w:r>
    </w:p>
    <w:p>
      <w:pPr>
        <w:spacing w:after="0" w:line="12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292</w:t>
      </w:r>
    </w:p>
    <w:p>
      <w:pPr>
        <w:sectPr>
          <w:pgSz w:w="11900" w:h="16838" w:orient="portrait"/>
          <w:cols w:equalWidth="0" w:num="1">
            <w:col w:w="10159"/>
          </w:cols>
          <w:pgMar w:left="300" w:top="372" w:right="1440" w:bottom="1440" w:gutter="0" w:footer="0" w:header="0"/>
        </w:sectPr>
      </w:pPr>
    </w:p>
    <w:bookmarkStart w:id="300" w:name="page301"/>
    <w:bookmarkEnd w:id="3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0" w:lineRule="auto"/>
        <w:rPr>
          <w:sz w:val="20"/>
          <w:szCs w:val="20"/>
          <w:color w:val="auto"/>
        </w:rPr>
      </w:pPr>
      <w:r>
        <w:rPr>
          <w:rFonts w:ascii="Arial" w:cs="Arial" w:eastAsia="Arial" w:hAnsi="Arial"/>
          <w:sz w:val="10"/>
          <w:szCs w:val="10"/>
          <w:color w:val="auto"/>
        </w:rPr>
        <w:t>notice to any person does not invalidate the proceedings at a meeting. Our amended and restated bye-laws provide that our principal executive officer or the chairperson of our board of directors or any two directors or any director and the secretary or our board of directors may convene an annual general meeting and our principal executive officer or the chairperson of our board of directors or our board of directors may convene a special general meeting. Under our amended and restated bye-laws, at least 14 days’ notice of an annual general meeting or 10 days’ notice of a special general meeting must be given to each shareholder entitled to vote at such meeting. This notice requirement is subject to the ability to hold such meetings on shorter notice if such notice is agreed: (1) in the case of an annual general meeting by all of the shareholders entitled to attend and vote at such meeting; or (2)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in person at the start of the meeting and representing in person or by proxy in excess of 50% of all issued and outstanding Common Shares.</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Access to Books and Records and Dissemination of Information</w:t>
      </w:r>
    </w:p>
    <w:p>
      <w:pPr>
        <w:spacing w:after="0" w:line="8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Election and Removal of Directors</w:t>
      </w:r>
    </w:p>
    <w:p>
      <w:pPr>
        <w:spacing w:after="0" w:line="82"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Our amended and restated bye-laws provide that our board of directors shall consist of not less than five (5) Directors and not more than such maximum number of Directors as the Board may from time to time determine, being initially fifteen (15) Directors. Upon the closing of this offering, our board of directors will consist of six directors. Our board of directors will be divided into three classes that are, as nearly as possible, of equal size. Each class of directors will be elected for a three-year term of office, but the terms will be staggered so that the term of only one class of directors expires at each annual general meeting. The initial terms of the Class I, Class II and Class III directors will expire in 2022, 2023 and 2024, respectively. At each succeeding annual general meeting, successors to the class of directors whose term expires at the annual general meeting will be elected for a three-year term.</w:t>
      </w:r>
    </w:p>
    <w:p>
      <w:pPr>
        <w:spacing w:after="0" w:line="13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293</w:t>
      </w:r>
    </w:p>
    <w:p>
      <w:pPr>
        <w:sectPr>
          <w:pgSz w:w="11900" w:h="16838" w:orient="portrait"/>
          <w:cols w:equalWidth="0" w:num="1">
            <w:col w:w="10159"/>
          </w:cols>
          <w:pgMar w:left="300" w:top="372" w:right="1440" w:bottom="1440" w:gutter="0" w:footer="0" w:header="0"/>
        </w:sectPr>
      </w:pPr>
    </w:p>
    <w:bookmarkStart w:id="301" w:name="page302"/>
    <w:bookmarkEnd w:id="3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p>
      <w:pPr>
        <w:ind w:left="1980" w:right="899" w:firstLine="294"/>
        <w:spacing w:after="0" w:line="297" w:lineRule="auto"/>
        <w:rPr>
          <w:sz w:val="20"/>
          <w:szCs w:val="20"/>
          <w:color w:val="auto"/>
        </w:rPr>
      </w:pPr>
      <w:r>
        <w:rPr>
          <w:rFonts w:ascii="Arial" w:cs="Arial" w:eastAsia="Arial" w:hAnsi="Arial"/>
          <w:sz w:val="10"/>
          <w:szCs w:val="10"/>
          <w:color w:val="auto"/>
        </w:rPr>
        <w:t>A director may be removed, only with cause, by the shareholders by the affirmative vote of at least 66</w:t>
      </w:r>
      <w:r>
        <w:rPr>
          <w:rFonts w:ascii="Arial" w:cs="Arial" w:eastAsia="Arial" w:hAnsi="Arial"/>
          <w:sz w:val="13"/>
          <w:szCs w:val="13"/>
          <w:color w:val="auto"/>
          <w:vertAlign w:val="superscript"/>
        </w:rPr>
        <w:t>2/3</w:t>
      </w:r>
      <w:r>
        <w:rPr>
          <w:rFonts w:ascii="Arial" w:cs="Arial" w:eastAsia="Arial" w:hAnsi="Arial"/>
          <w:sz w:val="10"/>
          <w:szCs w:val="10"/>
          <w:color w:val="auto"/>
        </w:rPr>
        <w:t>% of the issued and outstanding voting shares entitled to vote for the election of directors,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or her removal.</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Proceedings of Board of Directors</w:t>
      </w:r>
    </w:p>
    <w:p>
      <w:pPr>
        <w:spacing w:after="0" w:line="82" w:lineRule="exact"/>
        <w:rPr>
          <w:sz w:val="20"/>
          <w:szCs w:val="20"/>
          <w:color w:val="auto"/>
        </w:rPr>
      </w:pPr>
    </w:p>
    <w:p>
      <w:pPr>
        <w:jc w:val="both"/>
        <w:ind w:left="1980" w:right="1059" w:firstLine="294"/>
        <w:spacing w:after="0" w:line="298" w:lineRule="auto"/>
        <w:rPr>
          <w:sz w:val="20"/>
          <w:szCs w:val="20"/>
          <w:color w:val="auto"/>
        </w:rPr>
      </w:pPr>
      <w:r>
        <w:rPr>
          <w:rFonts w:ascii="Arial" w:cs="Arial" w:eastAsia="Arial" w:hAnsi="Arial"/>
          <w:sz w:val="11"/>
          <w:szCs w:val="11"/>
          <w:color w:val="auto"/>
        </w:rPr>
        <w:t>Our amended and restated bye-laws provide that our business is to be managed and conducted by our board of directors. Bermuda law permits individual and corporate directors and there is no requirement in our bye-laws or Bermuda law that directors hold any of our shares. There is also no requirement in our amended and restated bye-laws or Bermuda law that our directors must retire at a certain age.</w:t>
      </w:r>
    </w:p>
    <w:p>
      <w:pPr>
        <w:spacing w:after="0" w:line="10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A director who discloses a direct or indirect interest in any contract or arrangement with us as required by Bermuda law may be entitled to be counted in the quorum for such meeting and to vote in respect of any such contract or arrangement in which he or she is interested unless the chairman of the relevant meeting of the board of directors determines that such director is disqualified from voting.</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Indemnification of Directors and Officers</w:t>
      </w:r>
    </w:p>
    <w:p>
      <w:pPr>
        <w:spacing w:after="0" w:line="8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13"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of Memorandum of Association and Bye-laws</w:t>
      </w:r>
    </w:p>
    <w:p>
      <w:pPr>
        <w:spacing w:after="0" w:line="8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294</w:t>
      </w:r>
    </w:p>
    <w:p>
      <w:pPr>
        <w:sectPr>
          <w:pgSz w:w="11900" w:h="16838" w:orient="portrait"/>
          <w:cols w:equalWidth="0" w:num="1">
            <w:col w:w="10159"/>
          </w:cols>
          <w:pgMar w:left="300" w:top="372" w:right="1440" w:bottom="1440" w:gutter="0" w:footer="0" w:header="0"/>
        </w:sectPr>
      </w:pPr>
    </w:p>
    <w:bookmarkStart w:id="302" w:name="page303"/>
    <w:bookmarkEnd w:id="3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p>
      <w:pPr>
        <w:ind w:left="1980" w:right="919"/>
        <w:spacing w:after="0"/>
        <w:rPr>
          <w:sz w:val="20"/>
          <w:szCs w:val="20"/>
          <w:color w:val="auto"/>
        </w:rPr>
      </w:pPr>
      <w:r>
        <w:rPr>
          <w:rFonts w:ascii="Arial" w:cs="Arial" w:eastAsia="Arial" w:hAnsi="Arial"/>
          <w:sz w:val="12"/>
          <w:szCs w:val="12"/>
          <w:color w:val="auto"/>
        </w:rPr>
        <w:t>resolution of our board of directors and by a resolution of our shareholders holding at least 66</w:t>
      </w:r>
      <w:r>
        <w:rPr>
          <w:rFonts w:ascii="Arial" w:cs="Arial" w:eastAsia="Arial" w:hAnsi="Arial"/>
          <w:sz w:val="16"/>
          <w:szCs w:val="16"/>
          <w:color w:val="auto"/>
          <w:vertAlign w:val="superscript"/>
        </w:rPr>
        <w:t>2/3</w:t>
      </w:r>
      <w:r>
        <w:rPr>
          <w:rFonts w:ascii="Arial" w:cs="Arial" w:eastAsia="Arial" w:hAnsi="Arial"/>
          <w:sz w:val="12"/>
          <w:szCs w:val="12"/>
          <w:color w:val="auto"/>
        </w:rPr>
        <w:t>% of all votes cast on the resolution. The memorandum or association shall not be rescinded, altered or amended without a resolution of our board of directors and a resolution of our shareholders holding at least 66</w:t>
      </w:r>
      <w:r>
        <w:rPr>
          <w:rFonts w:ascii="Arial" w:cs="Arial" w:eastAsia="Arial" w:hAnsi="Arial"/>
          <w:sz w:val="16"/>
          <w:szCs w:val="16"/>
          <w:color w:val="auto"/>
          <w:vertAlign w:val="superscript"/>
        </w:rPr>
        <w:t>2/3</w:t>
      </w:r>
      <w:r>
        <w:rPr>
          <w:rFonts w:ascii="Arial" w:cs="Arial" w:eastAsia="Arial" w:hAnsi="Arial"/>
          <w:sz w:val="12"/>
          <w:szCs w:val="12"/>
          <w:color w:val="auto"/>
        </w:rPr>
        <w:t>% of all votes cast on the resolution.</w:t>
      </w:r>
    </w:p>
    <w:p>
      <w:pPr>
        <w:spacing w:after="0" w:line="7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Amalgamations and Mergers</w:t>
      </w:r>
    </w:p>
    <w:p>
      <w:pPr>
        <w:spacing w:after="0" w:line="82" w:lineRule="exact"/>
        <w:rPr>
          <w:sz w:val="20"/>
          <w:szCs w:val="20"/>
          <w:color w:val="auto"/>
        </w:rPr>
      </w:pPr>
    </w:p>
    <w:p>
      <w:pPr>
        <w:ind w:left="1980" w:right="879" w:firstLine="294"/>
        <w:spacing w:after="0" w:line="266" w:lineRule="auto"/>
        <w:rPr>
          <w:sz w:val="20"/>
          <w:szCs w:val="20"/>
          <w:color w:val="auto"/>
        </w:rPr>
      </w:pPr>
      <w:r>
        <w:rPr>
          <w:rFonts w:ascii="Arial" w:cs="Arial" w:eastAsia="Arial" w:hAnsi="Arial"/>
          <w:sz w:val="11"/>
          <w:szCs w:val="11"/>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a 66</w:t>
      </w:r>
      <w:r>
        <w:rPr>
          <w:rFonts w:ascii="Arial" w:cs="Arial" w:eastAsia="Arial" w:hAnsi="Arial"/>
          <w:sz w:val="15"/>
          <w:szCs w:val="15"/>
          <w:color w:val="auto"/>
          <w:vertAlign w:val="superscript"/>
        </w:rPr>
        <w:t>2/3</w:t>
      </w:r>
      <w:r>
        <w:rPr>
          <w:rFonts w:ascii="Arial" w:cs="Arial" w:eastAsia="Arial" w:hAnsi="Arial"/>
          <w:sz w:val="11"/>
          <w:szCs w:val="11"/>
          <w:color w:val="auto"/>
        </w:rPr>
        <w:t>% of shareholders voting at a meeting to approve the amalgamation or merger agreement shall be sufficient (other than in respect of an amalgamation or merger constituting a “business combination”), and the quorum for such meeting shall be two or more Persons present in person and representing in person or by proxy in excess of 50% of the total voting rights of all issued and outstanding shares of the Company.</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Combinations</w:t>
      </w:r>
    </w:p>
    <w:p>
      <w:pPr>
        <w:spacing w:after="0" w:line="82"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48" w:lineRule="exact"/>
        <w:rPr>
          <w:sz w:val="20"/>
          <w:szCs w:val="20"/>
          <w:color w:val="auto"/>
        </w:rPr>
      </w:pPr>
    </w:p>
    <w:p>
      <w:pPr>
        <w:ind w:left="2620" w:right="1099" w:hanging="288"/>
        <w:spacing w:after="0" w:line="323" w:lineRule="auto"/>
        <w:tabs>
          <w:tab w:leader="none" w:pos="2620" w:val="left"/>
        </w:tabs>
        <w:numPr>
          <w:ilvl w:val="0"/>
          <w:numId w:val="167"/>
        </w:numPr>
        <w:rPr>
          <w:rFonts w:ascii="Arial" w:cs="Arial" w:eastAsia="Arial" w:hAnsi="Arial"/>
          <w:sz w:val="11"/>
          <w:szCs w:val="11"/>
          <w:color w:val="auto"/>
        </w:rPr>
      </w:pPr>
      <w:r>
        <w:rPr>
          <w:rFonts w:ascii="Arial" w:cs="Arial" w:eastAsia="Arial" w:hAnsi="Arial"/>
          <w:sz w:val="11"/>
          <w:szCs w:val="11"/>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28" w:lineRule="exact"/>
        <w:rPr>
          <w:rFonts w:ascii="Arial" w:cs="Arial" w:eastAsia="Arial" w:hAnsi="Arial"/>
          <w:sz w:val="11"/>
          <w:szCs w:val="11"/>
          <w:color w:val="auto"/>
        </w:rPr>
      </w:pPr>
    </w:p>
    <w:p>
      <w:pPr>
        <w:ind w:left="2620" w:right="1179" w:hanging="288"/>
        <w:spacing w:after="0" w:line="323" w:lineRule="auto"/>
        <w:tabs>
          <w:tab w:leader="none" w:pos="2620" w:val="left"/>
        </w:tabs>
        <w:numPr>
          <w:ilvl w:val="0"/>
          <w:numId w:val="167"/>
        </w:numPr>
        <w:rPr>
          <w:rFonts w:ascii="Arial" w:cs="Arial" w:eastAsia="Arial" w:hAnsi="Arial"/>
          <w:sz w:val="11"/>
          <w:szCs w:val="11"/>
          <w:color w:val="auto"/>
        </w:rPr>
      </w:pPr>
      <w:r>
        <w:rPr>
          <w:rFonts w:ascii="Arial" w:cs="Arial" w:eastAsia="Arial" w:hAnsi="Arial"/>
          <w:sz w:val="11"/>
          <w:szCs w:val="11"/>
          <w:color w:val="auto"/>
        </w:rPr>
        <w:t>upon consummation of the transaction that resulted in the shareholder becoming an interested shareholder, the interested shareholder owned at least 85% of our issued and voting shares outstanding at the time the transaction commenced; or</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295</w:t>
      </w:r>
    </w:p>
    <w:p>
      <w:pPr>
        <w:sectPr>
          <w:pgSz w:w="11900" w:h="16838" w:orient="portrait"/>
          <w:cols w:equalWidth="0" w:num="1">
            <w:col w:w="10159"/>
          </w:cols>
          <w:pgMar w:left="300" w:top="372" w:right="1440" w:bottom="1440" w:gutter="0" w:footer="0" w:header="0"/>
        </w:sectPr>
      </w:pPr>
    </w:p>
    <w:bookmarkStart w:id="303" w:name="page304"/>
    <w:bookmarkEnd w:id="3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59" w:hanging="288"/>
        <w:spacing w:after="0" w:line="252" w:lineRule="auto"/>
        <w:tabs>
          <w:tab w:leader="none" w:pos="2620" w:val="left"/>
        </w:tabs>
        <w:numPr>
          <w:ilvl w:val="0"/>
          <w:numId w:val="168"/>
        </w:numPr>
        <w:rPr>
          <w:rFonts w:ascii="Arial" w:cs="Arial" w:eastAsia="Arial" w:hAnsi="Arial"/>
          <w:sz w:val="11"/>
          <w:szCs w:val="11"/>
          <w:color w:val="auto"/>
        </w:rPr>
      </w:pPr>
      <w:r>
        <w:rPr>
          <w:rFonts w:ascii="Arial" w:cs="Arial" w:eastAsia="Arial" w:hAnsi="Arial"/>
          <w:sz w:val="11"/>
          <w:szCs w:val="11"/>
          <w:color w:val="auto"/>
        </w:rPr>
        <w:t>after the date of the transaction that resulted in the shareholder becoming an interested shareholder, the business combination is approved by our board of directors and authorized at an annual or special meeting of shareholders by the affirmative vote of at least 66</w:t>
      </w:r>
      <w:r>
        <w:rPr>
          <w:rFonts w:ascii="Arial" w:cs="Arial" w:eastAsia="Arial" w:hAnsi="Arial"/>
          <w:sz w:val="15"/>
          <w:szCs w:val="15"/>
          <w:color w:val="auto"/>
          <w:vertAlign w:val="superscript"/>
        </w:rPr>
        <w:t>2/3</w:t>
      </w:r>
      <w:r>
        <w:rPr>
          <w:rFonts w:ascii="Arial" w:cs="Arial" w:eastAsia="Arial" w:hAnsi="Arial"/>
          <w:sz w:val="11"/>
          <w:szCs w:val="11"/>
          <w:color w:val="auto"/>
        </w:rPr>
        <w:t>% of our issued and outstanding voting shares that are not owned by the interested shareholder.</w:t>
      </w:r>
    </w:p>
    <w:p>
      <w:pPr>
        <w:spacing w:after="0" w:line="129"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Suits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28"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8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Capitalization of Profits and Reserves</w:t>
      </w:r>
    </w:p>
    <w:p>
      <w:pPr>
        <w:spacing w:after="0" w:line="82" w:lineRule="exact"/>
        <w:rPr>
          <w:sz w:val="20"/>
          <w:szCs w:val="20"/>
          <w:color w:val="auto"/>
        </w:rPr>
      </w:pPr>
    </w:p>
    <w:p>
      <w:pPr>
        <w:ind w:left="1980" w:right="1039" w:firstLine="294"/>
        <w:spacing w:after="0" w:line="278" w:lineRule="auto"/>
        <w:rPr>
          <w:sz w:val="20"/>
          <w:szCs w:val="20"/>
          <w:color w:val="auto"/>
        </w:rPr>
      </w:pPr>
      <w:r>
        <w:rPr>
          <w:rFonts w:ascii="Arial" w:cs="Arial" w:eastAsia="Arial" w:hAnsi="Arial"/>
          <w:sz w:val="11"/>
          <w:szCs w:val="11"/>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w:t>
      </w:r>
    </w:p>
    <w:p>
      <w:pPr>
        <w:spacing w:after="0" w:line="1" w:lineRule="exact"/>
        <w:rPr>
          <w:sz w:val="20"/>
          <w:szCs w:val="20"/>
          <w:color w:val="auto"/>
        </w:rPr>
      </w:pPr>
    </w:p>
    <w:p>
      <w:pPr>
        <w:jc w:val="both"/>
        <w:ind w:left="1980" w:right="1079" w:hanging="8"/>
        <w:spacing w:after="0" w:line="361" w:lineRule="auto"/>
        <w:tabs>
          <w:tab w:leader="none" w:pos="2150" w:val="left"/>
        </w:tabs>
        <w:numPr>
          <w:ilvl w:val="0"/>
          <w:numId w:val="169"/>
        </w:numPr>
        <w:rPr>
          <w:rFonts w:ascii="Arial" w:cs="Arial" w:eastAsia="Arial" w:hAnsi="Arial"/>
          <w:sz w:val="10"/>
          <w:szCs w:val="10"/>
          <w:color w:val="auto"/>
        </w:rPr>
      </w:pPr>
      <w:r>
        <w:rPr>
          <w:rFonts w:ascii="Arial" w:cs="Arial" w:eastAsia="Arial" w:hAnsi="Arial"/>
          <w:sz w:val="10"/>
          <w:szCs w:val="10"/>
          <w:color w:val="auto"/>
        </w:rPr>
        <w:t>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Untraced Shareholders</w:t>
      </w:r>
    </w:p>
    <w:p>
      <w:pPr>
        <w:spacing w:after="0" w:line="82"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296</w:t>
      </w:r>
    </w:p>
    <w:p>
      <w:pPr>
        <w:sectPr>
          <w:pgSz w:w="11900" w:h="16838" w:orient="portrait"/>
          <w:cols w:equalWidth="0" w:num="1">
            <w:col w:w="10159"/>
          </w:cols>
          <w:pgMar w:left="300" w:top="372" w:right="1440" w:bottom="1440" w:gutter="0" w:footer="0" w:header="0"/>
        </w:sectPr>
      </w:pPr>
    </w:p>
    <w:bookmarkStart w:id="304" w:name="page305"/>
    <w:bookmarkEnd w:id="3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Warrants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Public Warrants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Each whole Warrant entitles the registered holder to purchase one Common Share at a price of $11.50 per share, subject to adjustment as discussed below, at any time commencing October 30, 2021, provided in each case that Roivant has an effective registration statement under the Securities Act covering the Common Shares issuable upon exercise of the Warrants and a current prospectus relating to them is available (or Roivant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holder of Warrants may exercise its Warrants only for a whole number of Common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at 5:00 p.m., New York City time on September 30, 2026.</w:t>
      </w:r>
    </w:p>
    <w:p>
      <w:pPr>
        <w:spacing w:after="0" w:line="117"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Roivant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Roivant will not be obligated to issue a Common Share upon exercise of a Warrant unless the Common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Roivant be required to net cash settle any warrant. In the event that a registration statement is not effective for the exercised Warrants, the purchaser of a unit containing such Warrant will have paid the full purchase price for the unit solely for the share of Common Shares underlying such unit.</w:t>
      </w:r>
    </w:p>
    <w:p>
      <w:pPr>
        <w:spacing w:after="0" w:line="119"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As soon as practicable, but in no event later than twenty business days after the Closing, Roivant will use its commercially reasonable efforts to file with the SEC a registration statement for the registration, under the Securities Act, of the Common Shares issuable upon exercise of the Warrants. Roivant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issuance of the Common Shares issuable upon exercise of the Warrants is not effective by the 60th business day after the Closing, Warrant holders may, until such time as there is an effective registration statement and during any period when Roivant will have failed to maintain an effective registration statement, exercise Warrants on a “cashless basis” in accordance with Section 3(a)(9) of the Securities Act or another exemption. In addition, if Common Shares are at the time of any exercise of a Warrant not listed on a national securities exchange such that they satisfy the definition of a “covered security” under Section 18(b)(1) of the Securities Act, Roivant may, at its option, require holders of its public Warrants who exercise their Warrants to do so on a “cashless basis” in accordance with Section 3(a)(9) of the Securities Act and, in the event Roivant elects to do so, Roivant will not be required to file or maintain in effect a registration statement, but Roivant will use its best efforts to register or qualify the shares under applicable blue sky laws to the extent an exemption is not available. In such event, each holder would pay the exercise price by surrendering each such Warrant for that number of Common Shares equal to the lesser of (A) the quotient obtained by dividing (x) the product of the number of Common Shares underlying the Warrants, multiplied the excess of the “fair market value” less the exercise price of the Warrants by (y) the fair market value and (B) 0.361. The “fair market value” shall mean the volume weighted average price of Common Shares for the 10 trading days ending on the trading day prior to the date on which the notice of exercise is received by the warrant agent.</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297</w:t>
      </w:r>
    </w:p>
    <w:p>
      <w:pPr>
        <w:sectPr>
          <w:pgSz w:w="11900" w:h="16838" w:orient="portrait"/>
          <w:cols w:equalWidth="0" w:num="1">
            <w:col w:w="10159"/>
          </w:cols>
          <w:pgMar w:left="300" w:top="372" w:right="1440" w:bottom="1440" w:gutter="0" w:footer="0" w:header="0"/>
        </w:sectPr>
      </w:pPr>
    </w:p>
    <w:bookmarkStart w:id="305" w:name="page306"/>
    <w:bookmarkEnd w:id="3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Redemption of Warrants When the Price per Common Share Equals or Exceeds $18.00</w:t>
      </w:r>
    </w:p>
    <w:p>
      <w:pPr>
        <w:spacing w:after="0" w:line="78"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Once the Warrants become exercisable, Roivant may redeem the outstanding Warrants (except as described herein with respect to the private placement Warrants):</w:t>
      </w:r>
    </w:p>
    <w:p>
      <w:pPr>
        <w:spacing w:after="0" w:line="52" w:lineRule="exact"/>
        <w:rPr>
          <w:sz w:val="20"/>
          <w:szCs w:val="20"/>
          <w:color w:val="auto"/>
        </w:rPr>
      </w:pPr>
    </w:p>
    <w:p>
      <w:pPr>
        <w:ind w:left="2620" w:hanging="288"/>
        <w:spacing w:after="0"/>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at a price of $0.01 per warrant;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upon not less than 30 days’ prior written notice of redemption to each Warrant holder; and</w:t>
      </w:r>
    </w:p>
    <w:p>
      <w:pPr>
        <w:spacing w:after="0" w:line="87" w:lineRule="exact"/>
        <w:rPr>
          <w:rFonts w:ascii="Arial" w:cs="Arial" w:eastAsia="Arial" w:hAnsi="Arial"/>
          <w:sz w:val="12"/>
          <w:szCs w:val="12"/>
          <w:color w:val="auto"/>
        </w:rPr>
      </w:pPr>
    </w:p>
    <w:p>
      <w:pPr>
        <w:ind w:left="2620" w:right="939" w:hanging="288"/>
        <w:spacing w:after="0" w:line="259"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if, and only if, the last reported sale price of the Common Shares for any 20 trading days within a 30-trading day period ending three business days before Roivant sends to the notice of redemption to the Warrant holders (which Roivant refers to as the “Reference Value”) equals or exceeds $18.00 per share (as adjusted for share subdivisions, share capitalizations, dividends, reorganizations, recapitalizations and the like).</w:t>
      </w:r>
    </w:p>
    <w:p>
      <w:pPr>
        <w:spacing w:after="0" w:line="12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and when the Warrants become redeemable by us, Roivant may exercise its redemption right even if Roivant is unable to register or qualify the underlying securities for sale under all applicable state securities laws. However, Roivant will not redeem the Warrants unless an effective registration statement under the Securities Act covering the Common Shares issuable upon exercise of the Warrants is effective and a current prospectus relating to those Common Shares is available throughout the 30-day redemption period.</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Roivant established the last of the redemption criterion discussed above to prevent a redemption call unless there is at the time of the call a significant premium to the Warrant exercise price. If the foregoing conditions are satisfied and Roivant issues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Redemption of Warrants When the Price per Common Share Equals or Exceeds $10.00</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Once the Warrants become exercisable, Roivant may redeem the outstanding Warrants:</w:t>
      </w:r>
    </w:p>
    <w:p>
      <w:pPr>
        <w:spacing w:after="0" w:line="87" w:lineRule="exact"/>
        <w:rPr>
          <w:sz w:val="20"/>
          <w:szCs w:val="20"/>
          <w:color w:val="auto"/>
        </w:rPr>
      </w:pPr>
    </w:p>
    <w:p>
      <w:pPr>
        <w:ind w:left="2620" w:hanging="288"/>
        <w:spacing w:after="0"/>
        <w:tabs>
          <w:tab w:leader="none" w:pos="26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jc w:val="both"/>
        <w:ind w:left="2620" w:right="999" w:hanging="288"/>
        <w:spacing w:after="0" w:line="298" w:lineRule="auto"/>
        <w:tabs>
          <w:tab w:leader="none" w:pos="2620" w:val="left"/>
        </w:tabs>
        <w:numPr>
          <w:ilvl w:val="0"/>
          <w:numId w:val="171"/>
        </w:numPr>
        <w:rPr>
          <w:rFonts w:ascii="Arial" w:cs="Arial" w:eastAsia="Arial" w:hAnsi="Arial"/>
          <w:sz w:val="11"/>
          <w:szCs w:val="11"/>
          <w:color w:val="auto"/>
        </w:rPr>
      </w:pPr>
      <w:r>
        <w:rPr>
          <w:rFonts w:ascii="Arial" w:cs="Arial" w:eastAsia="Arial" w:hAnsi="Arial"/>
          <w:sz w:val="11"/>
          <w:szCs w:val="11"/>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Common Shares (as defined below);</w:t>
      </w:r>
    </w:p>
    <w:p>
      <w:pPr>
        <w:spacing w:after="0" w:line="41" w:lineRule="exact"/>
        <w:rPr>
          <w:rFonts w:ascii="Arial" w:cs="Arial" w:eastAsia="Arial" w:hAnsi="Arial"/>
          <w:sz w:val="11"/>
          <w:szCs w:val="11"/>
          <w:color w:val="auto"/>
        </w:rPr>
      </w:pPr>
    </w:p>
    <w:p>
      <w:pPr>
        <w:ind w:left="2620" w:right="1119" w:hanging="288"/>
        <w:spacing w:after="0" w:line="263" w:lineRule="auto"/>
        <w:tabs>
          <w:tab w:leader="none" w:pos="26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if, and only if, the Reference Value (as defined above under—”Redemption of Warrants When the Price per Common Share Equals or Exceeds $18.00”) equals or exceeds $10.00 per share (as adjusted for share subdivisions, share capitalizations, reorganizations, recapitalizations and the like); and</w:t>
      </w:r>
    </w:p>
    <w:p>
      <w:pPr>
        <w:spacing w:after="0" w:line="59" w:lineRule="exact"/>
        <w:rPr>
          <w:rFonts w:ascii="Arial" w:cs="Arial" w:eastAsia="Arial" w:hAnsi="Arial"/>
          <w:sz w:val="12"/>
          <w:szCs w:val="12"/>
          <w:color w:val="auto"/>
        </w:rPr>
      </w:pPr>
    </w:p>
    <w:p>
      <w:pPr>
        <w:ind w:left="2620" w:right="859" w:hanging="288"/>
        <w:spacing w:after="0" w:line="340" w:lineRule="auto"/>
        <w:tabs>
          <w:tab w:leader="none" w:pos="2620" w:val="left"/>
        </w:tabs>
        <w:numPr>
          <w:ilvl w:val="0"/>
          <w:numId w:val="171"/>
        </w:numPr>
        <w:rPr>
          <w:rFonts w:ascii="Arial" w:cs="Arial" w:eastAsia="Arial" w:hAnsi="Arial"/>
          <w:sz w:val="10"/>
          <w:szCs w:val="10"/>
          <w:color w:val="auto"/>
        </w:rPr>
      </w:pPr>
      <w:r>
        <w:rPr>
          <w:rFonts w:ascii="Arial" w:cs="Arial" w:eastAsia="Arial" w:hAnsi="Arial"/>
          <w:sz w:val="10"/>
          <w:szCs w:val="10"/>
          <w:color w:val="auto"/>
        </w:rPr>
        <w:t>if the Reference Value is less than $18.00 per share (as adjusted for share subdivisions, share capitalizations,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The numbers in the table below represent the number of Common Shares that a Warrant holder will receive upon exercise in connection with a redemption by Roivant pursuant to this redemption feature, based on the “fair market value” of Common Shares on the corresponding redemption date (assuming holders elect to exercise their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298</w:t>
      </w:r>
    </w:p>
    <w:p>
      <w:pPr>
        <w:sectPr>
          <w:pgSz w:w="11900" w:h="16838" w:orient="portrait"/>
          <w:cols w:equalWidth="0" w:num="1">
            <w:col w:w="10159"/>
          </w:cols>
          <w:pgMar w:left="300" w:top="372" w:right="1440" w:bottom="1440" w:gutter="0" w:footer="0" w:header="0"/>
        </w:sectPr>
      </w:pPr>
    </w:p>
    <w:bookmarkStart w:id="306" w:name="page307"/>
    <w:bookmarkEnd w:id="3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Warrants and such Warrants are not redeemed for $0.10 per warrant), determined based on volume-weighted average price of Common Shares as reported during the 10 trading days immediately following the date on which the notice of redemption is sent to the holders of Warrants, and the number of months that the corresponding redemption date precedes the expiration date of the Warrants, each as set forth in the table below. Roivant provides its Warrant holders with the final fair market value no later than one business day after the 10-trading day period described above ends.</w:t>
      </w:r>
    </w:p>
    <w:p>
      <w:pPr>
        <w:spacing w:after="0" w:line="111"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Pursuant to the warrant agreement, references above to Common Shares shall include a security other than Common Shares into which the Common Shares have been converted or exchanged for in the event Roivant is not the surviving company in an initial business combination. The numbers in the table below will not be adjusted when determining the number of Common Shares to be issued upon exercise of the Warrants if Roivant is not the surviving entity following an initial business combination.</w:t>
      </w:r>
    </w:p>
    <w:p>
      <w:pPr>
        <w:spacing w:after="0" w:line="124"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The share prices set forth in the column headings of the table below will be adjusted as of any date on which the number of shares issuable upon exercise of a Warrant is adjusted as set forth under the heading “—</w:t>
      </w:r>
      <w:r>
        <w:rPr>
          <w:rFonts w:ascii="Arial" w:cs="Arial" w:eastAsia="Arial" w:hAnsi="Arial"/>
          <w:sz w:val="12"/>
          <w:szCs w:val="12"/>
          <w:i w:val="1"/>
          <w:iCs w:val="1"/>
          <w:color w:val="auto"/>
        </w:rPr>
        <w:t>Anti-dilution Adjustments</w:t>
      </w:r>
      <w:r>
        <w:rPr>
          <w:rFonts w:ascii="Arial" w:cs="Arial" w:eastAsia="Arial" w:hAnsi="Arial"/>
          <w:sz w:val="12"/>
          <w:szCs w:val="12"/>
          <w:color w:val="auto"/>
        </w:rPr>
        <w:t>” below.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14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00" w:type="dxa"/>
            <w:vAlign w:val="bottom"/>
            <w:vMerge w:val="restart"/>
          </w:tcPr>
          <w:p>
            <w:pPr>
              <w:spacing w:after="0"/>
              <w:rPr>
                <w:sz w:val="20"/>
                <w:szCs w:val="20"/>
                <w:color w:val="auto"/>
              </w:rPr>
            </w:pPr>
            <w:r>
              <w:rPr>
                <w:rFonts w:ascii="Arial" w:cs="Arial" w:eastAsia="Arial" w:hAnsi="Arial"/>
                <w:sz w:val="10"/>
                <w:szCs w:val="10"/>
                <w:b w:val="1"/>
                <w:bCs w:val="1"/>
                <w:color w:val="auto"/>
              </w:rPr>
              <w:t>Redemption Date</w:t>
            </w:r>
          </w:p>
        </w:tc>
        <w:tc>
          <w:tcPr>
            <w:tcW w:w="20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0"/>
                <w:szCs w:val="10"/>
                <w:b w:val="1"/>
                <w:bCs w:val="1"/>
                <w:color w:val="auto"/>
                <w:w w:val="87"/>
              </w:rPr>
              <w:t>Fair Market Value of Common Shares</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40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400" w:type="dxa"/>
            <w:vAlign w:val="bottom"/>
            <w:tcBorders>
              <w:bottom w:val="single" w:sz="8" w:color="auto"/>
            </w:tcBorders>
          </w:tcPr>
          <w:p>
            <w:pPr>
              <w:spacing w:after="0" w:line="94" w:lineRule="exact"/>
              <w:rPr>
                <w:sz w:val="20"/>
                <w:szCs w:val="20"/>
                <w:color w:val="auto"/>
              </w:rPr>
            </w:pPr>
            <w:r>
              <w:rPr>
                <w:rFonts w:ascii="Arial" w:cs="Arial" w:eastAsia="Arial" w:hAnsi="Arial"/>
                <w:sz w:val="10"/>
                <w:szCs w:val="10"/>
                <w:b w:val="1"/>
                <w:bCs w:val="1"/>
                <w:color w:val="auto"/>
                <w:w w:val="87"/>
              </w:rPr>
              <w:t>(period to expiration of Warrants)</w:t>
            </w:r>
          </w:p>
        </w:tc>
        <w:tc>
          <w:tcPr>
            <w:tcW w:w="2380" w:type="dxa"/>
            <w:vAlign w:val="bottom"/>
            <w:gridSpan w:val="2"/>
          </w:tcPr>
          <w:p>
            <w:pPr>
              <w:jc w:val="right"/>
              <w:spacing w:after="0" w:line="94"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$10.00</w:t>
            </w:r>
          </w:p>
        </w:tc>
        <w:tc>
          <w:tcPr>
            <w:tcW w:w="100" w:type="dxa"/>
            <w:vAlign w:val="bottom"/>
          </w:tcPr>
          <w:p>
            <w:pPr>
              <w:spacing w:after="0"/>
              <w:rPr>
                <w:sz w:val="11"/>
                <w:szCs w:val="11"/>
                <w:color w:val="auto"/>
              </w:rPr>
            </w:pPr>
          </w:p>
        </w:tc>
        <w:tc>
          <w:tcPr>
            <w:tcW w:w="32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91"/>
              </w:rPr>
              <w:t>$11.00</w:t>
            </w:r>
          </w:p>
        </w:tc>
        <w:tc>
          <w:tcPr>
            <w:tcW w:w="120" w:type="dxa"/>
            <w:vAlign w:val="bottom"/>
          </w:tcPr>
          <w:p>
            <w:pPr>
              <w:spacing w:after="0"/>
              <w:rPr>
                <w:sz w:val="11"/>
                <w:szCs w:val="11"/>
                <w:color w:val="auto"/>
              </w:rPr>
            </w:pPr>
          </w:p>
        </w:tc>
        <w:tc>
          <w:tcPr>
            <w:tcW w:w="32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84"/>
              </w:rPr>
              <w:t>$12.00</w:t>
            </w:r>
          </w:p>
        </w:tc>
        <w:tc>
          <w:tcPr>
            <w:tcW w:w="100" w:type="dxa"/>
            <w:vAlign w:val="bottom"/>
          </w:tcPr>
          <w:p>
            <w:pPr>
              <w:spacing w:after="0"/>
              <w:rPr>
                <w:sz w:val="11"/>
                <w:szCs w:val="11"/>
                <w:color w:val="auto"/>
              </w:rPr>
            </w:pPr>
          </w:p>
        </w:tc>
        <w:tc>
          <w:tcPr>
            <w:tcW w:w="320" w:type="dxa"/>
            <w:vAlign w:val="bottom"/>
          </w:tcPr>
          <w:p>
            <w:pPr>
              <w:ind w:left="40"/>
              <w:spacing w:after="0" w:line="94" w:lineRule="exact"/>
              <w:rPr>
                <w:sz w:val="20"/>
                <w:szCs w:val="20"/>
                <w:color w:val="auto"/>
              </w:rPr>
            </w:pPr>
            <w:r>
              <w:rPr>
                <w:rFonts w:ascii="Arial" w:cs="Arial" w:eastAsia="Arial" w:hAnsi="Arial"/>
                <w:sz w:val="10"/>
                <w:szCs w:val="10"/>
                <w:b w:val="1"/>
                <w:bCs w:val="1"/>
                <w:color w:val="auto"/>
                <w:w w:val="84"/>
              </w:rPr>
              <w:t>$13.00</w:t>
            </w:r>
          </w:p>
        </w:tc>
        <w:tc>
          <w:tcPr>
            <w:tcW w:w="120" w:type="dxa"/>
            <w:vAlign w:val="bottom"/>
          </w:tcPr>
          <w:p>
            <w:pPr>
              <w:spacing w:after="0"/>
              <w:rPr>
                <w:sz w:val="11"/>
                <w:szCs w:val="11"/>
                <w:color w:val="auto"/>
              </w:rPr>
            </w:pPr>
          </w:p>
        </w:tc>
        <w:tc>
          <w:tcPr>
            <w:tcW w:w="32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84"/>
              </w:rPr>
              <w:t>$14.00</w:t>
            </w:r>
          </w:p>
        </w:tc>
        <w:tc>
          <w:tcPr>
            <w:tcW w:w="100" w:type="dxa"/>
            <w:vAlign w:val="bottom"/>
          </w:tcPr>
          <w:p>
            <w:pPr>
              <w:spacing w:after="0"/>
              <w:rPr>
                <w:sz w:val="11"/>
                <w:szCs w:val="11"/>
                <w:color w:val="auto"/>
              </w:rPr>
            </w:pPr>
          </w:p>
        </w:tc>
        <w:tc>
          <w:tcPr>
            <w:tcW w:w="34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91"/>
              </w:rPr>
              <w:t>$15.00</w:t>
            </w:r>
          </w:p>
        </w:tc>
        <w:tc>
          <w:tcPr>
            <w:tcW w:w="100" w:type="dxa"/>
            <w:vAlign w:val="bottom"/>
          </w:tcPr>
          <w:p>
            <w:pPr>
              <w:spacing w:after="0"/>
              <w:rPr>
                <w:sz w:val="11"/>
                <w:szCs w:val="11"/>
                <w:color w:val="auto"/>
              </w:rPr>
            </w:pPr>
          </w:p>
        </w:tc>
        <w:tc>
          <w:tcPr>
            <w:tcW w:w="34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91"/>
              </w:rPr>
              <w:t>$16.00</w:t>
            </w:r>
          </w:p>
        </w:tc>
        <w:tc>
          <w:tcPr>
            <w:tcW w:w="100" w:type="dxa"/>
            <w:vAlign w:val="bottom"/>
          </w:tcPr>
          <w:p>
            <w:pPr>
              <w:spacing w:after="0"/>
              <w:rPr>
                <w:sz w:val="11"/>
                <w:szCs w:val="11"/>
                <w:color w:val="auto"/>
              </w:rPr>
            </w:pPr>
          </w:p>
        </w:tc>
        <w:tc>
          <w:tcPr>
            <w:tcW w:w="360" w:type="dxa"/>
            <w:vAlign w:val="bottom"/>
          </w:tcPr>
          <w:p>
            <w:pPr>
              <w:jc w:val="right"/>
              <w:spacing w:after="0" w:line="94" w:lineRule="exact"/>
              <w:rPr>
                <w:sz w:val="20"/>
                <w:szCs w:val="20"/>
                <w:color w:val="auto"/>
              </w:rPr>
            </w:pPr>
            <w:r>
              <w:rPr>
                <w:rFonts w:ascii="Arial" w:cs="Arial" w:eastAsia="Arial" w:hAnsi="Arial"/>
                <w:sz w:val="10"/>
                <w:szCs w:val="10"/>
                <w:b w:val="1"/>
                <w:bCs w:val="1"/>
                <w:color w:val="auto"/>
                <w:w w:val="97"/>
              </w:rPr>
              <w:t>$17.00</w:t>
            </w:r>
          </w:p>
        </w:tc>
        <w:tc>
          <w:tcPr>
            <w:tcW w:w="100" w:type="dxa"/>
            <w:vAlign w:val="bottom"/>
          </w:tcPr>
          <w:p>
            <w:pPr>
              <w:spacing w:after="0"/>
              <w:rPr>
                <w:sz w:val="11"/>
                <w:szCs w:val="11"/>
                <w:color w:val="auto"/>
              </w:rPr>
            </w:pPr>
          </w:p>
        </w:tc>
        <w:tc>
          <w:tcPr>
            <w:tcW w:w="360" w:type="dxa"/>
            <w:vAlign w:val="bottom"/>
          </w:tcPr>
          <w:p>
            <w:pPr>
              <w:jc w:val="right"/>
              <w:spacing w:after="0" w:line="94" w:lineRule="exact"/>
              <w:rPr>
                <w:sz w:val="20"/>
                <w:szCs w:val="20"/>
                <w:color w:val="auto"/>
              </w:rPr>
            </w:pPr>
            <w:r>
              <w:rPr>
                <w:rFonts w:ascii="Arial" w:cs="Arial" w:eastAsia="Arial" w:hAnsi="Arial"/>
                <w:sz w:val="10"/>
                <w:szCs w:val="10"/>
                <w:color w:val="auto"/>
                <w:w w:val="88"/>
              </w:rPr>
              <w:t>³</w:t>
            </w:r>
            <w:r>
              <w:rPr>
                <w:rFonts w:ascii="Arial" w:cs="Arial" w:eastAsia="Arial" w:hAnsi="Arial"/>
                <w:sz w:val="10"/>
                <w:szCs w:val="10"/>
                <w:b w:val="1"/>
                <w:bCs w:val="1"/>
                <w:color w:val="auto"/>
                <w:w w:val="88"/>
              </w:rPr>
              <w:t>$18.00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2"/>
                <w:szCs w:val="12"/>
                <w:color w:val="auto"/>
              </w:rPr>
              <w:t>60 months</w:t>
            </w:r>
          </w:p>
        </w:tc>
        <w:tc>
          <w:tcPr>
            <w:tcW w:w="20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0.261</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w w:val="99"/>
              </w:rPr>
              <w:t>0.281</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w w:val="99"/>
              </w:rPr>
              <w:t>0.297</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ind w:left="60"/>
              <w:spacing w:after="0" w:line="131" w:lineRule="exact"/>
              <w:rPr>
                <w:sz w:val="20"/>
                <w:szCs w:val="20"/>
                <w:color w:val="auto"/>
              </w:rPr>
            </w:pPr>
            <w:r>
              <w:rPr>
                <w:rFonts w:ascii="Arial" w:cs="Arial" w:eastAsia="Arial" w:hAnsi="Arial"/>
                <w:sz w:val="12"/>
                <w:szCs w:val="12"/>
                <w:color w:val="auto"/>
                <w:w w:val="79"/>
              </w:rPr>
              <w:t>0.311</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center"/>
              <w:ind w:left="1"/>
              <w:spacing w:after="0" w:line="131" w:lineRule="exact"/>
              <w:rPr>
                <w:sz w:val="20"/>
                <w:szCs w:val="20"/>
                <w:color w:val="auto"/>
              </w:rPr>
            </w:pPr>
            <w:r>
              <w:rPr>
                <w:rFonts w:ascii="Arial" w:cs="Arial" w:eastAsia="Arial" w:hAnsi="Arial"/>
                <w:sz w:val="12"/>
                <w:szCs w:val="12"/>
                <w:color w:val="auto"/>
                <w:w w:val="86"/>
              </w:rPr>
              <w:t>0.324</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0.337</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0.348</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0.358</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0.361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57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0.257</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0.277</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0.294</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0.310</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0.324</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0.337</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0.348</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0.358</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54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0.252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0.272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0.291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0.307</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0.322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0.347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0.357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51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0.246</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0.268</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0.287</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0.304</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0.320</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0.333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0.346</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0.357</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48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0.241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0.263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0.283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0.301</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0.317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0.344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0.356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45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0.235</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0.258</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0.279</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0.298</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0.315</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0.330</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0.343</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0.356</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42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0.228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0.252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0.274</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0.294</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0.312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0.328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0.342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0.355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39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0.221</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0.246</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0.269</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0.290</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0.309</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0.325</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0.340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0.354</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36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0.213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0.239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0.263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0.285</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0.305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0.323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33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0.205</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0.232</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0.257</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0.280</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0.301</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0.320</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0.337</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0.352</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30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0.196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0.224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0.250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0.274</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0.297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0.316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0.351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27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0.185</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0.214</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0.242</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0.268</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0.291</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0.313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0.332</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0.350</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24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0.173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0.204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0.233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0.260</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0.285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0.308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0.329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0.348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21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0.161</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0.193</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0.223</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0.252</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0.279</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0.304</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0.326</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0.347</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18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0.146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0.179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0.211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0.242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0.271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0.298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0.322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0.345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15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0.130</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0.164</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0.197</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0.230</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0.262</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0.291</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0.317</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0.342</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12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0.111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0.146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0.181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0.216</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0.250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0.282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0.312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9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0.090</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0.125</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0.162</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0.199</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0.237</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0.272</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0.305</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0.336</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6 months</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0.065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0.099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0.137</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0.178</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0.219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0.259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0.296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20"/>
                <w:szCs w:val="20"/>
                <w:color w:val="auto"/>
              </w:rPr>
            </w:pPr>
            <w:r>
              <w:rPr>
                <w:rFonts w:ascii="Arial" w:cs="Arial" w:eastAsia="Arial" w:hAnsi="Arial"/>
                <w:sz w:val="12"/>
                <w:szCs w:val="12"/>
                <w:color w:val="auto"/>
              </w:rPr>
              <w:t>3 months</w:t>
            </w:r>
          </w:p>
        </w:tc>
        <w:tc>
          <w:tcPr>
            <w:tcW w:w="2480" w:type="dxa"/>
            <w:vAlign w:val="bottom"/>
            <w:gridSpan w:val="3"/>
          </w:tcPr>
          <w:p>
            <w:pPr>
              <w:jc w:val="right"/>
              <w:ind w:right="100"/>
              <w:spacing w:after="0"/>
              <w:rPr>
                <w:sz w:val="20"/>
                <w:szCs w:val="20"/>
                <w:color w:val="auto"/>
              </w:rPr>
            </w:pPr>
            <w:r>
              <w:rPr>
                <w:rFonts w:ascii="Arial" w:cs="Arial" w:eastAsia="Arial" w:hAnsi="Arial"/>
                <w:sz w:val="12"/>
                <w:szCs w:val="12"/>
                <w:color w:val="auto"/>
              </w:rPr>
              <w:t>0.034</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0.065</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0.104</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0.150</w:t>
            </w:r>
          </w:p>
        </w:tc>
        <w:tc>
          <w:tcPr>
            <w:tcW w:w="42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0.197</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0.243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0.286</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0.326</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0 months</w:t>
            </w:r>
          </w:p>
        </w:tc>
        <w:tc>
          <w:tcPr>
            <w:tcW w:w="20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0.042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0.115</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6"/>
              </w:rPr>
              <w:t>0.179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0.233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0.281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0.323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0.361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The exact fair market value and redemption date may not be set forth in the table above, in which case, if the fair market value is between two values in the table or the redemption date is between two redemption dates in the table, the number of Common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299</w:t>
      </w:r>
    </w:p>
    <w:p>
      <w:pPr>
        <w:sectPr>
          <w:pgSz w:w="11900" w:h="16838" w:orient="portrait"/>
          <w:cols w:equalWidth="0" w:num="1">
            <w:col w:w="10159"/>
          </w:cols>
          <w:pgMar w:left="300" w:top="372" w:right="1440" w:bottom="1440" w:gutter="0" w:footer="0" w:header="0"/>
        </w:sectPr>
      </w:pPr>
    </w:p>
    <w:bookmarkStart w:id="307" w:name="page308"/>
    <w:bookmarkEnd w:id="3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if the volume-weighted average price of Common Shares as reported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Common Shares for each whole warrant. For an example where the exact fair market value and redemption date are not as set forth in the table above, if the volume-weighted average price of Common Shares as reported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Common Shares for each whole warrant. In no event will the Warrants be exercisable in connection with this redemption feature for more than 0.361 Common Shares per Warrant (subject to adjustment).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This redemption feature differs from the typical warrant redemption features used in some other blank check offerings, which typically only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provide for a redemption of Warrants for cash (other than the Private Placement Warrants) when the trading price for the Common Shares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$18.00 per share for a specified period of time. This redemption feature is structured to allow for all of the outstanding Warrants to be redeemed when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Common Shares are trading at or above $10.00 per share, which may be at a time when the trading price of Common Shares is below the exercise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price of the Warrants. Roivant has established this redemption feature to provide Roivant with the flexibility to redeem the Warrants without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Warrants having to reach the $18.00 per share threshold set forth above under “—Redemption of Warrants When the Price per Common Share Equals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Exceeds $18.00.” Holders choosing to exercise their Warrants in connection with a redemption pursuant to this feature will, in effect, receive a number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shares for their Warrants based on an option pricing model with a fixed volatility input as of the date of this prospectus. This redemption right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provides Roivant with an additional mechanism by which to redeem all of the outstanding Warrants, and therefore have certainty as to our capital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structure as the Warrants would no longer be outstanding and would have been exercised or redeemed. Roivant will be required to pay the applicable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redemption price to Warrant holders if Roivant chooses to exercise this redemption right and it will allow Roivant to quickly proceed with a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-5080</wp:posOffset>
            </wp:positionV>
            <wp:extent cx="1905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of the Warrants if Roivant determines it is in our best interest to do so. As such, Roivant would redeem the Warrants in this manner when Roivant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believes it is in our best interest to update our capital structure to remove the Warrants and pay the redemption price to the Warrant holders.</w:t>
      </w:r>
    </w:p>
    <w:p>
      <w:pPr>
        <w:spacing w:after="0" w:line="153"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As stated above, Roivant can redeem the Warrants when the Common Shares are trading at a price starting at $10.00, which is below the exercise price of $11.50, because it provides certainty with respect to our capital structure and cash position while providing Warrant holders with the opportunity to exercise their Warrants on a cashless basis for the applicable number of shares. If Roivant chooses to redeem the Warrants when the Common Shares are trading at a price below the exercise price of the Warrants, this could result in the Warrant holders receiving fewer Common Shares than they would have received if they had chosen to wait to exercise their Warrants for Common Shares if and when such Common Shares were trading at a price higher than the exercise price of $11.50.</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No fractional Common Shares will be issued upon exercise. If, upon exercise, a holder would be entitled to receive a fractional interest in a share, Roivant will round down to the nearest whole number of the number of Common Shares to be issued to the holder. If, at the time of redemption, the Warrants are exercisable for a security other than the Common Shares pursuant to the warrant agreement (for instance, if Roivant is not the surviving company in an initial business combination), the Warrants may be exercised for such security. At such time as the Warrants become exercisable for a security other than the Common Shares, Roivant (or surviving company) will use its commercially reasonable efforts to register under the Securities Act the security issuable upon the exercise of the Warrants.</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i w:val="1"/>
          <w:iCs w:val="1"/>
          <w:color w:val="auto"/>
        </w:rPr>
        <w:t xml:space="preserve">Redemption Procedures. </w:t>
      </w:r>
      <w:r>
        <w:rPr>
          <w:rFonts w:ascii="Arial" w:cs="Arial" w:eastAsia="Arial" w:hAnsi="Arial"/>
          <w:sz w:val="12"/>
          <w:szCs w:val="12"/>
          <w:color w:val="auto"/>
        </w:rPr>
        <w:t>A holder of a Warrant may notify Roivant in writing in the event it elects to be subject to a requirement that such holder</w:t>
      </w:r>
      <w:r>
        <w:rPr>
          <w:rFonts w:ascii="Arial" w:cs="Arial" w:eastAsia="Arial" w:hAnsi="Arial"/>
          <w:sz w:val="12"/>
          <w:szCs w:val="12"/>
          <w:i w:val="1"/>
          <w:iCs w:val="1"/>
          <w:color w:val="auto"/>
        </w:rPr>
        <w:t xml:space="preserve"> </w:t>
      </w:r>
      <w:r>
        <w:rPr>
          <w:rFonts w:ascii="Arial" w:cs="Arial" w:eastAsia="Arial" w:hAnsi="Arial"/>
          <w:sz w:val="12"/>
          <w:szCs w:val="12"/>
          <w:color w:val="auto"/>
        </w:rPr>
        <w:t>will not have the right to exercise such warrant, to the extent that after giving effect to such exercise, such person (together with such person’s affiliates), to the warrant agent’s actual</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300</w:t>
      </w:r>
    </w:p>
    <w:p>
      <w:pPr>
        <w:sectPr>
          <w:pgSz w:w="11900" w:h="16838" w:orient="portrait"/>
          <w:cols w:equalWidth="0" w:num="1">
            <w:col w:w="10159"/>
          </w:cols>
          <w:pgMar w:left="300" w:top="372" w:right="1440" w:bottom="1440" w:gutter="0" w:footer="0" w:header="0"/>
        </w:sectPr>
      </w:pPr>
    </w:p>
    <w:bookmarkStart w:id="308" w:name="page309"/>
    <w:bookmarkEnd w:id="3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knowledge, would beneficially own in excess of 4.9% or 9.8% (as specified by the holder) of the Common Shares issued and outstanding immediately after giving effect to such exercise.</w:t>
      </w:r>
    </w:p>
    <w:p>
      <w:pPr>
        <w:spacing w:after="0" w:line="115" w:lineRule="exact"/>
        <w:rPr>
          <w:sz w:val="20"/>
          <w:szCs w:val="20"/>
          <w:color w:val="auto"/>
        </w:rPr>
      </w:pPr>
    </w:p>
    <w:p>
      <w:pPr>
        <w:ind w:left="1980" w:right="879" w:firstLine="294"/>
        <w:spacing w:after="0" w:line="304" w:lineRule="auto"/>
        <w:rPr>
          <w:sz w:val="20"/>
          <w:szCs w:val="20"/>
          <w:color w:val="auto"/>
        </w:rPr>
      </w:pPr>
      <w:r>
        <w:rPr>
          <w:rFonts w:ascii="Arial" w:cs="Arial" w:eastAsia="Arial" w:hAnsi="Arial"/>
          <w:sz w:val="10"/>
          <w:szCs w:val="10"/>
          <w:i w:val="1"/>
          <w:iCs w:val="1"/>
          <w:color w:val="auto"/>
        </w:rPr>
        <w:t xml:space="preserve">Anti-dilution Adjustments. </w:t>
      </w:r>
      <w:r>
        <w:rPr>
          <w:rFonts w:ascii="Arial" w:cs="Arial" w:eastAsia="Arial" w:hAnsi="Arial"/>
          <w:sz w:val="10"/>
          <w:szCs w:val="10"/>
          <w:color w:val="auto"/>
        </w:rPr>
        <w:t>If the number of outstanding Common Shares is increased by a share subdivisions, share capitalization or dividend</w:t>
      </w:r>
      <w:r>
        <w:rPr>
          <w:rFonts w:ascii="Arial" w:cs="Arial" w:eastAsia="Arial" w:hAnsi="Arial"/>
          <w:sz w:val="10"/>
          <w:szCs w:val="10"/>
          <w:i w:val="1"/>
          <w:iCs w:val="1"/>
          <w:color w:val="auto"/>
        </w:rPr>
        <w:t xml:space="preserve"> </w:t>
      </w:r>
      <w:r>
        <w:rPr>
          <w:rFonts w:ascii="Arial" w:cs="Arial" w:eastAsia="Arial" w:hAnsi="Arial"/>
          <w:sz w:val="10"/>
          <w:szCs w:val="10"/>
          <w:color w:val="auto"/>
        </w:rPr>
        <w:t>payable in Common Shares, or by a split-up of Common Shares or other similar event, then, on the effective date of such share subdivision, share capitalization, split-up or similar event, the number of Common Shares issuable on exercise of each Warrant will be increased in proportion to such increase in the outstanding shares of Common Shares. A rights offering to holders of Common Shares entitling holders to purchase Common Shares at a price less than the “historical fair market value” (as defined below) will be deemed a dividend of a number of Common Shares equal to the product of</w:t>
      </w:r>
    </w:p>
    <w:p>
      <w:pPr>
        <w:spacing w:after="0" w:line="1" w:lineRule="exact"/>
        <w:rPr>
          <w:sz w:val="20"/>
          <w:szCs w:val="20"/>
          <w:color w:val="auto"/>
        </w:rPr>
      </w:pPr>
    </w:p>
    <w:p>
      <w:pPr>
        <w:ind w:left="1980" w:right="859" w:hanging="8"/>
        <w:spacing w:after="0" w:line="278" w:lineRule="auto"/>
        <w:tabs>
          <w:tab w:leader="none" w:pos="2123"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number of Common Shares actually sold in such rights offering (or issuable under any other equity securities sold in such rights offering that are convertible into or exercisable for Common Shares) and (ii) one minus the quotient of (x) the price per Roivant Common Share paid in such rights offering and (y) the historical fair market value. For these purposes, (i) if the rights offering is for securities convertible into or exercisable for Common Shares, in determining the price payable for Common Shares, there will be taken into account any consideration received for such rights, as well as any additional amount payable upon exercise or conversion and (ii) ”historical fair market value” means the volume-weighted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18"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In addition, if we, at any time while the Warrants are outstanding and unexpired, pay a dividend or make a distribution in cash, securities or other assets to the holders of Common Shares on account of such Common Shares (or other securities into which the Warrants are convertible), other than</w:t>
      </w:r>
    </w:p>
    <w:p>
      <w:pPr>
        <w:spacing w:after="0" w:line="1" w:lineRule="exact"/>
        <w:rPr>
          <w:sz w:val="20"/>
          <w:szCs w:val="20"/>
          <w:color w:val="auto"/>
        </w:rPr>
      </w:pPr>
    </w:p>
    <w:p>
      <w:pPr>
        <w:ind w:left="1980" w:right="839" w:hanging="8"/>
        <w:spacing w:after="0" w:line="276" w:lineRule="auto"/>
        <w:tabs>
          <w:tab w:leader="none" w:pos="2143" w:val="left"/>
        </w:tabs>
        <w:numPr>
          <w:ilvl w:val="0"/>
          <w:numId w:val="173"/>
        </w:numPr>
        <w:rPr>
          <w:rFonts w:ascii="Arial" w:cs="Arial" w:eastAsia="Arial" w:hAnsi="Arial"/>
          <w:sz w:val="11"/>
          <w:szCs w:val="11"/>
          <w:color w:val="auto"/>
        </w:rPr>
      </w:pPr>
      <w:r>
        <w:rPr>
          <w:rFonts w:ascii="Arial" w:cs="Arial" w:eastAsia="Arial" w:hAnsi="Arial"/>
          <w:sz w:val="11"/>
          <w:szCs w:val="11"/>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(c) to satisfy the redemption rights of the holders of Common Shares in connection with a proposed initial business combination, (d) to satisfy the redemption rights of the holders of Common Shares in connection with a shareholder vote to amend our amended and restated bye-laws (A) to modify the substance or timing of our obligation to allow redemption in connection with an initial business combination or to redeem 100% of Common Shares if Roivant does not complete an initial business combination within 24 months from the closing of the initial public offering or (B) with respect to any other provision relating to shareholders’ rights or pre-initial business combination activity, or (e) in connection with the redemption of Common Shares upon our failure to complete an initial business combination, then the Warrant exercise price will be decreased, effective immediately after the effective date of such event, by the amount of cash and/or the fair market value of any securities or other assets paid on each Roivant Common Share in respect of such event.</w:t>
      </w:r>
    </w:p>
    <w:p>
      <w:pPr>
        <w:spacing w:after="0" w:line="118" w:lineRule="exact"/>
        <w:rPr>
          <w:sz w:val="20"/>
          <w:szCs w:val="20"/>
          <w:color w:val="auto"/>
        </w:rPr>
      </w:pPr>
    </w:p>
    <w:p>
      <w:pPr>
        <w:jc w:val="both"/>
        <w:ind w:left="1980" w:right="1099" w:firstLine="294"/>
        <w:spacing w:after="0" w:line="259" w:lineRule="auto"/>
        <w:rPr>
          <w:sz w:val="20"/>
          <w:szCs w:val="20"/>
          <w:color w:val="auto"/>
        </w:rPr>
      </w:pPr>
      <w:r>
        <w:rPr>
          <w:rFonts w:ascii="Arial" w:cs="Arial" w:eastAsia="Arial" w:hAnsi="Arial"/>
          <w:sz w:val="12"/>
          <w:szCs w:val="12"/>
          <w:color w:val="auto"/>
        </w:rPr>
        <w:t>If the number of outstanding Common Shares is decreased by a consolidation, combination, reverse share split or reclassification of Common Shares or other similar event, then, on the effective date of such consolidation, combination, reverse share split, reclassification or similar event, the number of Common Shares issuable on exercise of each Roivant Warrant will be decreased in proportion to such decrease in outstanding Common Shares.</w:t>
      </w:r>
    </w:p>
    <w:p>
      <w:pPr>
        <w:spacing w:after="0" w:line="124"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301</w:t>
      </w:r>
    </w:p>
    <w:p>
      <w:pPr>
        <w:sectPr>
          <w:pgSz w:w="11900" w:h="16838" w:orient="portrait"/>
          <w:cols w:equalWidth="0" w:num="1">
            <w:col w:w="10159"/>
          </w:cols>
          <w:pgMar w:left="300" w:top="372" w:right="1440" w:bottom="1440" w:gutter="0" w:footer="0" w:header="0"/>
        </w:sectPr>
      </w:pPr>
    </w:p>
    <w:bookmarkStart w:id="309" w:name="page310"/>
    <w:bookmarkEnd w:id="3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addition, if (x) Roivant issues additional Common Shares or equity-linked securities for capital raising purposes in connection with the closing</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an initial business combination at an issue price or effective issue price of less than $9.20 per Roivant Common Share (with such issue price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effective issue price to be determined in good faith by our board of directors and, in the case of any such issuance to our sponsor or its affiliates, without</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taking into account any shares held by the MAAC Sponsor or its affiliates, as applicable, prior to such issuance (the “Newly Issued Price”), (y)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aggregate gross proceeds from such issuances represent more than 60% of the total equity proceeds, and interest thereon, available for the funding of 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initial business combination on the date of the completion of an initial business combination (net of redemptions), and (z) the volume-weighted average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trading price of Common Shares during the 20 trading day period starting on the trading day prior to Closing (such price, the “Market Value”) is below</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$9.20 per share, the exercise price of the Warrants will be adjusted (to the nearest cent) to be equal to 115% of the higher of the Market Value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Newly Issued Price, and the $10.00 and $18.00 per share redemption trigger prices described adjacent to “Redemption of Warrants When the Price per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Roivant Common Share Equals or Exceeds $18.00” and “Redemption of Warrants When the Price per Roivant Common Share Equals or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$10.00” will be adjusted (to the nearest cent) to be equal to 100% and 180% of the higher of the Market Value and the Newly Issued Price, respectively.</w:t>
      </w:r>
    </w:p>
    <w:p>
      <w:pPr>
        <w:spacing w:after="0" w:line="16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In case of any reclassification or reorganization of the outstanding Common Shares (other than those described above or that solely affects the par value of such Common Shares), or in the case of any merger or consolidation of Roivant with or into another corporation (other than a consolidation or merger in which Roivant is the continuing corporation and that does not result in any reclassification or reorganization of our outstanding Common Shares), or in the case of any sale or conveyance to another corporation or entity of the assets or other property of Roivant as an entirety or substantially as an entirety in connection with which Roivant is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Roivant Warrant properly exercises the Roivant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21"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Warrants are issued in registered form under a warrant agreement between American Stock Transfer &amp; Trust Company, LLC as warrant agent, and us.</w:t>
      </w:r>
    </w:p>
    <w:p>
      <w:pPr>
        <w:spacing w:after="0" w:line="115"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Common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You should review a copy of the warrant agreement for a complete description of the terms and conditions applicable to the Warrants.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302</w:t>
      </w:r>
    </w:p>
    <w:p>
      <w:pPr>
        <w:sectPr>
          <w:pgSz w:w="11900" w:h="16838" w:orient="portrait"/>
          <w:cols w:equalWidth="0" w:num="1">
            <w:col w:w="10159"/>
          </w:cols>
          <w:pgMar w:left="300" w:top="372" w:right="1440" w:bottom="1440" w:gutter="0" w:footer="0" w:header="0"/>
        </w:sectPr>
      </w:pPr>
    </w:p>
    <w:bookmarkStart w:id="310" w:name="page311"/>
    <w:bookmarkEnd w:id="3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5" w:lineRule="auto"/>
        <w:rPr>
          <w:sz w:val="20"/>
          <w:szCs w:val="20"/>
          <w:color w:val="auto"/>
        </w:rPr>
      </w:pPr>
      <w:r>
        <w:rPr>
          <w:rFonts w:ascii="Arial" w:cs="Arial" w:eastAsia="Arial" w:hAnsi="Arial"/>
          <w:sz w:val="12"/>
          <w:szCs w:val="1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Shares and any voting rights until they exercise their Warrants and receive Common Shares. After the issuance of Common Shares upon exercise of the Warrants, each holder will be entitled to one vote for each share held of record on all matters to be voted on by shareholders.</w:t>
      </w:r>
    </w:p>
    <w:p>
      <w:pPr>
        <w:spacing w:after="0" w:line="128"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No fractional shares will be issued upon exercise of the Warrants. If, upon exercise of the Warrants, a holder would be entitled to receive a fractional interest in a share, Roivant will, upon exercise, round down to the nearest whole number, the number of Common Shares to be issued to the Warrant holder.</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Private Placement Warrants</w:t>
      </w:r>
    </w:p>
    <w:p>
      <w:pPr>
        <w:spacing w:after="0" w:line="78"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The Private Placement Warrants (including the Common Shares issuable upon exercise of the Private Placement Warrants) will not be transferable, assignable or salable until 30 days after the completion of an initial business combination (except pursuant to limited exceptions) and they will not be redeemable by Roivant so long as they are held by our sponsor or its permitted transferees (except as otherwise set forth herein). Our sponsor, or its permitted transferees, have the option to exercise the Private Placement Warrants on a cashless basis. Except as described below, the Private Placement Warrants have terms and provisions that are identical to those of the Warrants sold as part of the units in the initial public offering. If the Private Placement Warrants are held by holders other than our sponsor or its permitted transferees, the Private Placement Warrants will be redeemable by Roivant in all redemption scenarios and exercisable by the holders on the same basis as the Warrants included in the units being sold in the initial public offering.</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“historical fair market value” (defined below) over the exercise price of the Warrants by (y) the historical fair market value. For these purposes, the “historical fair market value” shall mean the average last reported sale price of the Common Shares for the 10 trading days ending on the third trading day prior to the date on which the notice of Warrant exercise is sent to the warrant agent. The reason that Roivant has agreed that these Warrants will be exercisable on a cashless basis so long as they are held by our sponsor and its permitted transferees is because it is not known at this time whether they will be affiliated with Roivant following a business combination. If they remain affiliated with us, their ability to sell our securities in the open market will be significantly limited. Roivant expects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Common Shares received upon such exercise freely in the open market in order to recoup the cost of such exercise, the insiders could be significantly restricted from selling such securities. As a result, Roivant believes that allowing the holders to exercise such Warrants on a cashless basis is appropriate.</w:t>
      </w:r>
    </w:p>
    <w:p>
      <w:pPr>
        <w:spacing w:after="0" w:line="18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Certain Provisions of Bermuda Law</w:t>
      </w:r>
    </w:p>
    <w:p>
      <w:pPr>
        <w:spacing w:after="0" w:line="82"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We have been designated by the Bermuda Monetary Authority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Common Shares.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303</w:t>
      </w:r>
    </w:p>
    <w:p>
      <w:pPr>
        <w:sectPr>
          <w:pgSz w:w="11900" w:h="16838" w:orient="portrait"/>
          <w:cols w:equalWidth="0" w:num="1">
            <w:col w:w="10159"/>
          </w:cols>
          <w:pgMar w:left="300" w:top="372" w:right="1440" w:bottom="1440" w:gutter="0" w:footer="0" w:header="0"/>
        </w:sectPr>
      </w:pPr>
    </w:p>
    <w:bookmarkStart w:id="311" w:name="page312"/>
    <w:bookmarkEnd w:id="3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19"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Exchange Controls</w:t>
      </w:r>
    </w:p>
    <w:p>
      <w:pPr>
        <w:spacing w:after="0" w:line="82"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The permission of the Bermuda Monetary Authority is required, pursuant to the provisions of the Exchange Control Act 1972 and related regulations, for all issuances and transfers of shares (which includes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Common Shares) are listed on an “Appointed Stock Exchange” (which would include Nasdaq).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Warrant Agent</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transfer agent for the Common Shares and warrant agent for the Public Warrants and Private Placement Warrants is American Stock</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Transfer &amp; Trust Company, LLC.</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 of Common Stock and Warrants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Common Shares and Public Warrants are listed on The Nasdaq Global Market under the symbols “ROIV” and “ROIVW,” respectively.</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304</w:t>
      </w:r>
    </w:p>
    <w:p>
      <w:pPr>
        <w:sectPr>
          <w:pgSz w:w="11900" w:h="16838" w:orient="portrait"/>
          <w:cols w:equalWidth="0" w:num="1">
            <w:col w:w="10159"/>
          </w:cols>
          <w:pgMar w:left="300" w:top="372" w:right="1440" w:bottom="1440" w:gutter="0" w:footer="0" w:header="0"/>
        </w:sectPr>
      </w:pPr>
    </w:p>
    <w:bookmarkStart w:id="312" w:name="page313"/>
    <w:bookmarkEnd w:id="3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PLAN OF DISTRIBUTION</w:t>
      </w:r>
    </w:p>
    <w:p>
      <w:pPr>
        <w:spacing w:after="0" w:line="15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We are registering the issuance by us of up to 30,750,261 shares of our Common Shares that may be issued upon exercise of Warrants to purchase Common Shares, including the Public Warrants and the Private Placement Warrants. We are also registering the resale by the Holders or their permitted transferees of (i) up to 595,134,445 Common Shares, consisting of (x) 22,000,000 Common Shares issued in the PIPE Financing, (y) up to 10,214,365 Common Shares issuable upon exercise of the Private Placement Warrants and (z) 562,920,080 issued and outstanding Common Shares held by certain Holders (including Common Shares underlying vested restricted share awards), and (ii) the Private Placement Warrants.</w:t>
      </w:r>
    </w:p>
    <w:p>
      <w:pPr>
        <w:spacing w:after="0" w:line="113"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We will not receive any of the proceeds from the sale of the securities by the Holders. We will receive proceeds from Warrants exercised in the event that such Warrants are exercised for cash. The aggregate proceeds to the Holders will be the purchase price of the securities less any discounts and commissions borne by the Holders.</w:t>
      </w:r>
    </w:p>
    <w:p>
      <w:pPr>
        <w:spacing w:after="0" w:line="12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The Common Shares beneficially owned by the Holders covered by this prospectus may be offered and sold from time to time by the Holders. The term “Holders” includes donees, pledgees, transferees or other successors in interest selling securities received after the date of this prospectus from a Holder as a gift, pledge, partnership distribution or other transfer. The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Holders may sell their Common Shares or Warrants by one or more of, or a combination of, the following methods:</w:t>
      </w:r>
    </w:p>
    <w:p>
      <w:pPr>
        <w:spacing w:after="0" w:line="50" w:lineRule="exact"/>
        <w:rPr>
          <w:sz w:val="20"/>
          <w:szCs w:val="20"/>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purchases by a broker-dealer as principal and resale by such broker-dealer for its own account pursuant to this prospectus;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ordinary brokerage transactions and transactions in which the broker solicits purchasers;</w:t>
      </w:r>
    </w:p>
    <w:p>
      <w:pPr>
        <w:spacing w:after="0" w:line="87" w:lineRule="exact"/>
        <w:rPr>
          <w:rFonts w:ascii="Arial" w:cs="Arial" w:eastAsia="Arial" w:hAnsi="Arial"/>
          <w:sz w:val="12"/>
          <w:szCs w:val="12"/>
          <w:color w:val="auto"/>
        </w:rPr>
      </w:pPr>
    </w:p>
    <w:p>
      <w:pPr>
        <w:ind w:left="2620" w:right="859" w:hanging="360"/>
        <w:spacing w:after="0" w:line="276" w:lineRule="auto"/>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block trades in which the broker-dealer so engaged will attempt to sell the shares as agent but may position and resell a portion of the block as principal to facilitate the transaction;</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an over-the-counter distribution in accordance with the rules of Nasdaq;</w:t>
      </w:r>
    </w:p>
    <w:p>
      <w:pPr>
        <w:spacing w:after="0" w:line="87" w:lineRule="exact"/>
        <w:rPr>
          <w:rFonts w:ascii="Arial" w:cs="Arial" w:eastAsia="Arial" w:hAnsi="Arial"/>
          <w:sz w:val="12"/>
          <w:szCs w:val="12"/>
          <w:color w:val="auto"/>
        </w:rPr>
      </w:pPr>
    </w:p>
    <w:p>
      <w:pPr>
        <w:ind w:left="2620" w:right="899" w:hanging="360"/>
        <w:spacing w:after="0" w:line="263" w:lineRule="auto"/>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9"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to or through underwriters or broker-dealers;</w:t>
      </w:r>
    </w:p>
    <w:p>
      <w:pPr>
        <w:spacing w:after="0" w:line="87" w:lineRule="exact"/>
        <w:rPr>
          <w:rFonts w:ascii="Arial" w:cs="Arial" w:eastAsia="Arial" w:hAnsi="Arial"/>
          <w:sz w:val="12"/>
          <w:szCs w:val="12"/>
          <w:color w:val="auto"/>
        </w:rPr>
      </w:pPr>
    </w:p>
    <w:p>
      <w:pPr>
        <w:ind w:left="2620" w:right="919" w:hanging="360"/>
        <w:spacing w:after="0" w:line="263" w:lineRule="auto"/>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59"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 privately negotiated transactions;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 options transactions;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through a combination of any of the above methods of sale; or</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any other method permitted pursuant to applicable law.</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addition, any shares that qualify for sale pursuant to Rule 144 may be sold under Rule 144 rather than pursuant to this prospectus.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305</w:t>
      </w:r>
    </w:p>
    <w:p>
      <w:pPr>
        <w:sectPr>
          <w:pgSz w:w="11900" w:h="16838" w:orient="portrait"/>
          <w:cols w:equalWidth="0" w:num="1">
            <w:col w:w="10159"/>
          </w:cols>
          <w:pgMar w:left="300" w:top="372" w:right="1440" w:bottom="1440" w:gutter="0" w:footer="0" w:header="0"/>
        </w:sectPr>
      </w:pPr>
    </w:p>
    <w:bookmarkStart w:id="313" w:name="page314"/>
    <w:bookmarkEnd w:id="3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To the extent required, this prospectus may be amended or supplemented from time to time to describe a specific plan of distribution. In connection with distributions of the shares or otherwise, the Holders may enter into hedging transactions with broker-dealers or other financial institutions. In connection with such transactions, broker-dealers or other financial institutions may engage in short sales of Common Shares in the course of hedging transactions, and broker-dealers or other financial institutions may engage in short sales of Common Shares in the course of hedging the positions they assume with Holders. The Holders may also sell Common Shares short and redeliver the shares to close out such short positions. The Holders may also enter into option or other transactions with broker-dealers or other financial institutions which require the delivery to such broker-dealer or other financial institution of shares offered by this prospectus, which shares such broker- dealer or other financial institution may resell pursuant to this prospectus (as supplemented or amended to reflect such transaction). The 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19" w:lineRule="exact"/>
        <w:rPr>
          <w:sz w:val="20"/>
          <w:szCs w:val="20"/>
          <w:color w:val="auto"/>
        </w:rPr>
      </w:pPr>
    </w:p>
    <w:p>
      <w:pPr>
        <w:ind w:left="1980" w:right="999" w:firstLine="294"/>
        <w:spacing w:after="0" w:line="279" w:lineRule="auto"/>
        <w:rPr>
          <w:sz w:val="20"/>
          <w:szCs w:val="20"/>
          <w:color w:val="auto"/>
        </w:rPr>
      </w:pPr>
      <w:r>
        <w:rPr>
          <w:rFonts w:ascii="Arial" w:cs="Arial" w:eastAsia="Arial" w:hAnsi="Arial"/>
          <w:sz w:val="11"/>
          <w:szCs w:val="11"/>
          <w:color w:val="auto"/>
        </w:rPr>
        <w:t>A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Holder or borrowed from any Holder or others to settle those sales or to close out any related open borrowings of stock, and may use securities received from any Holder in settlement of those derivatives to close out any related open borrowings of stock. The third party in such sale transactions will be an underwriter and will be identified in the applicable prospectus supplement (or a post-effective amendment). In addition, any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7"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In effecting sales, broker-dealers or agents engaged by the Holders may arrange for other broker-dealers to participate. Broker-dealers or agents may receive commissions, discounts or concessions from the Holders in amounts to be negotiated immediately prior to the sale.</w:t>
      </w:r>
    </w:p>
    <w:p>
      <w:pPr>
        <w:spacing w:after="0" w:line="9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offering the shares covered by this prospectus, the Holders and any broker-dealers who execute sales for the Holders may be deemed to be “underwriters” within the meaning of the Securities Act in connection with such sales. Any profits realized by the Holders and the compensation of any broker-dealer may be deemed to be underwriting discounts and commissions.</w:t>
      </w:r>
    </w:p>
    <w:p>
      <w:pPr>
        <w:spacing w:after="0" w:line="122"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0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We have advised the Holders that the anti-manipulation rules of Regulation M under the Exchange Act may apply to sales of shares in the market and to the activities of the Holders and their affiliates. In addition, we will make copies of this prospectus available to the Holders for the purpose of satisfying the prospectus delivery requirements of the Securities Act. The Holders may indemnify any broker-dealer that participates in transactions involving the sale of the shares against certain liabilities, including liabilities arising under the Securities Act.</w:t>
      </w:r>
    </w:p>
    <w:p>
      <w:pPr>
        <w:spacing w:after="0" w:line="111"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306</w:t>
      </w:r>
    </w:p>
    <w:p>
      <w:pPr>
        <w:sectPr>
          <w:pgSz w:w="11900" w:h="16838" w:orient="portrait"/>
          <w:cols w:equalWidth="0" w:num="1">
            <w:col w:w="10159"/>
          </w:cols>
          <w:pgMar w:left="300" w:top="372" w:right="1440" w:bottom="1440" w:gutter="0" w:footer="0" w:header="0"/>
        </w:sectPr>
      </w:pPr>
    </w:p>
    <w:bookmarkStart w:id="314" w:name="page315"/>
    <w:bookmarkEnd w:id="3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 holder of Warrants may exercise its Warrants in accordance with the Warrant Agreement on or before the expiration date set forth therein by surrendering, at the office of the warrant agent, American Stock Transfer &amp; Trust Company, LLC,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Holders party to a Subscription Agreement or party to the Registration Rights Agreement have agreed, and the other Holders may agree, to indemnify the underwriters, their officers, directors and each person who controls such underwriters (within the meaning of the Securities Act), against certain liabilities related to the sale of the securities, including liabilities under the Securities Act, in each case as further described in the Subscription Agreement or the Registration Rights Agreement, respectively.</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Restrictions to Sell</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Refer to below under “Securities Act Restrictions on Resale of Securities – Lock-up Provisions.”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307</w:t>
      </w:r>
    </w:p>
    <w:p>
      <w:pPr>
        <w:sectPr>
          <w:pgSz w:w="11900" w:h="16838" w:orient="portrait"/>
          <w:cols w:equalWidth="0" w:num="1">
            <w:col w:w="10159"/>
          </w:cols>
          <w:pgMar w:left="300" w:top="372" w:right="1440" w:bottom="1440" w:gutter="0" w:footer="0" w:header="0"/>
        </w:sectPr>
      </w:pPr>
    </w:p>
    <w:bookmarkStart w:id="315" w:name="page316"/>
    <w:bookmarkEnd w:id="3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840"/>
        <w:spacing w:after="0"/>
        <w:rPr>
          <w:sz w:val="20"/>
          <w:szCs w:val="20"/>
          <w:color w:val="auto"/>
        </w:rPr>
      </w:pPr>
      <w:r>
        <w:rPr>
          <w:rFonts w:ascii="Arial" w:cs="Arial" w:eastAsia="Arial" w:hAnsi="Arial"/>
          <w:sz w:val="12"/>
          <w:szCs w:val="12"/>
          <w:b w:val="1"/>
          <w:bCs w:val="1"/>
          <w:color w:val="auto"/>
        </w:rPr>
        <w:t>SECURITIES ACT RESTRICTIONS ON RESALE OF SECURITIES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82"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Pursuant to Rule 144 under the Securities Act (“Rule 144”), a person who has beneficially owned restricted Common Shares or our Warrants for at least six months would, subject to the restrictions noted in the section below, be entitled to sell their securities provided that (i) such person is not deemed to have been an affiliate of us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Persons who have beneficially owned restricted Common Shares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59" w:lineRule="exact"/>
        <w:rPr>
          <w:sz w:val="20"/>
          <w:szCs w:val="20"/>
          <w:color w:val="auto"/>
        </w:rPr>
      </w:pPr>
    </w:p>
    <w:p>
      <w:pPr>
        <w:ind w:left="2620" w:hanging="360"/>
        <w:spacing w:after="0"/>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1% of the total number of Common Shares or Warrants, as applicable, then outstanding; or</w:t>
      </w:r>
    </w:p>
    <w:p>
      <w:pPr>
        <w:spacing w:after="0" w:line="87" w:lineRule="exact"/>
        <w:rPr>
          <w:rFonts w:ascii="Arial" w:cs="Arial" w:eastAsia="Arial" w:hAnsi="Arial"/>
          <w:sz w:val="12"/>
          <w:szCs w:val="12"/>
          <w:color w:val="auto"/>
        </w:rPr>
      </w:pPr>
    </w:p>
    <w:p>
      <w:pPr>
        <w:ind w:left="2620" w:right="899" w:hanging="360"/>
        <w:spacing w:after="0" w:line="276" w:lineRule="auto"/>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the average weekly reported trading volume of such securities during the four calendar weeks preceding the filing of a notice on Form 144 with respect to the sale.</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Sales by our affiliates under Rule 144 are also limited by manner of sale provisions and notice requirements and to the availability of current public information about 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Provisions</w:t>
      </w:r>
    </w:p>
    <w:p>
      <w:pPr>
        <w:spacing w:after="0" w:line="8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bye-laws contain a lock-up provision (the “Bye-laws Lock-up”) which provides that, without the prior consent of the board of directors of Roivant and subject to certain customary exceptions, each holder will not, for a period ending 180 calendar days following the effective time of the Merger, lend, offer, pledge, sell, contract to sell, sell any option or contract to purchase, purchase any option or contract to sell, grant any option, right or warrant to purchase, or otherwise transfer or dispose of, directly or indirectly, any (a) Common Shares or (b) any securities convertible into or exercisable or exchangeable (directly or indirectly) for Common Shares (including Common Shares underlying incentive equity awards), in each case that are outstanding immediately prior to the Effective Time. For the avoidance of doubt, such restriction will not apply to any Common Shares or any securities convertible into or exercisable or exchangeable (directly or indirectly) for Common Shares held by or on behalf of any stockholder of MAAC (other than a stockholder of MAAC who is also a Roivant shareholder that did not purchase MAAC Shares directly from MAAC) prior to, or received in connection with, the closing of the transactions contemplated by the Business Combination Agreement, including Common Shares issued in connection with the PIPE Financing.</w:t>
      </w:r>
    </w:p>
    <w:p>
      <w:pPr>
        <w:spacing w:after="0" w:line="119"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addition, concurrently with the signing of the Business Combination Agreement, Roivant and certain Roivant equityholders entered into the Registration Rights Agreement. The Registration Rights Agreement contains a lock-up provision agreements (the “Registration Rights Agreement Lock-up” and, together with the Lock-up Agreements and the Bye-laws Lock-up, the “Lock-ups”), which provides that, without the prior consent of the board of directors of Roivant and subject to certain customary exceptions, each holder will not, for a period ending 180 calendar days following the closing of the Business Combination, lend,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(directly or indirectly) for Common Shares (including Common Shares underlying incentive equity awards), in each case that were outstanding immediately prior to the closing of the Business Combination.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308</w:t>
      </w:r>
    </w:p>
    <w:p>
      <w:pPr>
        <w:sectPr>
          <w:pgSz w:w="11900" w:h="16838" w:orient="portrait"/>
          <w:cols w:equalWidth="0" w:num="1">
            <w:col w:w="10159"/>
          </w:cols>
          <w:pgMar w:left="300" w:top="372" w:right="1440" w:bottom="1440" w:gutter="0" w:footer="0" w:header="0"/>
        </w:sectPr>
      </w:pPr>
    </w:p>
    <w:bookmarkStart w:id="316" w:name="page317"/>
    <w:bookmarkEnd w:id="3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82"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have filed a registration statement on Form S-8 under the Securities Act to register the Common Shares issued or issuable under our equity incentive plans. The Form S-8 registration statement become effective automatically upon filing on October 8, 2021. The initial registration statement on Form S-8 covered approximately 167,200,000 Common Shares. Because the offering of such shares is registered, they can be sold in the public market upon issuance, subject to the lock-up provisions described above and Rule 144 limitations applicable to affiliates and vesting restrictions.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309</w:t>
      </w:r>
    </w:p>
    <w:p>
      <w:pPr>
        <w:sectPr>
          <w:pgSz w:w="11900" w:h="16838" w:orient="portrait"/>
          <w:cols w:equalWidth="0" w:num="1">
            <w:col w:w="10159"/>
          </w:cols>
          <w:pgMar w:left="300" w:top="372" w:right="1440" w:bottom="1440" w:gutter="0" w:footer="0" w:header="0"/>
        </w:sectPr>
      </w:pPr>
    </w:p>
    <w:bookmarkStart w:id="317" w:name="page318"/>
    <w:bookmarkEnd w:id="3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MATERIAL UNITED STATES TAX</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CONSIDERATIONS</w:t>
      </w:r>
    </w:p>
    <w:p>
      <w:pPr>
        <w:spacing w:after="0" w:line="141"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following discussion is a description of material U.S. federal income tax considerations to U.S. Holders (as defined below) of the Common Shares and/or Warrants, as the case may be, as a consequence of the ownership and disposition of Common Shares or Warrants.</w:t>
      </w:r>
    </w:p>
    <w:p>
      <w:pPr>
        <w:spacing w:after="0" w:line="92" w:lineRule="exact"/>
        <w:rPr>
          <w:sz w:val="20"/>
          <w:szCs w:val="20"/>
          <w:color w:val="auto"/>
        </w:rPr>
      </w:pPr>
    </w:p>
    <w:p>
      <w:pPr>
        <w:ind w:left="1980" w:right="879" w:firstLine="294"/>
        <w:spacing w:after="0" w:line="326" w:lineRule="auto"/>
        <w:rPr>
          <w:sz w:val="20"/>
          <w:szCs w:val="20"/>
          <w:color w:val="auto"/>
        </w:rPr>
      </w:pPr>
      <w:r>
        <w:rPr>
          <w:rFonts w:ascii="Arial" w:cs="Arial" w:eastAsia="Arial" w:hAnsi="Arial"/>
          <w:sz w:val="10"/>
          <w:szCs w:val="10"/>
          <w:color w:val="auto"/>
        </w:rPr>
        <w:t>This discussion applies only to a U.S. Holder that holds the Common Shares and/or Warrants, as the case may be, as capital assets for U.S. federal income tax purposes (generally, property held for investment). In addition, it does not describe all of the U.S. federal income tax consequences that may be relevant in light of a U.S. Holder’s particular circumstances, including any alternative minimum tax considerations, the potential application of the provisions of the Code known as the Medicare contribution tax and tax considerations applicable to U.S. Holders subject to special rules, such as:</w:t>
      </w:r>
    </w:p>
    <w:p>
      <w:pPr>
        <w:spacing w:after="0" w:line="32" w:lineRule="exact"/>
        <w:rPr>
          <w:sz w:val="20"/>
          <w:szCs w:val="20"/>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certain financial institutions;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dealers or traders in securities that use mark-to-market method of tax accounting;</w:t>
      </w:r>
    </w:p>
    <w:p>
      <w:pPr>
        <w:spacing w:after="0" w:line="87" w:lineRule="exact"/>
        <w:rPr>
          <w:rFonts w:ascii="Arial" w:cs="Arial" w:eastAsia="Arial" w:hAnsi="Arial"/>
          <w:sz w:val="12"/>
          <w:szCs w:val="12"/>
          <w:color w:val="auto"/>
        </w:rPr>
      </w:pPr>
    </w:p>
    <w:p>
      <w:pPr>
        <w:ind w:left="2620" w:right="919" w:hanging="288"/>
        <w:spacing w:after="0" w:line="323" w:lineRule="auto"/>
        <w:tabs>
          <w:tab w:leader="none" w:pos="262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persons holding the Common Shares and/or Warrants, as the case may be, as part of a straddle, wash sale, hedging transaction, conversion transaction or integrated transaction or entering into a constructive sale with respect to such securities;</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whose functional currency for U.S. federal income tax purposes is not the U.S. dollar;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that are subject to the “applicable financial statement” rules under Section 451(b) of the Code;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entities classified as partnerships for U.S. federal income tax purposes and their partners;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tax-exempt entities, “individual retirement accounts” or “Roth IRAs”;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actually or constructively owning ten percent or more of the combined voting power or value of our Common Shares;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owning shares in connection with a trade or business conducted outside of the United States;</w:t>
      </w:r>
    </w:p>
    <w:p>
      <w:pPr>
        <w:spacing w:after="0" w:line="87"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who acquire Common Shares or Warrants, as the case may be, pursuant to an exercise of employee share options, in connection with employee share incentive plans or otherwise as compensation; and</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subject to special tax accounting rules as a result of any item of gross income with respect to Common Shares or Warrants, as the case may be, being taken into account in an applicable financial statement.</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If a partnership (or other entity that is classified as a partnership for U.S. federal income tax purposes) holds the Common Shares and/or Warrants, as the case may be, the tax treatment of a partner in such partnership will generally depend upon the status of the partner and the activities of the partnership. Partnerships holding the Common Shares and/or Warrants and partners in such partnerships should consult their tax advisor as to the particular tax consequences of the ownership and disposition of Common Shares or Warrants by the partnership.</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As used here in, a “U.S. Holder” is a person that for U.S. federal income tax purposes is a beneficial owner of Common Shares and/or Warrants, as the case may be, and:</w:t>
      </w:r>
    </w:p>
    <w:p>
      <w:pPr>
        <w:spacing w:after="0" w:line="52" w:lineRule="exact"/>
        <w:rPr>
          <w:sz w:val="20"/>
          <w:szCs w:val="20"/>
          <w:color w:val="auto"/>
        </w:rPr>
      </w:pPr>
    </w:p>
    <w:p>
      <w:pPr>
        <w:ind w:left="2620" w:hanging="288"/>
        <w:spacing w:after="0"/>
        <w:tabs>
          <w:tab w:leader="none" w:pos="26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a citizen or individual resident of the United States;</w:t>
      </w:r>
    </w:p>
    <w:p>
      <w:pPr>
        <w:spacing w:after="0" w:line="87"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a corporation, or other entity taxable as a corporation, created or organized in or under the laws of the United States, any state therein or the District of Columbia;</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taxation regardless of its source; or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310</w:t>
      </w:r>
    </w:p>
    <w:p>
      <w:pPr>
        <w:sectPr>
          <w:pgSz w:w="11900" w:h="16838" w:orient="portrait"/>
          <w:cols w:equalWidth="0" w:num="1">
            <w:col w:w="10159"/>
          </w:cols>
          <w:pgMar w:left="300" w:top="372" w:right="1440" w:bottom="1440" w:gutter="0" w:footer="0" w:header="0"/>
        </w:sectPr>
      </w:pPr>
    </w:p>
    <w:bookmarkStart w:id="318" w:name="page319"/>
    <w:bookmarkEnd w:id="3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59" w:hanging="288"/>
        <w:spacing w:after="0" w:line="263" w:lineRule="auto"/>
        <w:tabs>
          <w:tab w:leader="none" w:pos="262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2"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This discussion is based on the Code, administrative pronouncements, judicial decisions, and final, temporary and proposed Treasury regulations, all as of the date hereof, and of which is subject to change, possibly with retroactive effect. We have not sought, and will not seek, a ruling from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This discussion does not address any U.S. federal taxes (such as estate or gift taxes) other than income taxes, nor does it address any state, local or non-U.S. tax considerations. U.S. Holders should consult their tax advisors concerning the U.S. federal, state, local and foreign tax consequences of the ownership and disposition of Common Shares or Warrants in their particular circumstances.</w:t>
      </w:r>
    </w:p>
    <w:p>
      <w:pPr>
        <w:spacing w:after="0" w:line="98"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2"/>
          <w:szCs w:val="12"/>
          <w:b w:val="1"/>
          <w:bCs w:val="1"/>
          <w:color w:val="auto"/>
        </w:rPr>
        <w:t>EACH U.S. HOLDER SHOULD CONSULT ITS TAX ADVISOR WITH RESPECT TO THE PARTICULAR TAX CONSEQUENCES TO SUCH HOLDER OF THE OWNERSHIP AND DISPOSITION OF COMMON SHARES OR WARRANTS.</w:t>
      </w:r>
    </w:p>
    <w:p>
      <w:pPr>
        <w:spacing w:after="0" w:line="18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Dividends and Other Distributions on the Common Shares</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Subject to the PFIC rules discussed below under the heading “—Passive Foreign Investment Company Rules,” distributions (including, for the avoidance of doubt and for the purpose of the balance of this discussion, deemed distributions) on Common Shares will generally be taxable as a dividend for U.S. federal income tax purposes to the extent paid from Roivant’s current or accumulated earnings and profits, as determined under U.S. federal income tax principles. Distributions in excess of Roivant’s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“—Gain or Loss on Sale, Taxable Exchange or Other Taxable Disposition of Common Shares or Warrants.” The amount of any such distribution will include any amounts withheld by us (or another applicable withholding agent). Subject to applicable limitations, dividends paid to certain non-corporate U.S. Holders generally will be taxed at the lower applicable long-term capital gains rate if the Common Shares are readily tradable on an established securities market in the United States (such as the Nasdaq, where the Common Shares are currently listed) or Roivant is eligible for benefits under an applicable tax treaty with the United States, and, in each case, Roivant is not treated as a PFIC with respect to such U.S. Holder at the time the dividend was paid or in the preceding year and provided certain holding period requirements are met. The amount of any dividend distribution paid in foreign currency will be the U.S. dollar amount calculated by reference to the applicable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22"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Amounts taxable as dividends generally will be treated as income from sources outside the U.S. and will, depending on the circumstances of the U.S. Holder, be “passive” or “general” category income which, in either case, is treated separately from other types of income for purposes of computing the foreign tax credit allowable to such U.S. Holder. The rules governing foreign tax credits are complex and U.S. Holders are urged to consult their tax advisors regarding the creditability of foreign taxes in their particular circumstances. In lieu of claiming a foreign tax credit, a U.S. Holder may, in certain circumstances, deduct foreign taxes in computing their taxable income, subject to generally applicable limitations under U.S. law. Generally, an election to deduct foreign taxes instead of claiming foreign tax credits applies to all foreign taxes paid or accrued in the taxable year. Notwithstanding the foregoing, if (a) Roivant is 50% or more owned, by vote or value, by U.S. persons and (b) at least 10% of Roivant’s earnings and profits are attributable to sources within the U.S., then for foreign tax credit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311</w:t>
      </w:r>
    </w:p>
    <w:p>
      <w:pPr>
        <w:sectPr>
          <w:pgSz w:w="11900" w:h="16838" w:orient="portrait"/>
          <w:cols w:equalWidth="0" w:num="1">
            <w:col w:w="10159"/>
          </w:cols>
          <w:pgMar w:left="300" w:top="372" w:right="1440" w:bottom="1440" w:gutter="0" w:footer="0" w:header="0"/>
        </w:sectPr>
      </w:pPr>
    </w:p>
    <w:bookmarkStart w:id="319" w:name="page320"/>
    <w:bookmarkEnd w:id="3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purposes, a portion of Roivant’s dividends would be treated as derived from sources within the U.S. In such case, with respect to any dividend paid for any taxable year, the U.S.-source ratio of such dividends for foreign tax credit purposes would be equal to the portion of Roivant’s earnings and profits from sources within the U.S. for such taxable year, divided by the total amount of Roivant’s earnings and profits for such taxable year.</w:t>
      </w:r>
    </w:p>
    <w:p>
      <w:pPr>
        <w:spacing w:after="0" w:line="17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Gain or Loss on Sale, Taxable Exchange or Other Taxable Disposition of Common Shares or Warrants</w:t>
      </w:r>
    </w:p>
    <w:p>
      <w:pPr>
        <w:spacing w:after="0" w:line="78" w:lineRule="exact"/>
        <w:rPr>
          <w:sz w:val="20"/>
          <w:szCs w:val="20"/>
          <w:color w:val="auto"/>
        </w:rPr>
      </w:pPr>
    </w:p>
    <w:p>
      <w:pPr>
        <w:jc w:val="both"/>
        <w:ind w:left="1980" w:right="959" w:firstLine="294"/>
        <w:spacing w:after="0" w:line="309" w:lineRule="auto"/>
        <w:rPr>
          <w:sz w:val="20"/>
          <w:szCs w:val="20"/>
          <w:color w:val="auto"/>
        </w:rPr>
      </w:pPr>
      <w:r>
        <w:rPr>
          <w:rFonts w:ascii="Arial" w:cs="Arial" w:eastAsia="Arial" w:hAnsi="Arial"/>
          <w:sz w:val="10"/>
          <w:szCs w:val="10"/>
          <w:color w:val="auto"/>
        </w:rPr>
        <w:t>Subject to the PFIC rules discussed below under the heading “—Passive Foreign Investment Company Rules,” upon any sale, exchange or other taxable disposition of Common Shares or Warrants, a U.S. Holder generally will recognize gain or loss in an amount equal to the difference between</w:t>
      </w:r>
    </w:p>
    <w:p>
      <w:pPr>
        <w:spacing w:after="0" w:line="1" w:lineRule="exact"/>
        <w:rPr>
          <w:sz w:val="20"/>
          <w:szCs w:val="20"/>
          <w:color w:val="auto"/>
        </w:rPr>
      </w:pPr>
    </w:p>
    <w:p>
      <w:pPr>
        <w:ind w:left="2120" w:hanging="148"/>
        <w:spacing w:after="0"/>
        <w:tabs>
          <w:tab w:leader="none" w:pos="2120" w:val="left"/>
        </w:tabs>
        <w:numPr>
          <w:ilvl w:val="0"/>
          <w:numId w:val="179"/>
        </w:numPr>
        <w:rPr>
          <w:rFonts w:ascii="Arial" w:cs="Arial" w:eastAsia="Arial" w:hAnsi="Arial"/>
          <w:sz w:val="10"/>
          <w:szCs w:val="10"/>
          <w:color w:val="auto"/>
        </w:rPr>
      </w:pPr>
      <w:r>
        <w:rPr>
          <w:rFonts w:ascii="Arial" w:cs="Arial" w:eastAsia="Arial" w:hAnsi="Arial"/>
          <w:sz w:val="10"/>
          <w:szCs w:val="10"/>
          <w:color w:val="auto"/>
        </w:rPr>
        <w:t>the sum of (x) the amount of cash and (y) the fair market value of any other property, received in such sale, exchange or other taxable disposition and</w:t>
      </w:r>
    </w:p>
    <w:p>
      <w:pPr>
        <w:spacing w:after="0" w:line="29" w:lineRule="exact"/>
        <w:rPr>
          <w:rFonts w:ascii="Arial" w:cs="Arial" w:eastAsia="Arial" w:hAnsi="Arial"/>
          <w:sz w:val="10"/>
          <w:szCs w:val="10"/>
          <w:color w:val="auto"/>
        </w:rPr>
      </w:pPr>
    </w:p>
    <w:p>
      <w:pPr>
        <w:ind w:left="2140" w:hanging="168"/>
        <w:spacing w:after="0"/>
        <w:tabs>
          <w:tab w:leader="none" w:pos="2140" w:val="left"/>
        </w:tabs>
        <w:numPr>
          <w:ilvl w:val="0"/>
          <w:numId w:val="179"/>
        </w:numPr>
        <w:rPr>
          <w:rFonts w:ascii="Arial" w:cs="Arial" w:eastAsia="Arial" w:hAnsi="Arial"/>
          <w:sz w:val="11"/>
          <w:szCs w:val="11"/>
          <w:color w:val="auto"/>
        </w:rPr>
      </w:pPr>
      <w:r>
        <w:rPr>
          <w:rFonts w:ascii="Arial" w:cs="Arial" w:eastAsia="Arial" w:hAnsi="Arial"/>
          <w:sz w:val="11"/>
          <w:szCs w:val="11"/>
          <w:color w:val="auto"/>
        </w:rPr>
        <w:t>the U.S. Holder’s adjusted tax basis in such Common Shares or Warrants (determined as described above or below), in each case as calculated in</w:t>
      </w:r>
    </w:p>
    <w:p>
      <w:pPr>
        <w:spacing w:after="0" w:line="17" w:lineRule="exact"/>
        <w:rPr>
          <w:rFonts w:ascii="Arial" w:cs="Arial" w:eastAsia="Arial" w:hAnsi="Arial"/>
          <w:sz w:val="11"/>
          <w:szCs w:val="11"/>
          <w:color w:val="auto"/>
        </w:rPr>
      </w:pPr>
    </w:p>
    <w:p>
      <w:pPr>
        <w:ind w:left="1980" w:right="879"/>
        <w:spacing w:after="0" w:line="255" w:lineRule="auto"/>
        <w:rPr>
          <w:rFonts w:ascii="Arial" w:cs="Arial" w:eastAsia="Arial" w:hAnsi="Arial"/>
          <w:sz w:val="11"/>
          <w:szCs w:val="11"/>
          <w:color w:val="auto"/>
        </w:rPr>
      </w:pPr>
      <w:r>
        <w:rPr>
          <w:rFonts w:ascii="Arial" w:cs="Arial" w:eastAsia="Arial" w:hAnsi="Arial"/>
          <w:sz w:val="12"/>
          <w:szCs w:val="12"/>
          <w:color w:val="auto"/>
        </w:rPr>
        <w:t>U.S. dollars. Any such gain or loss generally will be capital gain or loss and will be long-term capital gain or loss if the U.S. Holder’s holding period for such Common Shares or Warrants exceeds one year. Long-term capital gain realized by a non-corporate U.S. Holder generally will be taxable at a reduced rate. The deductibility of capital losses is subject to limitations.</w:t>
      </w:r>
    </w:p>
    <w:p>
      <w:pPr>
        <w:spacing w:after="0" w:line="127"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Any gain or loss recognized on the sale, exchange or other taxable disposition of Common Shares or Warrants generally will be U.S.-source income or loss for purposes of computing the foreign tax credit allowable to a U.S. Holder. Consequently, a U.S. Holder may not be able to claim a credit for any non-U.S. tax imposed upon a disposition of Common Shares or Warrants unless such credit can be applied (subject to applicable limitations) against tax due on other income treated as derived from foreign sources. Prospective U.S. Holders should consult their tax advisors as to the foreign tax credit implications of such sale, exchange or other taxable disposition of Common Shares or Warrants.</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Exercise, Lapse or Redemption of Warrants</w:t>
      </w:r>
    </w:p>
    <w:p>
      <w:pPr>
        <w:spacing w:after="0" w:line="7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Subject to the PFIC rules discussed below and except as discussed below with respect to the cashless exercise of a Warrant, a U.S. Holder generally will not recognize taxable gain or loss on the exercise of a Warrant. The U.S. Holder’s tax basis in the Common Share received upon exercise of a Warrant generally will be an amount equal to the sum of the amount the U.S. Holder paid for the Warrant and the exercise price of such Warrant. It is unclear whether the U.S. Holder’s holding period for the Common Share received upon exercise of the Warrant will begin on the date following the date of exercise or on the date of exercise of the Warrant; in either case, the holding period will not include the period during which the U.S. Holder held the Warrant. If a Warrant is allowed to lapse unexercised, a U.S. Holder generally will recognize a capital loss equal to such U.S. Holder’s tax basis in the Warrant.</w:t>
      </w:r>
    </w:p>
    <w:p>
      <w:pPr>
        <w:spacing w:after="0" w:line="13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The tax consequences of a cashless exercise of a Warrant are not clear under current tax law. Subject to the PFIC rules discussed below, a cashless exercise may be tax-free, either because the exercise is not a realization event or because the exercise is treated as a recapitalization for U.S. federal income tax purposes. In either tax-free situation, a U.S. Holder’s basis in the Common Shares received generally should equal the U.S. Holder’s basis in the Warrants exercised therefor. If the cashless exercise were treated as not being a realization event (and not a recapitalization), it is unclear whether a U.S. Holder’s holding period in the Common Shares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Shares would include the holding period of the Warrants exercised therefor.</w:t>
      </w:r>
    </w:p>
    <w:p>
      <w:pPr>
        <w:spacing w:after="0" w:line="128"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It is also possible that a cashless exercise could be treated in part as a taxable exchange in which gain or loss would be recognized. In such event, a U.S. Holder could be deemed to have surrendered a number of Warrants with an aggregate fair market value equal to the exercise price for the total number of Warrants deemed exercised. Subject to the PFIC rules discussed below, the U.S. Holder would recognize capital gain or loss in an</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312</w:t>
      </w:r>
    </w:p>
    <w:p>
      <w:pPr>
        <w:sectPr>
          <w:pgSz w:w="11900" w:h="16838" w:orient="portrait"/>
          <w:cols w:equalWidth="0" w:num="1">
            <w:col w:w="10159"/>
          </w:cols>
          <w:pgMar w:left="300" w:top="372" w:right="1440" w:bottom="1440" w:gutter="0" w:footer="0" w:header="0"/>
        </w:sectPr>
      </w:pPr>
    </w:p>
    <w:bookmarkStart w:id="320" w:name="page321"/>
    <w:bookmarkEnd w:id="3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amount equal to the difference between the total exercise price for the total number of Warrants to be exercised and the U.S. Holder’s adjusted tax basis in the Warrants deemed surrendered. In this case, a U.S. Holder’s tax basis in the Common Shares received would equal the sum of the U.S. Holder’s tax basis in the Warrants exercised and the exercise price of such Warrants. It is unclear whether a U.S. Holder’s holding period for Common Shares would commence on the date following the date of exercise or on the date of exercise of the Warrants; in either case, the holding period would not include the period during which the U.S. Holder held the Warrants.</w:t>
      </w:r>
    </w:p>
    <w:p>
      <w:pPr>
        <w:spacing w:after="0" w:line="128"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Due to the absence of authority on the U.S. federal income tax treatment of a cashless exercise, including when a U.S. Holder’s holding period would commence with respect to the Common Shares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2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Subject to the PFIC rules discussed below, if we redeem Warrants for cash pursuant to the redemption provisions described in the section entitled “Description of Securities—Warrants—Redemption of Warrants When the Price per Common Share Equals or Exceeds $18.00” or the redemption provisions described in the section entitled “Description of Securities—Warrants—Redemption of Warrants When the Price per Common Share Equals or Exceeds $10.00” or if we purchase Warrants in an open market transaction, such redemption or purchase generally will be treated as a taxable disposition to the U.S. Holder, taxed as described above under “—Gain or Loss on Sale, Taxable Exchange or Other Taxable Disposition of Common Shares or Warrants.”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The tax consequences of a cashless exercise of a Warrant occurring after our giving notice of an intention to redeem the Warrant for $0.01 as described in the section entitled “Description of Securities—Warrants—Redemption of Warrants When the Price per Common Share Equals or Exceeds $18.00” or for $0.10 as described in the section of this prospectus entitled “Description of Securities—Warrants—Redemption of Warrants When the Price per Common Share Equals or Exceeds $10.00” are unclear under current law. Such cashless exercise may be treated either as if we redeemed such Warrant for Common Shares or as an exercise of the Warrant. If the cashless exercise of a Warrant for Common Shares is treated as a redemption, then such redemption generally should be treated as a tax-deferred recapitalization for U.S. federal income tax purposes, in which case a U.S. Holder should not recognize any gain or loss on such redemption, and accordingly, a U.S. Holder’s basis in the Common Shares received should equal the U.S. Holder’s basis in the Warrant and the holding period of the Common Share should include the holding period of the Warrant. If the cashless exercise of a Warrant is treated as such, the tax consequences generally should be as described under the heading “—Exercise, Lapse or Redemption of Warrants.” Due to the lack of clarity under current law regarding the treatment of a cashless exercise of a Warrant after our giving notice of an intention to redeem the Warrant for $0.01 or $0.10,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19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Possible Constructive Distributions</w:t>
      </w:r>
    </w:p>
    <w:p>
      <w:pPr>
        <w:spacing w:after="0" w:line="78"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terms of each Warrant provide for an adjustment to the number of Common Shares for which the Warrant may be exercised or to the exercise price of the Warrant in certain events, as discussed in the section entitled “Description of Securities—Warrants—Anti-Dilution Adjustments.” An adjustment which has the effect of preventing dilution generally is not taxable. The U.S. Holders of the Warrants would, however, be treated as receiving a constructive distribution from us if, for example, the adjustment to the number of such Common Shares received upon exercise of the Warrants or to the exercise price of the Warrants increases the proportionate interest of the U.S. Holder of Warrants in our assets or earnings and profits (e.g., through an increase in the number of Common Shares that would be obtained upon exercise or through a decrease in the exercise price of a Warrant) as a result of a distribution (or a transaction treated as a distribution) of cash or other property, such as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313</w:t>
      </w:r>
    </w:p>
    <w:p>
      <w:pPr>
        <w:sectPr>
          <w:pgSz w:w="11900" w:h="16838" w:orient="portrait"/>
          <w:cols w:equalWidth="0" w:num="1">
            <w:col w:w="10159"/>
          </w:cols>
          <w:pgMar w:left="300" w:top="372" w:right="1440" w:bottom="1440" w:gutter="0" w:footer="0" w:header="0"/>
        </w:sectPr>
      </w:pPr>
    </w:p>
    <w:bookmarkStart w:id="321" w:name="page322"/>
    <w:bookmarkEnd w:id="3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320" w:lineRule="auto"/>
        <w:rPr>
          <w:sz w:val="20"/>
          <w:szCs w:val="20"/>
          <w:color w:val="auto"/>
        </w:rPr>
      </w:pPr>
      <w:r>
        <w:rPr>
          <w:rFonts w:ascii="Arial" w:cs="Arial" w:eastAsia="Arial" w:hAnsi="Arial"/>
          <w:sz w:val="10"/>
          <w:szCs w:val="10"/>
          <w:color w:val="auto"/>
        </w:rPr>
        <w:t>other securities, to the holders of Common Shares, which is taxable to the holders of such shares as a distribution as described under “—Dividends and Other Distributions on the Common Shares.” Such constructive distribution would be subject to tax as described under that section in the same manner as if the U.S. Holders of the Warrants received a cash distribution from us equal to the fair market value of such increased interest. For certain information reporting purposes, we are required to determine the date and amount of such constructive distributions. Proposed Treasury regulations, on which we may rely prior to the issuance of final regulations, specify how the date and amount of constructive distributions are determined.</w:t>
      </w:r>
    </w:p>
    <w:p>
      <w:pPr>
        <w:spacing w:after="0" w:line="16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Passive Foreign Investment Company Rules</w:t>
      </w:r>
    </w:p>
    <w:p>
      <w:pPr>
        <w:spacing w:after="0" w:line="78"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treatment of U.S. Holders of Common Shares or Warrants could be materially different from that described above if Roivant is treated as a PFIC for U.S. federal income tax purposes</w:t>
      </w:r>
      <w:r>
        <w:rPr>
          <w:rFonts w:ascii="Arial" w:cs="Arial" w:eastAsia="Arial" w:hAnsi="Arial"/>
          <w:sz w:val="12"/>
          <w:szCs w:val="12"/>
          <w:i w:val="1"/>
          <w:iCs w:val="1"/>
          <w:color w:val="auto"/>
        </w:rPr>
        <w:t>.</w:t>
      </w:r>
    </w:p>
    <w:p>
      <w:pPr>
        <w:spacing w:after="0" w:line="115"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w:t>
      </w:r>
    </w:p>
    <w:p>
      <w:pPr>
        <w:spacing w:after="0" w:line="113"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Roivant’s status as a PFIC will depend on the nature and composition of its income and the nature, composition and value of its assets from time to time. The 50% passive asset test described above is generally based on the fair market value of each asset. If Roivant is a CFC (determined by disregarding certain downward attribution rules) and not publicly traded for the relevant taxable year, however, the test will be applied based on the adjusted basis of Roivant’s assets.</w:t>
      </w:r>
    </w:p>
    <w:p>
      <w:pPr>
        <w:spacing w:after="0" w:line="124" w:lineRule="exact"/>
        <w:rPr>
          <w:sz w:val="20"/>
          <w:szCs w:val="20"/>
          <w:color w:val="auto"/>
        </w:rPr>
      </w:pPr>
    </w:p>
    <w:p>
      <w:pPr>
        <w:ind w:left="1980" w:right="1219" w:firstLine="294"/>
        <w:spacing w:after="0" w:line="298" w:lineRule="auto"/>
        <w:rPr>
          <w:sz w:val="20"/>
          <w:szCs w:val="20"/>
          <w:color w:val="auto"/>
        </w:rPr>
      </w:pPr>
      <w:r>
        <w:rPr>
          <w:rFonts w:ascii="Arial" w:cs="Arial" w:eastAsia="Arial" w:hAnsi="Arial"/>
          <w:sz w:val="11"/>
          <w:szCs w:val="11"/>
          <w:color w:val="auto"/>
        </w:rPr>
        <w:t>The New Regulations modify certain of the rules described above. Such modifications include, for example, permitting asset value to be determined more frequently than on a quarterly basis and treating a non-U.S. corporation as publicly traded for a taxable year if the stock of such corporation is publicly traded, other than in de minimis quantities, for at least twenty trading days during such taxable year.</w:t>
      </w:r>
    </w:p>
    <w:p>
      <w:pPr>
        <w:spacing w:after="0" w:line="105"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The New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New Regulations and certain other Treasury regulations for such year and all subsequent years. Investors who are U.S. Holders should consult their own tax advisors regarding the impact and applicability of the New Regulations.</w:t>
      </w:r>
    </w:p>
    <w:p>
      <w:pPr>
        <w:spacing w:after="0" w:line="128"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Because our Common Shares should be considered to be “publicly traded” for the current taxable year that ends on March 31, 2022, we should apply the 50% passive asset test using the fair market value of its assets. This determination, however, is subject to uncertainty. In addition, Roivant’s status may also depend, in part, on how quickly it utilizes its cash on-hand and cash from future financings in its business.</w:t>
      </w:r>
    </w:p>
    <w:p>
      <w:pPr>
        <w:spacing w:after="0" w:line="10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Based on the foregoing, with respect to the taxable year that ended on March 31, 2021, Roivant believes that it was not a PFIC (based in part on its belief that it was not classified as a CFC in the taxable year that ended on March 31, 2021) and presently does not anticipate that it will be a PFIC based upon the expected value of its assets, including any goodwill and intangible assets, and the expected nature and composition of its income and assets. However, Roivant’s status as a PFIC is a fact-intensive determination made on an annual basis, and it cannot provide any assurances regarding its PFIC status for the current or future taxable years. Roivant’s U.S. counsel expresses no opinion with respect to Roivant’s PFIC status for the current or future taxable years. Roivant will determine its PFIC status for each taxable year and make such determination available to U.S. Holders.</w:t>
      </w:r>
    </w:p>
    <w:p>
      <w:pPr>
        <w:spacing w:after="0" w:line="5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314</w:t>
      </w:r>
    </w:p>
    <w:p>
      <w:pPr>
        <w:sectPr>
          <w:pgSz w:w="11900" w:h="16838" w:orient="portrait"/>
          <w:cols w:equalWidth="0" w:num="1">
            <w:col w:w="10159"/>
          </w:cols>
          <w:pgMar w:left="300" w:top="372" w:right="1440" w:bottom="1440" w:gutter="0" w:footer="0" w:header="0"/>
        </w:sectPr>
      </w:pPr>
    </w:p>
    <w:bookmarkStart w:id="322" w:name="page323"/>
    <w:bookmarkEnd w:id="3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302" w:lineRule="auto"/>
        <w:rPr>
          <w:sz w:val="20"/>
          <w:szCs w:val="20"/>
          <w:color w:val="auto"/>
        </w:rPr>
      </w:pPr>
      <w:r>
        <w:rPr>
          <w:rFonts w:ascii="Arial" w:cs="Arial" w:eastAsia="Arial" w:hAnsi="Arial"/>
          <w:sz w:val="10"/>
          <w:szCs w:val="10"/>
          <w:color w:val="auto"/>
        </w:rPr>
        <w:t>Roivant has implemented structures and arrangements intended to mitigate the possibility that it will be classified as a PFIC. There can be no assurance that the IRS will not successfully challenge these structures and arrangements, which may result in an adverse impact on the determination of whether Roivant is classified as a PFIC in the current and future taxable years. In addition, recently finalized U.S. Treasury regulations, the impact of which Roivant is continuing to assess, may also adversely affect the treatment of these structures and arrangements with respect to its PFIC status.Although Roivant’s PFIC status is determined annually, an initial determination that Roivant is a PFIC will generally apply for subsequent years to a U.S. Holder who held Common Shares or Warrants while Roivant was a PFIC, whether or not Roivant meets the test for PFIC status in those subsequent years. If Roivant is determined to be a PFIC for any taxable year (or portion thereof) that is included in the holding period of a U.S. Holder of Common Shares or Warrants and, in the case of Common Shares, the U.S. Holder did not make an applicable PFIC election (or elections), as further described below under the heading “—PFIC Elections,” for the first taxable year of Roivant in which it was treated as a PFIC, and in which the U.S. Holder held (or was deemed to hold) such Common Shares, such U.S. Holder generally will be subject to special and adverse rules. Such rules apply to</w:t>
      </w:r>
    </w:p>
    <w:p>
      <w:pPr>
        <w:spacing w:after="0" w:line="2" w:lineRule="exact"/>
        <w:rPr>
          <w:sz w:val="20"/>
          <w:szCs w:val="20"/>
          <w:color w:val="auto"/>
        </w:rPr>
      </w:pPr>
    </w:p>
    <w:p>
      <w:pPr>
        <w:ind w:left="2120" w:hanging="148"/>
        <w:spacing w:after="0"/>
        <w:tabs>
          <w:tab w:leader="none" w:pos="2120" w:val="left"/>
        </w:tabs>
        <w:numPr>
          <w:ilvl w:val="0"/>
          <w:numId w:val="180"/>
        </w:numPr>
        <w:rPr>
          <w:rFonts w:ascii="Arial" w:cs="Arial" w:eastAsia="Arial" w:hAnsi="Arial"/>
          <w:sz w:val="11"/>
          <w:szCs w:val="11"/>
          <w:color w:val="auto"/>
        </w:rPr>
      </w:pPr>
      <w:r>
        <w:rPr>
          <w:rFonts w:ascii="Arial" w:cs="Arial" w:eastAsia="Arial" w:hAnsi="Arial"/>
          <w:sz w:val="11"/>
          <w:szCs w:val="11"/>
          <w:color w:val="auto"/>
        </w:rPr>
        <w:t>any gain recognized by the U.S. Holder on the sale or other disposition of its Common Shares or Warrants (which may include gain realized by</w:t>
      </w:r>
    </w:p>
    <w:p>
      <w:pPr>
        <w:spacing w:after="0" w:line="17" w:lineRule="exact"/>
        <w:rPr>
          <w:rFonts w:ascii="Arial" w:cs="Arial" w:eastAsia="Arial" w:hAnsi="Arial"/>
          <w:sz w:val="11"/>
          <w:szCs w:val="11"/>
          <w:color w:val="auto"/>
        </w:rPr>
      </w:pPr>
    </w:p>
    <w:p>
      <w:pPr>
        <w:ind w:left="1980" w:right="899"/>
        <w:spacing w:after="0" w:line="253" w:lineRule="auto"/>
        <w:rPr>
          <w:rFonts w:ascii="Arial" w:cs="Arial" w:eastAsia="Arial" w:hAnsi="Arial"/>
          <w:sz w:val="11"/>
          <w:szCs w:val="11"/>
          <w:color w:val="auto"/>
        </w:rPr>
      </w:pPr>
      <w:r>
        <w:rPr>
          <w:rFonts w:ascii="Arial" w:cs="Arial" w:eastAsia="Arial" w:hAnsi="Arial"/>
          <w:sz w:val="12"/>
          <w:szCs w:val="12"/>
          <w:color w:val="auto"/>
        </w:rPr>
        <w:t>reason of transfers of Common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the portion of such U.S. Holder’s holding period for the Common Shares that preceded the taxable year of the distribution).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87" w:lineRule="exact"/>
        <w:rPr>
          <w:sz w:val="20"/>
          <w:szCs w:val="20"/>
          <w:color w:val="auto"/>
        </w:rPr>
      </w:pPr>
    </w:p>
    <w:p>
      <w:pPr>
        <w:ind w:left="2620" w:right="1079" w:hanging="288"/>
        <w:spacing w:after="0" w:line="276" w:lineRule="auto"/>
        <w:tabs>
          <w:tab w:leader="none" w:pos="26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U.S. Holder’s gain or excess distribution will be allocated ratably over the U.S. Holder’s holding period for the Common Shares or Warrants;</w:t>
      </w:r>
    </w:p>
    <w:p>
      <w:pPr>
        <w:spacing w:after="0" w:line="51"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amount allocated to the U.S. Holder’s taxable year in which the U.S. Holder recognized the gain or received the excess distribution, or to the period in the U.S. Holder’s holding period before the first day of Roivant’s first taxable year in which Roivant is a PFIC, will be taxed as ordinary income;</w:t>
      </w:r>
    </w:p>
    <w:p>
      <w:pPr>
        <w:spacing w:after="0" w:line="59"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59"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an additional tax equal to the interest charge generally applicable to underpayments of tax will be imposed on the U.S. Holder with respect to the tax attributable to each such other taxable year of the U.S. Holder.</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PFIC Elections</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If Roivant is a PFIC and Common Shares constitute “marketable stock,” a U.S. Holder may avoid the adverse PFIC tax consequences discussed above with respect to its Common Shares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These amounts of ordinary income would not be eligible for the favorable tax rates applicable to qualified dividend income or long-term capital gains.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likely may not be made with respect to Warrants.</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315</w:t>
      </w:r>
    </w:p>
    <w:p>
      <w:pPr>
        <w:sectPr>
          <w:pgSz w:w="11900" w:h="16838" w:orient="portrait"/>
          <w:cols w:equalWidth="0" w:num="1">
            <w:col w:w="10159"/>
          </w:cols>
          <w:pgMar w:left="300" w:top="372" w:right="1440" w:bottom="1440" w:gutter="0" w:footer="0" w:header="0"/>
        </w:sectPr>
      </w:pPr>
    </w:p>
    <w:bookmarkStart w:id="323" w:name="page324"/>
    <w:bookmarkEnd w:id="3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The mark-to-market election is available only for “marketable stock,” generally, stock that is regularly traded on a national securities exchange that is registered with the Securities and Exchange Commission, including the Nasdaq (on which Common Shares are currently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30"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Alternatively, if Roivant is determined to be a PFIC, a U.S. Holder may avoid the adverse PFIC tax consequences described above in respect of Common Shares (but not Warrants) by making and maintaining a timely and valid qualified electing fund (“QEF”) election (if eligible to do so). If a U.S. Holder makes a QEF election with respect to a PFIC, the U.S. Holder will be taxed on its pro rata share of the PFIC’s ordinary earnings and net capital gain (at ordinary income and capital gain rates, respectively) for each taxable year that the entity is a PFIC. If a U.S. Holder makes a QEF election with respect to the Common Shares, any distributions paid by Roivant out of its earnings and profits that were previously included in the U.S. Holder’s income under the QEF election would not be taxable to the U.S. Holder. A U.S. Holder will increase its tax basis in its Common Shares by an amount equal to any income included under the QEF election and will decrease its tax basis by any amount distributed on the Common Shares that is not included in the U.S. Holder’s income. In addition, a U.S. Holder will recognize capital gain or loss on the disposition of Common Shares in an amount equal to the difference between the amount realized and the U.S. Holder’s adjusted tax basis in the Common Shares, as determined in U.S. dollars. U.S. Holders should note that if they make QEF elections with respect to Roivant, they may be required to pay U.S. federal income tax with respect to their Common Shares for any taxable year significantly in excess of any cash distributions received on the Common Shares for such taxable year. U.S. Holders should consult their tax advisers regarding making QEF elections in their particular circumstances. A U.S. Holder generally may make a separate election to defer the payment of taxes on undistributed income inclusions under the QEF rules, but if deferred, any such taxes will be subject to an interest charge.</w:t>
      </w:r>
    </w:p>
    <w:p>
      <w:pPr>
        <w:spacing w:after="0" w:line="116"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A U.S. Holder must make the QEF election for each PFIC by attaching a separate properly completed IRS Form 8621 for each PFIC to the U.S. Holder’s timely filed U.S. federal income tax return. However, Roivant currently does not intend to provide information necessary for U.S. Holders to make QEF elections with respect to Common Shares, and the QEF election would be unavailable with respect to the Warrants in all cases under current law.</w:t>
      </w:r>
    </w:p>
    <w:p>
      <w:pPr>
        <w:spacing w:after="0" w:line="19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Related PFIC Rules</w:t>
      </w:r>
    </w:p>
    <w:p>
      <w:pPr>
        <w:spacing w:after="0" w:line="7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If Roivant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Roivant receives a distribution from, or disposes of all or part of its interest in, the lower-tier PFIC, or the U.S. Holder otherwise was deemed to have disposed of an interest in the lower-tier PFIC. Roivant currently does not intend to cause any lower-tier PFIC to provide to a U.S. Holder the information that may be required to make or maintain a QEF election with respect to the lower-tier PFIC. A mark-to-market election generally would not be available with respect to such lower-tier PFIC. U.S. Holders are urged to consult their tax advisors regarding the tax issues raised by lower-tier PFICs.</w:t>
      </w:r>
    </w:p>
    <w:p>
      <w:pPr>
        <w:spacing w:after="0" w:line="10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316</w:t>
      </w:r>
    </w:p>
    <w:p>
      <w:pPr>
        <w:sectPr>
          <w:pgSz w:w="11900" w:h="16838" w:orient="portrait"/>
          <w:cols w:equalWidth="0" w:num="1">
            <w:col w:w="10159"/>
          </w:cols>
          <w:pgMar w:left="300" w:top="372" w:right="1440" w:bottom="1440" w:gutter="0" w:footer="0" w:header="0"/>
        </w:sectPr>
      </w:pPr>
    </w:p>
    <w:bookmarkStart w:id="324" w:name="page325"/>
    <w:bookmarkEnd w:id="3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The rules dealing with PFICs and with the mark-to-market and QEF elections are very complex and are affected by various factors in addition to those described above. Accordingly, U.S. Holders of Common Shares or Warrants are urged to consult their own tax advisors concerning the application of the PFIC rules to Roivant securities under their particular circumstances.</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Additional Reporting Requirements</w:t>
      </w:r>
    </w:p>
    <w:p>
      <w:pPr>
        <w:spacing w:after="0" w:line="7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Certain U.S. Holders holding specified foreign financial assets with an aggregate value in excess of the applicable dollar thresholds are required to report information to the IRS relating to Common Shares, subject to certain exceptions (including an exception for Common Shares held in accounts maintained by U.S. financial institutions), by attaching a complete IRS Form 8938 (Statement of Specified Foreign Financial Assets) with their tax return for each year in which they hold Common Shares. 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Common Shares.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82"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980" w:right="859" w:hanging="8"/>
        <w:spacing w:after="0" w:line="260" w:lineRule="auto"/>
        <w:tabs>
          <w:tab w:leader="none" w:pos="2123"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U.S. Holder is a corporation or other exempt recipient or (ii) the U.S. Holder provides a correct taxpayer identification number and certifies that it is not subject to backup withholding.</w:t>
      </w:r>
    </w:p>
    <w:p>
      <w:pPr>
        <w:spacing w:after="0" w:line="124"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Backup withholding is not an additional tax. The amount of any backup withholding from a payment to a holder will be allowed as a credit against such holder’s U.S. federal income tax liability and may entitle it to a refund, provided that the required information is timely furnished to the IRS.</w:t>
      </w:r>
    </w:p>
    <w:p>
      <w:pPr>
        <w:spacing w:after="0" w:line="88" w:lineRule="exact"/>
        <w:rPr>
          <w:sz w:val="20"/>
          <w:szCs w:val="20"/>
          <w:color w:val="auto"/>
        </w:rPr>
      </w:pPr>
    </w:p>
    <w:p>
      <w:pPr>
        <w:ind w:left="1980" w:right="839" w:firstLine="294"/>
        <w:spacing w:after="0" w:line="258" w:lineRule="auto"/>
        <w:rPr>
          <w:sz w:val="20"/>
          <w:szCs w:val="20"/>
          <w:color w:val="auto"/>
        </w:rPr>
      </w:pPr>
      <w:r>
        <w:rPr>
          <w:rFonts w:ascii="Arial" w:cs="Arial" w:eastAsia="Arial" w:hAnsi="Arial"/>
          <w:sz w:val="12"/>
          <w:szCs w:val="12"/>
          <w:b w:val="1"/>
          <w:bCs w:val="1"/>
          <w:color w:val="auto"/>
        </w:rPr>
        <w:t>THE U.S. FEDERAL INCOME TAX DISCUSSION SET FORTH ABOVE MAY NOT BE APPLICABLE TO YOU DEPENDING UPON YOUR PARTICULAR SITUATION. YOU ARE URGED TO CONSULT YOUR OWN TAX ADVISOR WITH RESPECT TO THE TAX CONSEQUENCES TO YOU OF THE ACQUISITION, OWNERSHIP AND DISPOSITION OF COMMON SHARES OR WARRANTS INCLUDING THE TAX CONSEQUENCES UNDER STATE, LOCAL, ESTATE, FOREIGN AND OTHER TAX LAWS AND TAX TREATIES AND THE POSSIBLE EFFECTS OF CHANGES IN U.S. OR OTHER TAX LAWS.</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317</w:t>
      </w:r>
    </w:p>
    <w:p>
      <w:pPr>
        <w:sectPr>
          <w:pgSz w:w="11900" w:h="16838" w:orient="portrait"/>
          <w:cols w:equalWidth="0" w:num="1">
            <w:col w:w="10159"/>
          </w:cols>
          <w:pgMar w:left="300" w:top="372" w:right="1440" w:bottom="1440" w:gutter="0" w:footer="0" w:header="0"/>
        </w:sectPr>
      </w:pPr>
    </w:p>
    <w:bookmarkStart w:id="325" w:name="page326"/>
    <w:bookmarkEnd w:id="3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MATERIAL UNITED KINGDOM TAX CONSIDERATIONS</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opinion of Davis Polk &amp; Wardwell London LLP, the following is a description of material United Kingdom tax considerations relating to the ownership and disposal of the Common Shares and Warrants applicable to a non-UK Holder. The comments set out below are based on current United Kingdom tax law as applied in England and Wales and HM Revenue &amp; Customs, or HMRC, practice (which may not be binding on HMRC) as at the date of this summary, both of which are subject to change, possibly with retrospective effect. They are intended as a general guide and, save where expressly stated otherwise, apply only to absolute beneficial owners of the Common Shares or Warrants who are (i) individuals not resident in the United Kingdom for United Kingdom tax purposes who do not hold Common Shares or Warrants for the purposes of a trade, profession, or vocation which they carry on in the United Kingdom through a branch or agency, or (ii) companies not resident in the United Kingdom for United Kingdom tax purposes which do not hold the Common Shares or Warrants for the purpose of a trade carried on in the United Kingdom through a permanent establishment in the United Kingdom, together, “non-UK Holders.”</w:t>
      </w:r>
    </w:p>
    <w:p>
      <w:pPr>
        <w:spacing w:after="0" w:line="117"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This summary does not address all possible tax consequences relating to an investment in the Common Shares or Warrants. Certain categories of holders, including those falling outside the category described above (such as those who are resident in the United Kingdom for United Kingdom tax purposes), those carrying on certain financial activities, those subject to specific tax regimes or benefitting from certain reliefs or exemptions, those connected with Roivant and those for whom the shares are employment-related securities may be subject to special rules and this summary does not apply to such holders and any general statements made in this disclosure do not take them into account.</w:t>
      </w:r>
    </w:p>
    <w:p>
      <w:pPr>
        <w:spacing w:after="0" w:line="113"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Potential investors should satisfy themselves prior to investing as to the overall tax consequences, including, specifically, the consequences under United Kingdom tax law and HMRC practice of the acquisition, ownership and disposal of the Common Shares or Warrants in their own particular circumstances by consulting their own tax advisors.</w:t>
      </w:r>
    </w:p>
    <w:p>
      <w:pPr>
        <w:spacing w:after="0" w:line="118" w:lineRule="exact"/>
        <w:rPr>
          <w:sz w:val="20"/>
          <w:szCs w:val="20"/>
          <w:color w:val="auto"/>
        </w:rPr>
      </w:pPr>
    </w:p>
    <w:p>
      <w:pPr>
        <w:ind w:left="1980" w:right="899" w:firstLine="294"/>
        <w:spacing w:after="0" w:line="266" w:lineRule="auto"/>
        <w:rPr>
          <w:sz w:val="20"/>
          <w:szCs w:val="20"/>
          <w:color w:val="auto"/>
        </w:rPr>
      </w:pPr>
      <w:r>
        <w:rPr>
          <w:rFonts w:ascii="Arial" w:cs="Arial" w:eastAsia="Arial" w:hAnsi="Arial"/>
          <w:sz w:val="12"/>
          <w:szCs w:val="12"/>
          <w:b w:val="1"/>
          <w:bCs w:val="1"/>
          <w:color w:val="auto"/>
        </w:rPr>
        <w:t>EACH HOLDER SHOULD CONSULT ITS OWN TAX ADVISOR WITH RESPECT TO THE PARTICULAR TAX CONSEQUENCES TO SUCH HOLDER OF THE OWNERSHIP AND DISPOSAL OF COMMON SHARES AND EXERCISE OF WARRANTS, INCLUDING THE EFFECTS OF UNITED KINGDOM TAX LAWS.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United Kingdom Taxation of Dividends</w:t>
      </w:r>
    </w:p>
    <w:p>
      <w:pPr>
        <w:spacing w:after="0" w:line="82"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Roivant will not be required to withhold amounts on account of United Kingdom tax at source when paying a dividend in respect of Common Shares to a non-UK Holder.</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Non-UK Holders who hold their Common Shares as an investment should not be subject to United Kingdom tax in respect of any dividends.</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United Kingdom Taxation of Capital Gains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Acquisition of Common Shares on exercise of the Warrants</w:t>
      </w:r>
    </w:p>
    <w:p>
      <w:pPr>
        <w:spacing w:after="0" w:line="78"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An individual that is a non-UK Holder will generally not be liable to United Kingdom capital gains tax on capital gains realized (if any) on the exercise of Warrants.</w:t>
      </w:r>
    </w:p>
    <w:p>
      <w:pPr>
        <w:spacing w:after="0" w:line="115"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A company that is a non-UK Holder will generally not be liable to United Kingdom corporation tax on chargeable gains realized (if any) on the exercise of Warrants.</w:t>
      </w:r>
    </w:p>
    <w:p>
      <w:pPr>
        <w:spacing w:after="0" w:line="115" w:lineRule="exact"/>
        <w:rPr>
          <w:sz w:val="20"/>
          <w:szCs w:val="20"/>
          <w:color w:val="auto"/>
        </w:rPr>
      </w:pPr>
    </w:p>
    <w:p>
      <w:pPr>
        <w:ind w:left="1980" w:right="1159" w:firstLine="294"/>
        <w:spacing w:after="0" w:line="379" w:lineRule="auto"/>
        <w:rPr>
          <w:sz w:val="20"/>
          <w:szCs w:val="20"/>
          <w:color w:val="auto"/>
        </w:rPr>
      </w:pPr>
      <w:r>
        <w:rPr>
          <w:rFonts w:ascii="Arial" w:cs="Arial" w:eastAsia="Arial" w:hAnsi="Arial"/>
          <w:sz w:val="10"/>
          <w:szCs w:val="10"/>
          <w:color w:val="auto"/>
        </w:rPr>
        <w:t>An individual non-UK Holder who is only temporarily a non-UK resident for United Kingdom tax purposes, may, in certain circumstances, become liable to United Kingdom tax on capital gains in respect of gains realized (if any) while he or she was not resident in the United Kingdom.</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318</w:t>
      </w:r>
    </w:p>
    <w:p>
      <w:pPr>
        <w:sectPr>
          <w:pgSz w:w="11900" w:h="16838" w:orient="portrait"/>
          <w:cols w:equalWidth="0" w:num="1">
            <w:col w:w="10159"/>
          </w:cols>
          <w:pgMar w:left="300" w:top="372" w:right="1440" w:bottom="1440" w:gutter="0" w:footer="0" w:header="0"/>
        </w:sectPr>
      </w:pPr>
    </w:p>
    <w:bookmarkStart w:id="326" w:name="page327"/>
    <w:bookmarkEnd w:id="3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Disposal of Common Shares or Warrants</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An individual who is a non-UK Holder will generally not be liable to United Kingdom capital gains tax on capital gains realized on the disposal of his or her Common Shares or Warrants.</w:t>
      </w:r>
    </w:p>
    <w:p>
      <w:pPr>
        <w:spacing w:after="0" w:line="115"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 company that is a non-UK Holder will generally not be liable for United Kingdom corporation tax on chargeable gains realized on the disposal of its Common Shares or Warrants.</w:t>
      </w:r>
    </w:p>
    <w:p>
      <w:pPr>
        <w:spacing w:after="0" w:line="115" w:lineRule="exact"/>
        <w:rPr>
          <w:sz w:val="20"/>
          <w:szCs w:val="20"/>
          <w:color w:val="auto"/>
        </w:rPr>
      </w:pPr>
    </w:p>
    <w:p>
      <w:pPr>
        <w:ind w:left="1980" w:right="1239" w:firstLine="294"/>
        <w:spacing w:after="0" w:line="323" w:lineRule="auto"/>
        <w:rPr>
          <w:sz w:val="20"/>
          <w:szCs w:val="20"/>
          <w:color w:val="auto"/>
        </w:rPr>
      </w:pPr>
      <w:r>
        <w:rPr>
          <w:rFonts w:ascii="Arial" w:cs="Arial" w:eastAsia="Arial" w:hAnsi="Arial"/>
          <w:sz w:val="11"/>
          <w:szCs w:val="11"/>
          <w:color w:val="auto"/>
        </w:rPr>
        <w:t>An individual non-UK Holder who is only temporarily a non-UK resident for United Kingdom tax purposes will, in certain circumstances, become liable to United Kingdom tax on capital gains in respect of gains realized while he or she was not resident in the United Kingdom.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United Kingdom Stamp Duty (“stamp duty”) and Stamp Duty Reserve Tax (“SDRT”)</w:t>
      </w:r>
    </w:p>
    <w:p>
      <w:pPr>
        <w:spacing w:after="0" w:line="82"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No stamp duty or SDRT is expected to be payable on the issue or transfer of Common Shares or the transfer of Warrants, subject to the comments below.</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Stamp duty will in principle be payable on any instrument that transfers Common Shares or Warrants that is executed in the United Kingdom or that relates to any property situated, or to any matter or thing done or to be done, in the United Kingdom. Holders of Common Shares or Warrants should be aware that, even where such an instrument is in principle subject to stamp duty, stamp duty is not required to be paid unless it is necessary to rely on the instrument for legal purposes, for example to register a change of ownership or in litigation in a United Kingdom court. Provided that the Common Shares and Warrants are not registered in any register maintained in the United Kingdom, any agreement to transfer Common Shares or Warrants will not be subject to SDRT. Roivant currently does not intend that any register of its Common Shares or Warrants will be maintained in the United Kingdom.</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319</w:t>
      </w:r>
    </w:p>
    <w:p>
      <w:pPr>
        <w:sectPr>
          <w:pgSz w:w="11900" w:h="16838" w:orient="portrait"/>
          <w:cols w:equalWidth="0" w:num="1">
            <w:col w:w="10159"/>
          </w:cols>
          <w:pgMar w:left="300" w:top="372" w:right="1440" w:bottom="1440" w:gutter="0" w:footer="0" w:header="0"/>
        </w:sectPr>
      </w:pPr>
    </w:p>
    <w:bookmarkStart w:id="327" w:name="page328"/>
    <w:bookmarkEnd w:id="3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Conyers Dill &amp; Pearman Limited have passed upon the validity of the Common Shares offered by this prospectus and certain other legal matters related to this prospectus. Davis Polk &amp; Wardwell LLP have passed upon the validity of the Warrants under New York law.</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320</w:t>
      </w:r>
    </w:p>
    <w:p>
      <w:pPr>
        <w:sectPr>
          <w:pgSz w:w="11900" w:h="16838" w:orient="portrait"/>
          <w:cols w:equalWidth="0" w:num="1">
            <w:col w:w="10159"/>
          </w:cols>
          <w:pgMar w:left="300" w:top="372" w:right="1440" w:bottom="1440" w:gutter="0" w:footer="0" w:header="0"/>
        </w:sectPr>
      </w:pPr>
    </w:p>
    <w:bookmarkStart w:id="328" w:name="page329"/>
    <w:bookmarkEnd w:id="3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The consolidated financial statements of Roivant Sciences Ltd. at March 31, 2021 and 2020, and for each of the two years in the period ended March 31,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4" w:lineRule="exact"/>
        <w:rPr>
          <w:sz w:val="20"/>
          <w:szCs w:val="20"/>
          <w:color w:val="auto"/>
        </w:rPr>
      </w:pPr>
    </w:p>
    <w:p>
      <w:pPr>
        <w:ind w:left="1980" w:right="979" w:firstLine="294"/>
        <w:spacing w:after="0" w:line="298" w:lineRule="auto"/>
        <w:rPr>
          <w:sz w:val="20"/>
          <w:szCs w:val="20"/>
          <w:color w:val="auto"/>
        </w:rPr>
      </w:pPr>
      <w:r>
        <w:rPr>
          <w:rFonts w:ascii="Arial" w:cs="Arial" w:eastAsia="Arial" w:hAnsi="Arial"/>
          <w:sz w:val="11"/>
          <w:szCs w:val="11"/>
          <w:color w:val="auto"/>
        </w:rPr>
        <w:t>The financial statements of MAAC as of December 31, 2020 and for the period from July 6, 2020 (inception) through December 31, 2020, have been audited by Marcum LLP, an independent registered public accounting firm, as stated in their report thereon, and have been included in this registration statement in reliance upon such reports and upon the authority of such firm as experts in accounting and auditing.</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321</w:t>
      </w:r>
    </w:p>
    <w:p>
      <w:pPr>
        <w:sectPr>
          <w:pgSz w:w="11900" w:h="16838" w:orient="portrait"/>
          <w:cols w:equalWidth="0" w:num="1">
            <w:col w:w="10159"/>
          </w:cols>
          <w:pgMar w:left="300" w:top="372" w:right="1440" w:bottom="1440" w:gutter="0" w:footer="0" w:header="0"/>
        </w:sectPr>
      </w:pPr>
    </w:p>
    <w:bookmarkStart w:id="329" w:name="page330"/>
    <w:bookmarkEnd w:id="3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322</w:t>
      </w:r>
    </w:p>
    <w:p>
      <w:pPr>
        <w:sectPr>
          <w:pgSz w:w="11900" w:h="16838" w:orient="portrait"/>
          <w:cols w:equalWidth="0" w:num="1">
            <w:col w:w="10159"/>
          </w:cols>
          <w:pgMar w:left="300" w:top="372" w:right="1440" w:bottom="1440" w:gutter="0" w:footer="0" w:header="0"/>
        </w:sectPr>
      </w:pPr>
    </w:p>
    <w:bookmarkStart w:id="330" w:name="page331"/>
    <w:bookmarkEnd w:id="3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7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9"/>
              </w:rPr>
              <w:t>Page No.</w:t>
            </w:r>
          </w:p>
        </w:tc>
      </w:tr>
      <w:tr>
        <w:trPr>
          <w:trHeight w:val="259"/>
        </w:trPr>
        <w:tc>
          <w:tcPr>
            <w:tcW w:w="6940" w:type="dxa"/>
            <w:vAlign w:val="bottom"/>
            <w:gridSpan w:val="26"/>
          </w:tcPr>
          <w:p>
            <w:pPr>
              <w:spacing w:after="0"/>
              <w:rPr>
                <w:sz w:val="20"/>
                <w:szCs w:val="20"/>
                <w:color w:val="auto"/>
              </w:rPr>
            </w:pPr>
            <w:r>
              <w:rPr>
                <w:rFonts w:ascii="Arial" w:cs="Arial" w:eastAsia="Arial" w:hAnsi="Arial"/>
                <w:sz w:val="12"/>
                <w:szCs w:val="12"/>
                <w:b w:val="1"/>
                <w:bCs w:val="1"/>
                <w:color w:val="auto"/>
              </w:rPr>
              <w:t>Audited Consolidated Financial Statements for Roivant Sciences Ltd.</w:t>
            </w:r>
          </w:p>
        </w:tc>
        <w:tc>
          <w:tcPr>
            <w:tcW w:w="360" w:type="dxa"/>
            <w:vAlign w:val="bottom"/>
          </w:tcPr>
          <w:p>
            <w:pPr>
              <w:spacing w:after="0"/>
              <w:rPr>
                <w:sz w:val="22"/>
                <w:szCs w:val="22"/>
                <w:color w:val="auto"/>
              </w:rPr>
            </w:pPr>
          </w:p>
        </w:tc>
      </w:tr>
      <w:tr>
        <w:trPr>
          <w:trHeight w:val="126"/>
        </w:trPr>
        <w:tc>
          <w:tcPr>
            <w:tcW w:w="2820" w:type="dxa"/>
            <w:vAlign w:val="bottom"/>
            <w:tcBorders>
              <w:bottom w:val="single" w:sz="8" w:color="0000EE"/>
            </w:tcBorders>
            <w:gridSpan w:val="9"/>
          </w:tcPr>
          <w:p>
            <w:pPr>
              <w:spacing w:after="0" w:line="126" w:lineRule="exact"/>
              <w:rPr>
                <w:rFonts w:ascii="Arial" w:cs="Arial" w:eastAsia="Arial" w:hAnsi="Arial"/>
                <w:sz w:val="12"/>
                <w:szCs w:val="12"/>
                <w:color w:val="0000EE"/>
                <w:w w:val="91"/>
              </w:rPr>
            </w:pPr>
            <w:hyperlink w:anchor="page332">
              <w:r>
                <w:rPr>
                  <w:rFonts w:ascii="Arial" w:cs="Arial" w:eastAsia="Arial" w:hAnsi="Arial"/>
                  <w:sz w:val="12"/>
                  <w:szCs w:val="12"/>
                  <w:color w:val="0000EE"/>
                  <w:w w:val="91"/>
                </w:rPr>
                <w:t>Report of Independent Registered Public Accounting Firm</w:t>
              </w:r>
            </w:hyperlink>
          </w:p>
        </w:tc>
        <w:tc>
          <w:tcPr>
            <w:tcW w:w="4120" w:type="dxa"/>
            <w:vAlign w:val="bottom"/>
            <w:gridSpan w:val="17"/>
          </w:tcPr>
          <w:p>
            <w:pPr>
              <w:spacing w:after="0"/>
              <w:rPr>
                <w:sz w:val="10"/>
                <w:szCs w:val="10"/>
                <w:color w:val="auto"/>
              </w:rPr>
            </w:pPr>
          </w:p>
        </w:tc>
        <w:tc>
          <w:tcPr>
            <w:tcW w:w="360" w:type="dxa"/>
            <w:vAlign w:val="bottom"/>
          </w:tcPr>
          <w:p>
            <w:pPr>
              <w:jc w:val="right"/>
              <w:spacing w:after="0" w:line="126" w:lineRule="exact"/>
              <w:rPr>
                <w:sz w:val="20"/>
                <w:szCs w:val="20"/>
                <w:color w:val="auto"/>
              </w:rPr>
            </w:pPr>
            <w:r>
              <w:rPr>
                <w:rFonts w:ascii="Arial" w:cs="Arial" w:eastAsia="Arial" w:hAnsi="Arial"/>
                <w:sz w:val="12"/>
                <w:szCs w:val="12"/>
                <w:color w:val="auto"/>
              </w:rPr>
              <w:t>F-2</w:t>
            </w:r>
          </w:p>
        </w:tc>
      </w:tr>
      <w:tr>
        <w:trPr>
          <w:trHeight w:val="124"/>
        </w:trPr>
        <w:tc>
          <w:tcPr>
            <w:tcW w:w="2920" w:type="dxa"/>
            <w:vAlign w:val="bottom"/>
            <w:tcBorders>
              <w:bottom w:val="single" w:sz="8" w:color="0000EE"/>
            </w:tcBorders>
            <w:gridSpan w:val="10"/>
          </w:tcPr>
          <w:p>
            <w:pPr>
              <w:spacing w:after="0" w:line="124" w:lineRule="exact"/>
              <w:rPr>
                <w:rFonts w:ascii="Arial" w:cs="Arial" w:eastAsia="Arial" w:hAnsi="Arial"/>
                <w:sz w:val="12"/>
                <w:szCs w:val="12"/>
                <w:color w:val="0000EE"/>
                <w:w w:val="88"/>
              </w:rPr>
            </w:pPr>
            <w:hyperlink w:anchor="page333">
              <w:r>
                <w:rPr>
                  <w:rFonts w:ascii="Arial" w:cs="Arial" w:eastAsia="Arial" w:hAnsi="Arial"/>
                  <w:sz w:val="12"/>
                  <w:szCs w:val="12"/>
                  <w:color w:val="0000EE"/>
                  <w:w w:val="88"/>
                </w:rPr>
                <w:t>Consolidated Balance Sheets as of March 31, 2021 and 2020</w:t>
              </w:r>
            </w:hyperlink>
          </w:p>
        </w:tc>
        <w:tc>
          <w:tcPr>
            <w:tcW w:w="4020" w:type="dxa"/>
            <w:vAlign w:val="bottom"/>
            <w:gridSpan w:val="16"/>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F-3</w:t>
            </w:r>
          </w:p>
        </w:tc>
      </w:tr>
      <w:tr>
        <w:trPr>
          <w:trHeight w:val="124"/>
        </w:trPr>
        <w:tc>
          <w:tcPr>
            <w:tcW w:w="4120" w:type="dxa"/>
            <w:vAlign w:val="bottom"/>
            <w:tcBorders>
              <w:bottom w:val="single" w:sz="8" w:color="0000EE"/>
            </w:tcBorders>
            <w:gridSpan w:val="13"/>
          </w:tcPr>
          <w:p>
            <w:pPr>
              <w:spacing w:after="0" w:line="124" w:lineRule="exact"/>
              <w:rPr>
                <w:rFonts w:ascii="Arial" w:cs="Arial" w:eastAsia="Arial" w:hAnsi="Arial"/>
                <w:sz w:val="12"/>
                <w:szCs w:val="12"/>
                <w:color w:val="0000EE"/>
                <w:w w:val="89"/>
              </w:rPr>
            </w:pPr>
            <w:hyperlink w:anchor="page334">
              <w:r>
                <w:rPr>
                  <w:rFonts w:ascii="Arial" w:cs="Arial" w:eastAsia="Arial" w:hAnsi="Arial"/>
                  <w:sz w:val="12"/>
                  <w:szCs w:val="12"/>
                  <w:color w:val="0000EE"/>
                  <w:w w:val="89"/>
                </w:rPr>
                <w:t>Consolidated Statements of Operations for the Years Ended March 31, 2021 and 2020</w:t>
              </w:r>
            </w:hyperlink>
          </w:p>
        </w:tc>
        <w:tc>
          <w:tcPr>
            <w:tcW w:w="2820" w:type="dxa"/>
            <w:vAlign w:val="bottom"/>
            <w:gridSpan w:val="13"/>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w:t>
            </w:r>
          </w:p>
        </w:tc>
      </w:tr>
      <w:tr>
        <w:trPr>
          <w:trHeight w:val="124"/>
        </w:trPr>
        <w:tc>
          <w:tcPr>
            <w:tcW w:w="6940" w:type="dxa"/>
            <w:vAlign w:val="bottom"/>
            <w:gridSpan w:val="26"/>
          </w:tcPr>
          <w:p>
            <w:pPr>
              <w:spacing w:after="0" w:line="124" w:lineRule="exact"/>
              <w:rPr>
                <w:rFonts w:ascii="Arial" w:cs="Arial" w:eastAsia="Arial" w:hAnsi="Arial"/>
                <w:sz w:val="12"/>
                <w:szCs w:val="12"/>
                <w:color w:val="0000EE"/>
              </w:rPr>
            </w:pPr>
            <w:hyperlink w:anchor="page335">
              <w:r>
                <w:rPr>
                  <w:rFonts w:ascii="Arial" w:cs="Arial" w:eastAsia="Arial" w:hAnsi="Arial"/>
                  <w:sz w:val="12"/>
                  <w:szCs w:val="12"/>
                  <w:color w:val="0000EE"/>
                </w:rPr>
                <w:t>Consolidated Statements of Comprehensive (Loss) Income for the Years Ended March 31, 2021 and 2020</w:t>
              </w:r>
            </w:hyperlink>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F-5</w:t>
            </w:r>
          </w:p>
        </w:tc>
      </w:tr>
      <w:tr>
        <w:trPr>
          <w:trHeight w:val="20"/>
        </w:trPr>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4"/>
        </w:trPr>
        <w:tc>
          <w:tcPr>
            <w:tcW w:w="6940" w:type="dxa"/>
            <w:vAlign w:val="bottom"/>
            <w:gridSpan w:val="26"/>
          </w:tcPr>
          <w:p>
            <w:pPr>
              <w:spacing w:after="0" w:line="124" w:lineRule="exact"/>
              <w:rPr>
                <w:rFonts w:ascii="Arial" w:cs="Arial" w:eastAsia="Arial" w:hAnsi="Arial"/>
                <w:sz w:val="12"/>
                <w:szCs w:val="12"/>
                <w:color w:val="0000EE"/>
                <w:w w:val="94"/>
              </w:rPr>
            </w:pPr>
            <w:hyperlink w:anchor="page336">
              <w:r>
                <w:rPr>
                  <w:rFonts w:ascii="Arial" w:cs="Arial" w:eastAsia="Arial" w:hAnsi="Arial"/>
                  <w:sz w:val="12"/>
                  <w:szCs w:val="12"/>
                  <w:color w:val="0000EE"/>
                  <w:w w:val="94"/>
                </w:rPr>
                <w:t>Consolidated Statements of Shareholders’ Equity and Redeemable Noncontrolling Interest for the Years Ended March 31, 2021 and 2020</w:t>
              </w:r>
            </w:hyperlink>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F-6</w:t>
            </w:r>
          </w:p>
        </w:tc>
      </w:tr>
      <w:tr>
        <w:trPr>
          <w:trHeight w:val="124"/>
        </w:trPr>
        <w:tc>
          <w:tcPr>
            <w:tcW w:w="416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89"/>
              </w:rPr>
            </w:pPr>
            <w:hyperlink w:anchor="page337">
              <w:r>
                <w:rPr>
                  <w:rFonts w:ascii="Arial" w:cs="Arial" w:eastAsia="Arial" w:hAnsi="Arial"/>
                  <w:sz w:val="12"/>
                  <w:szCs w:val="12"/>
                  <w:color w:val="0000EE"/>
                  <w:w w:val="89"/>
                </w:rPr>
                <w:t>Consolidated Statements of Cash Flows for the Years Ended March 31, 2021 and 2020</w:t>
              </w:r>
            </w:hyperlink>
          </w:p>
        </w:tc>
        <w:tc>
          <w:tcPr>
            <w:tcW w:w="2420" w:type="dxa"/>
            <w:vAlign w:val="bottom"/>
            <w:tcBorders>
              <w:top w:val="single" w:sz="8" w:color="0000EE"/>
            </w:tcBorders>
            <w:gridSpan w:val="11"/>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F-7</w:t>
            </w:r>
          </w:p>
        </w:tc>
      </w:tr>
      <w:tr>
        <w:trPr>
          <w:trHeight w:val="124"/>
        </w:trPr>
        <w:tc>
          <w:tcPr>
            <w:tcW w:w="210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w:anchor="page339">
              <w:r>
                <w:rPr>
                  <w:rFonts w:ascii="Arial" w:cs="Arial" w:eastAsia="Arial" w:hAnsi="Arial"/>
                  <w:sz w:val="12"/>
                  <w:szCs w:val="12"/>
                  <w:color w:val="0000EE"/>
                  <w:w w:val="89"/>
                </w:rPr>
                <w:t>Notes to Consolidated Financial Statements</w:t>
              </w:r>
            </w:hyperlink>
          </w:p>
        </w:tc>
        <w:tc>
          <w:tcPr>
            <w:tcW w:w="4840" w:type="dxa"/>
            <w:vAlign w:val="bottom"/>
            <w:gridSpan w:val="21"/>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F-9</w:t>
            </w:r>
          </w:p>
        </w:tc>
      </w:tr>
      <w:tr>
        <w:trPr>
          <w:trHeight w:val="286"/>
        </w:trPr>
        <w:tc>
          <w:tcPr>
            <w:tcW w:w="6940" w:type="dxa"/>
            <w:vAlign w:val="bottom"/>
            <w:gridSpan w:val="26"/>
          </w:tcPr>
          <w:p>
            <w:pPr>
              <w:spacing w:after="0"/>
              <w:rPr>
                <w:sz w:val="20"/>
                <w:szCs w:val="20"/>
                <w:color w:val="auto"/>
              </w:rPr>
            </w:pPr>
            <w:r>
              <w:rPr>
                <w:rFonts w:ascii="Arial" w:cs="Arial" w:eastAsia="Arial" w:hAnsi="Arial"/>
                <w:sz w:val="12"/>
                <w:szCs w:val="12"/>
                <w:b w:val="1"/>
                <w:bCs w:val="1"/>
                <w:color w:val="auto"/>
              </w:rPr>
              <w:t>Unaudited Interim Financial Statements for Roivant Sciences Ltd.</w:t>
            </w:r>
          </w:p>
        </w:tc>
        <w:tc>
          <w:tcPr>
            <w:tcW w:w="360" w:type="dxa"/>
            <w:vAlign w:val="bottom"/>
          </w:tcPr>
          <w:p>
            <w:pPr>
              <w:spacing w:after="0"/>
              <w:rPr>
                <w:sz w:val="24"/>
                <w:szCs w:val="24"/>
                <w:color w:val="auto"/>
              </w:rPr>
            </w:pPr>
          </w:p>
        </w:tc>
      </w:tr>
      <w:tr>
        <w:trPr>
          <w:trHeight w:val="126"/>
        </w:trPr>
        <w:tc>
          <w:tcPr>
            <w:tcW w:w="6940" w:type="dxa"/>
            <w:vAlign w:val="bottom"/>
            <w:gridSpan w:val="26"/>
          </w:tcPr>
          <w:p>
            <w:pPr>
              <w:spacing w:after="0" w:line="126" w:lineRule="exact"/>
              <w:rPr>
                <w:rFonts w:ascii="Arial" w:cs="Arial" w:eastAsia="Arial" w:hAnsi="Arial"/>
                <w:sz w:val="12"/>
                <w:szCs w:val="12"/>
                <w:color w:val="0000EE"/>
              </w:rPr>
            </w:pPr>
            <w:hyperlink w:anchor="page373">
              <w:r>
                <w:rPr>
                  <w:rFonts w:ascii="Arial" w:cs="Arial" w:eastAsia="Arial" w:hAnsi="Arial"/>
                  <w:sz w:val="12"/>
                  <w:szCs w:val="12"/>
                  <w:color w:val="0000EE"/>
                </w:rPr>
                <w:t>Condensed Consolidated Balance Sheets as of June 30, 2021 and March 31, 2021</w:t>
              </w:r>
            </w:hyperlink>
          </w:p>
        </w:tc>
        <w:tc>
          <w:tcPr>
            <w:tcW w:w="360" w:type="dxa"/>
            <w:vAlign w:val="bottom"/>
          </w:tcPr>
          <w:p>
            <w:pPr>
              <w:jc w:val="right"/>
              <w:spacing w:after="0" w:line="126" w:lineRule="exact"/>
              <w:rPr>
                <w:sz w:val="20"/>
                <w:szCs w:val="20"/>
                <w:color w:val="auto"/>
              </w:rPr>
            </w:pPr>
            <w:r>
              <w:rPr>
                <w:rFonts w:ascii="Arial" w:cs="Arial" w:eastAsia="Arial" w:hAnsi="Arial"/>
                <w:sz w:val="12"/>
                <w:szCs w:val="12"/>
                <w:color w:val="auto"/>
              </w:rPr>
              <w:t>F-43</w:t>
            </w:r>
          </w:p>
        </w:tc>
      </w:tr>
      <w:tr>
        <w:trPr>
          <w:trHeight w:val="20"/>
        </w:trPr>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4"/>
        </w:trPr>
        <w:tc>
          <w:tcPr>
            <w:tcW w:w="5000" w:type="dxa"/>
            <w:vAlign w:val="bottom"/>
            <w:tcBorders>
              <w:bottom w:val="single" w:sz="8" w:color="0000EE"/>
            </w:tcBorders>
            <w:gridSpan w:val="19"/>
          </w:tcPr>
          <w:p>
            <w:pPr>
              <w:spacing w:after="0" w:line="124" w:lineRule="exact"/>
              <w:rPr>
                <w:rFonts w:ascii="Arial" w:cs="Arial" w:eastAsia="Arial" w:hAnsi="Arial"/>
                <w:sz w:val="12"/>
                <w:szCs w:val="12"/>
                <w:color w:val="0000EE"/>
                <w:w w:val="88"/>
              </w:rPr>
            </w:pPr>
            <w:hyperlink w:anchor="page374">
              <w:r>
                <w:rPr>
                  <w:rFonts w:ascii="Arial" w:cs="Arial" w:eastAsia="Arial" w:hAnsi="Arial"/>
                  <w:sz w:val="12"/>
                  <w:szCs w:val="12"/>
                  <w:color w:val="0000EE"/>
                  <w:w w:val="88"/>
                </w:rPr>
                <w:t>Condensed Consolidated Statements of Operations for the Three Months Ended June 30, 2021 and 2020</w:t>
              </w:r>
            </w:hyperlink>
          </w:p>
        </w:tc>
        <w:tc>
          <w:tcPr>
            <w:tcW w:w="1940" w:type="dxa"/>
            <w:vAlign w:val="bottom"/>
            <w:gridSpan w:val="7"/>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F-44</w:t>
            </w:r>
          </w:p>
        </w:tc>
      </w:tr>
      <w:tr>
        <w:trPr>
          <w:trHeight w:val="124"/>
        </w:trPr>
        <w:tc>
          <w:tcPr>
            <w:tcW w:w="5480" w:type="dxa"/>
            <w:vAlign w:val="bottom"/>
            <w:tcBorders>
              <w:bottom w:val="single" w:sz="8" w:color="0000EE"/>
            </w:tcBorders>
            <w:gridSpan w:val="21"/>
          </w:tcPr>
          <w:p>
            <w:pPr>
              <w:spacing w:after="0" w:line="124" w:lineRule="exact"/>
              <w:rPr>
                <w:rFonts w:ascii="Arial" w:cs="Arial" w:eastAsia="Arial" w:hAnsi="Arial"/>
                <w:sz w:val="12"/>
                <w:szCs w:val="12"/>
                <w:color w:val="0000EE"/>
                <w:w w:val="88"/>
              </w:rPr>
            </w:pPr>
            <w:hyperlink w:anchor="page375">
              <w:r>
                <w:rPr>
                  <w:rFonts w:ascii="Arial" w:cs="Arial" w:eastAsia="Arial" w:hAnsi="Arial"/>
                  <w:sz w:val="12"/>
                  <w:szCs w:val="12"/>
                  <w:color w:val="0000EE"/>
                  <w:w w:val="88"/>
                </w:rPr>
                <w:t>Condensed Consolidated Statements of Comprehensive Loss for the Three Months Ended June 30, 2021 and 2020</w:t>
              </w:r>
            </w:hyperlink>
          </w:p>
        </w:tc>
        <w:tc>
          <w:tcPr>
            <w:tcW w:w="1460" w:type="dxa"/>
            <w:vAlign w:val="bottom"/>
            <w:gridSpan w:val="5"/>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F-45</w:t>
            </w:r>
          </w:p>
        </w:tc>
      </w:tr>
      <w:tr>
        <w:trPr>
          <w:trHeight w:val="124"/>
        </w:trPr>
        <w:tc>
          <w:tcPr>
            <w:tcW w:w="6940" w:type="dxa"/>
            <w:vAlign w:val="bottom"/>
            <w:gridSpan w:val="26"/>
          </w:tcPr>
          <w:p>
            <w:pPr>
              <w:spacing w:after="0" w:line="124" w:lineRule="exact"/>
              <w:rPr>
                <w:rFonts w:ascii="Arial" w:cs="Arial" w:eastAsia="Arial" w:hAnsi="Arial"/>
                <w:sz w:val="12"/>
                <w:szCs w:val="12"/>
                <w:color w:val="0000EE"/>
                <w:w w:val="99"/>
              </w:rPr>
            </w:pPr>
            <w:hyperlink w:anchor="page376">
              <w:r>
                <w:rPr>
                  <w:rFonts w:ascii="Arial" w:cs="Arial" w:eastAsia="Arial" w:hAnsi="Arial"/>
                  <w:sz w:val="12"/>
                  <w:szCs w:val="12"/>
                  <w:color w:val="0000EE"/>
                  <w:w w:val="99"/>
                </w:rPr>
                <w:t>Condensed Consolidated Statements of Shareholders’ Equity and Redeemable Noncontrolling Interest for the Three Months Ended</w:t>
              </w:r>
            </w:hyperlink>
          </w:p>
        </w:tc>
        <w:tc>
          <w:tcPr>
            <w:tcW w:w="360" w:type="dxa"/>
            <w:vAlign w:val="bottom"/>
          </w:tcPr>
          <w:p>
            <w:pPr>
              <w:spacing w:after="0"/>
              <w:rPr>
                <w:sz w:val="10"/>
                <w:szCs w:val="10"/>
                <w:color w:val="auto"/>
              </w:rPr>
            </w:pPr>
          </w:p>
        </w:tc>
      </w:tr>
      <w:tr>
        <w:trPr>
          <w:trHeight w:val="124"/>
        </w:trPr>
        <w:tc>
          <w:tcPr>
            <w:tcW w:w="120" w:type="dxa"/>
            <w:vAlign w:val="bottom"/>
            <w:tcBorders>
              <w:top w:val="single" w:sz="8" w:color="0000EE"/>
            </w:tcBorders>
          </w:tcPr>
          <w:p>
            <w:pPr>
              <w:spacing w:after="0"/>
              <w:rPr>
                <w:sz w:val="10"/>
                <w:szCs w:val="10"/>
                <w:color w:val="auto"/>
              </w:rPr>
            </w:pPr>
          </w:p>
        </w:tc>
        <w:tc>
          <w:tcPr>
            <w:tcW w:w="114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w:anchor="page376">
              <w:r>
                <w:rPr>
                  <w:rFonts w:ascii="Arial" w:cs="Arial" w:eastAsia="Arial" w:hAnsi="Arial"/>
                  <w:sz w:val="12"/>
                  <w:szCs w:val="12"/>
                  <w:color w:val="0000EE"/>
                  <w:w w:val="86"/>
                </w:rPr>
                <w:t>June 30, 2021 and 2020</w:t>
              </w:r>
            </w:hyperlink>
          </w:p>
        </w:tc>
        <w:tc>
          <w:tcPr>
            <w:tcW w:w="5020" w:type="dxa"/>
            <w:vAlign w:val="bottom"/>
            <w:tcBorders>
              <w:top w:val="single" w:sz="8" w:color="0000EE"/>
            </w:tcBorders>
            <w:gridSpan w:val="22"/>
          </w:tcPr>
          <w:p>
            <w:pPr>
              <w:spacing w:after="0"/>
              <w:rPr>
                <w:sz w:val="10"/>
                <w:szCs w:val="10"/>
                <w:color w:val="auto"/>
              </w:rPr>
            </w:pPr>
          </w:p>
        </w:tc>
        <w:tc>
          <w:tcPr>
            <w:tcW w:w="660" w:type="dxa"/>
            <w:vAlign w:val="bottom"/>
            <w:gridSpan w:val="2"/>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F-46</w:t>
            </w:r>
          </w:p>
        </w:tc>
      </w:tr>
      <w:tr>
        <w:trPr>
          <w:trHeight w:val="124"/>
        </w:trPr>
        <w:tc>
          <w:tcPr>
            <w:tcW w:w="6940" w:type="dxa"/>
            <w:vAlign w:val="bottom"/>
            <w:gridSpan w:val="26"/>
          </w:tcPr>
          <w:p>
            <w:pPr>
              <w:spacing w:after="0" w:line="124" w:lineRule="exact"/>
              <w:rPr>
                <w:rFonts w:ascii="Arial" w:cs="Arial" w:eastAsia="Arial" w:hAnsi="Arial"/>
                <w:sz w:val="12"/>
                <w:szCs w:val="12"/>
                <w:color w:val="0000EE"/>
              </w:rPr>
            </w:pPr>
            <w:hyperlink w:anchor="page377">
              <w:r>
                <w:rPr>
                  <w:rFonts w:ascii="Arial" w:cs="Arial" w:eastAsia="Arial" w:hAnsi="Arial"/>
                  <w:sz w:val="12"/>
                  <w:szCs w:val="12"/>
                  <w:color w:val="0000EE"/>
                </w:rPr>
                <w:t>Condensed Consolidated Statements of Cash Flows for the Three Months Ended June 30, 2021 and 2020</w:t>
              </w:r>
            </w:hyperlink>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F-47</w:t>
            </w:r>
          </w:p>
        </w:tc>
      </w:tr>
      <w:tr>
        <w:trPr>
          <w:trHeight w:val="124"/>
        </w:trPr>
        <w:tc>
          <w:tcPr>
            <w:tcW w:w="266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88"/>
              </w:rPr>
            </w:pPr>
            <w:hyperlink w:anchor="page378">
              <w:r>
                <w:rPr>
                  <w:rFonts w:ascii="Arial" w:cs="Arial" w:eastAsia="Arial" w:hAnsi="Arial"/>
                  <w:sz w:val="12"/>
                  <w:szCs w:val="12"/>
                  <w:color w:val="0000EE"/>
                  <w:w w:val="88"/>
                </w:rPr>
                <w:t>Notes to Condensed Consolidated Financial Statements</w:t>
              </w:r>
            </w:hyperlink>
          </w:p>
        </w:tc>
        <w:tc>
          <w:tcPr>
            <w:tcW w:w="2400" w:type="dxa"/>
            <w:vAlign w:val="bottom"/>
            <w:tcBorders>
              <w:top w:val="single" w:sz="8" w:color="0000EE"/>
            </w:tcBorders>
            <w:gridSpan w:val="13"/>
          </w:tcPr>
          <w:p>
            <w:pPr>
              <w:spacing w:after="0"/>
              <w:rPr>
                <w:sz w:val="10"/>
                <w:szCs w:val="10"/>
                <w:color w:val="auto"/>
              </w:rPr>
            </w:pPr>
          </w:p>
        </w:tc>
        <w:tc>
          <w:tcPr>
            <w:tcW w:w="1880" w:type="dxa"/>
            <w:vAlign w:val="bottom"/>
            <w:gridSpan w:val="6"/>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F-48</w:t>
            </w:r>
          </w:p>
        </w:tc>
      </w:tr>
      <w:tr>
        <w:trPr>
          <w:trHeight w:val="286"/>
        </w:trPr>
        <w:tc>
          <w:tcPr>
            <w:tcW w:w="6940" w:type="dxa"/>
            <w:vAlign w:val="bottom"/>
            <w:gridSpan w:val="26"/>
          </w:tcPr>
          <w:p>
            <w:pPr>
              <w:spacing w:after="0"/>
              <w:rPr>
                <w:sz w:val="20"/>
                <w:szCs w:val="20"/>
                <w:color w:val="auto"/>
              </w:rPr>
            </w:pPr>
            <w:r>
              <w:rPr>
                <w:rFonts w:ascii="Arial" w:cs="Arial" w:eastAsia="Arial" w:hAnsi="Arial"/>
                <w:sz w:val="12"/>
                <w:szCs w:val="12"/>
                <w:b w:val="1"/>
                <w:bCs w:val="1"/>
                <w:color w:val="auto"/>
              </w:rPr>
              <w:t>Audited Financial Statements for Montes Archimedes Acquisition Corp.</w:t>
            </w:r>
          </w:p>
        </w:tc>
        <w:tc>
          <w:tcPr>
            <w:tcW w:w="360" w:type="dxa"/>
            <w:vAlign w:val="bottom"/>
          </w:tcPr>
          <w:p>
            <w:pPr>
              <w:spacing w:after="0"/>
              <w:rPr>
                <w:sz w:val="24"/>
                <w:szCs w:val="24"/>
                <w:color w:val="auto"/>
              </w:rPr>
            </w:pPr>
          </w:p>
        </w:tc>
      </w:tr>
      <w:tr>
        <w:trPr>
          <w:trHeight w:val="126"/>
        </w:trPr>
        <w:tc>
          <w:tcPr>
            <w:tcW w:w="6940" w:type="dxa"/>
            <w:vAlign w:val="bottom"/>
            <w:gridSpan w:val="26"/>
          </w:tcPr>
          <w:p>
            <w:pPr>
              <w:spacing w:after="0" w:line="126" w:lineRule="exact"/>
              <w:rPr>
                <w:rFonts w:ascii="Arial" w:cs="Arial" w:eastAsia="Arial" w:hAnsi="Arial"/>
                <w:sz w:val="12"/>
                <w:szCs w:val="12"/>
                <w:color w:val="0000EE"/>
              </w:rPr>
            </w:pPr>
            <w:hyperlink w:anchor="page393">
              <w:r>
                <w:rPr>
                  <w:rFonts w:ascii="Arial" w:cs="Arial" w:eastAsia="Arial" w:hAnsi="Arial"/>
                  <w:sz w:val="12"/>
                  <w:szCs w:val="12"/>
                  <w:color w:val="0000EE"/>
                </w:rPr>
                <w:t>Report of Independent Registered Public Accounting Firm</w:t>
              </w:r>
            </w:hyperlink>
          </w:p>
        </w:tc>
        <w:tc>
          <w:tcPr>
            <w:tcW w:w="360" w:type="dxa"/>
            <w:vAlign w:val="bottom"/>
          </w:tcPr>
          <w:p>
            <w:pPr>
              <w:jc w:val="right"/>
              <w:spacing w:after="0" w:line="126" w:lineRule="exact"/>
              <w:rPr>
                <w:sz w:val="20"/>
                <w:szCs w:val="20"/>
                <w:color w:val="auto"/>
              </w:rPr>
            </w:pPr>
            <w:r>
              <w:rPr>
                <w:rFonts w:ascii="Arial" w:cs="Arial" w:eastAsia="Arial" w:hAnsi="Arial"/>
                <w:sz w:val="12"/>
                <w:szCs w:val="12"/>
                <w:color w:val="auto"/>
              </w:rPr>
              <w:t>F-65</w:t>
            </w:r>
          </w:p>
        </w:tc>
      </w:tr>
      <w:tr>
        <w:trPr>
          <w:trHeight w:val="124"/>
        </w:trPr>
        <w:tc>
          <w:tcPr>
            <w:tcW w:w="280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w:anchor="page394">
              <w:r>
                <w:rPr>
                  <w:rFonts w:ascii="Arial" w:cs="Arial" w:eastAsia="Arial" w:hAnsi="Arial"/>
                  <w:sz w:val="12"/>
                  <w:szCs w:val="12"/>
                  <w:color w:val="0000EE"/>
                </w:rPr>
                <w:t>Balance Sheet as of December 31, 2020</w:t>
              </w:r>
            </w:hyperlink>
          </w:p>
        </w:tc>
        <w:tc>
          <w:tcPr>
            <w:tcW w:w="4140" w:type="dxa"/>
            <w:vAlign w:val="bottom"/>
            <w:gridSpan w:val="18"/>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F-66</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4"/>
        </w:trPr>
        <w:tc>
          <w:tcPr>
            <w:tcW w:w="466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w:anchor="page395">
              <w:r>
                <w:rPr>
                  <w:rFonts w:ascii="Arial" w:cs="Arial" w:eastAsia="Arial" w:hAnsi="Arial"/>
                  <w:sz w:val="12"/>
                  <w:szCs w:val="12"/>
                  <w:color w:val="0000EE"/>
                  <w:w w:val="90"/>
                </w:rPr>
                <w:t>Statement of Operations for the period from July 6, 2020 (inception) through December 31, 2020</w:t>
              </w:r>
            </w:hyperlink>
          </w:p>
        </w:tc>
        <w:tc>
          <w:tcPr>
            <w:tcW w:w="2280" w:type="dxa"/>
            <w:vAlign w:val="bottom"/>
            <w:gridSpan w:val="9"/>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F-67</w:t>
            </w:r>
          </w:p>
        </w:tc>
      </w:tr>
      <w:tr>
        <w:trPr>
          <w:trHeight w:val="124"/>
        </w:trPr>
        <w:tc>
          <w:tcPr>
            <w:tcW w:w="572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w:anchor="page396">
              <w:r>
                <w:rPr>
                  <w:rFonts w:ascii="Arial" w:cs="Arial" w:eastAsia="Arial" w:hAnsi="Arial"/>
                  <w:sz w:val="12"/>
                  <w:szCs w:val="12"/>
                  <w:color w:val="0000EE"/>
                  <w:w w:val="91"/>
                </w:rPr>
                <w:t>Statement of Changes in Stockholders’ Equity for the period from July 6, 2020 (inception) through December 31, 2020</w:t>
              </w:r>
            </w:hyperlink>
          </w:p>
        </w:tc>
        <w:tc>
          <w:tcPr>
            <w:tcW w:w="1220" w:type="dxa"/>
            <w:vAlign w:val="bottom"/>
            <w:gridSpan w:val="3"/>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F-68</w:t>
            </w:r>
          </w:p>
        </w:tc>
      </w:tr>
      <w:tr>
        <w:trPr>
          <w:trHeight w:val="124"/>
        </w:trPr>
        <w:tc>
          <w:tcPr>
            <w:tcW w:w="470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397">
              <w:r>
                <w:rPr>
                  <w:rFonts w:ascii="Arial" w:cs="Arial" w:eastAsia="Arial" w:hAnsi="Arial"/>
                  <w:sz w:val="12"/>
                  <w:szCs w:val="12"/>
                  <w:color w:val="0000EE"/>
                  <w:w w:val="90"/>
                </w:rPr>
                <w:t>Statement of Cash Flows for the period from July 6, 2020 (inception) through December 31, 2020</w:t>
              </w:r>
            </w:hyperlink>
          </w:p>
        </w:tc>
        <w:tc>
          <w:tcPr>
            <w:tcW w:w="2240" w:type="dxa"/>
            <w:vAlign w:val="bottom"/>
            <w:gridSpan w:val="8"/>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F-69</w:t>
            </w:r>
          </w:p>
        </w:tc>
      </w:tr>
      <w:tr>
        <w:trPr>
          <w:trHeight w:val="124"/>
        </w:trPr>
        <w:tc>
          <w:tcPr>
            <w:tcW w:w="6940" w:type="dxa"/>
            <w:vAlign w:val="bottom"/>
            <w:gridSpan w:val="26"/>
          </w:tcPr>
          <w:p>
            <w:pPr>
              <w:spacing w:after="0" w:line="124" w:lineRule="exact"/>
              <w:rPr>
                <w:rFonts w:ascii="Arial" w:cs="Arial" w:eastAsia="Arial" w:hAnsi="Arial"/>
                <w:sz w:val="12"/>
                <w:szCs w:val="12"/>
                <w:color w:val="0000EE"/>
              </w:rPr>
            </w:pPr>
            <w:hyperlink w:anchor="page398">
              <w:r>
                <w:rPr>
                  <w:rFonts w:ascii="Arial" w:cs="Arial" w:eastAsia="Arial" w:hAnsi="Arial"/>
                  <w:sz w:val="12"/>
                  <w:szCs w:val="12"/>
                  <w:color w:val="0000EE"/>
                </w:rPr>
                <w:t>Notes to Financial Statements</w:t>
              </w:r>
            </w:hyperlink>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F-70</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5"/>
        </w:trPr>
        <w:tc>
          <w:tcPr>
            <w:tcW w:w="6940" w:type="dxa"/>
            <w:vAlign w:val="bottom"/>
            <w:gridSpan w:val="26"/>
          </w:tcPr>
          <w:p>
            <w:pPr>
              <w:spacing w:after="0"/>
              <w:rPr>
                <w:sz w:val="20"/>
                <w:szCs w:val="20"/>
                <w:color w:val="auto"/>
              </w:rPr>
            </w:pPr>
            <w:r>
              <w:rPr>
                <w:rFonts w:ascii="Arial" w:cs="Arial" w:eastAsia="Arial" w:hAnsi="Arial"/>
                <w:sz w:val="12"/>
                <w:szCs w:val="12"/>
                <w:b w:val="1"/>
                <w:bCs w:val="1"/>
                <w:color w:val="auto"/>
              </w:rPr>
              <w:t>Unaudited Interim Financial Statements for Montes Archimedes Acquisition Corp.</w:t>
            </w:r>
          </w:p>
        </w:tc>
        <w:tc>
          <w:tcPr>
            <w:tcW w:w="360" w:type="dxa"/>
            <w:vAlign w:val="bottom"/>
          </w:tcPr>
          <w:p>
            <w:pPr>
              <w:spacing w:after="0"/>
              <w:rPr>
                <w:sz w:val="24"/>
                <w:szCs w:val="24"/>
                <w:color w:val="auto"/>
              </w:rPr>
            </w:pPr>
          </w:p>
        </w:tc>
      </w:tr>
      <w:tr>
        <w:trPr>
          <w:trHeight w:val="261"/>
        </w:trPr>
        <w:tc>
          <w:tcPr>
            <w:tcW w:w="6940" w:type="dxa"/>
            <w:vAlign w:val="bottom"/>
            <w:gridSpan w:val="26"/>
          </w:tcPr>
          <w:p>
            <w:pPr>
              <w:spacing w:after="0"/>
              <w:rPr>
                <w:rFonts w:ascii="Arial" w:cs="Arial" w:eastAsia="Arial" w:hAnsi="Arial"/>
                <w:sz w:val="12"/>
                <w:szCs w:val="12"/>
                <w:color w:val="0000EE"/>
              </w:rPr>
            </w:pPr>
            <w:hyperlink w:anchor="page416">
              <w:r>
                <w:rPr>
                  <w:rFonts w:ascii="Arial" w:cs="Arial" w:eastAsia="Arial" w:hAnsi="Arial"/>
                  <w:sz w:val="12"/>
                  <w:szCs w:val="12"/>
                  <w:color w:val="0000EE"/>
                </w:rPr>
                <w:t>Condensed Balance Sheet as of June 30, 2021 (Unaudited) and December 31, 2020</w:t>
              </w:r>
            </w:hyperlink>
          </w:p>
        </w:tc>
        <w:tc>
          <w:tcPr>
            <w:tcW w:w="360" w:type="dxa"/>
            <w:vAlign w:val="bottom"/>
          </w:tcPr>
          <w:p>
            <w:pPr>
              <w:jc w:val="right"/>
              <w:spacing w:after="0"/>
              <w:rPr>
                <w:sz w:val="20"/>
                <w:szCs w:val="20"/>
                <w:color w:val="auto"/>
              </w:rPr>
            </w:pPr>
            <w:r>
              <w:rPr>
                <w:rFonts w:ascii="Arial" w:cs="Arial" w:eastAsia="Arial" w:hAnsi="Arial"/>
                <w:sz w:val="12"/>
                <w:szCs w:val="12"/>
                <w:color w:val="auto"/>
              </w:rPr>
              <w:t>F-88</w:t>
            </w:r>
          </w:p>
        </w:tc>
      </w:tr>
      <w:tr>
        <w:trPr>
          <w:trHeight w:val="20"/>
        </w:trPr>
        <w:tc>
          <w:tcPr>
            <w:tcW w:w="2520" w:type="dxa"/>
            <w:vAlign w:val="bottom"/>
            <w:gridSpan w:val="6"/>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4"/>
        </w:trPr>
        <w:tc>
          <w:tcPr>
            <w:tcW w:w="4640" w:type="dxa"/>
            <w:vAlign w:val="bottom"/>
            <w:tcBorders>
              <w:bottom w:val="single" w:sz="8" w:color="0000EE"/>
            </w:tcBorders>
            <w:gridSpan w:val="16"/>
          </w:tcPr>
          <w:p>
            <w:pPr>
              <w:spacing w:after="0" w:line="124" w:lineRule="exact"/>
              <w:rPr>
                <w:rFonts w:ascii="Arial" w:cs="Arial" w:eastAsia="Arial" w:hAnsi="Arial"/>
                <w:sz w:val="12"/>
                <w:szCs w:val="12"/>
                <w:color w:val="0000EE"/>
                <w:w w:val="88"/>
              </w:rPr>
            </w:pPr>
            <w:hyperlink w:anchor="page417">
              <w:r>
                <w:rPr>
                  <w:rFonts w:ascii="Arial" w:cs="Arial" w:eastAsia="Arial" w:hAnsi="Arial"/>
                  <w:sz w:val="12"/>
                  <w:szCs w:val="12"/>
                  <w:color w:val="0000EE"/>
                  <w:w w:val="88"/>
                </w:rPr>
                <w:t>Unaudited Condensed Statement of Operations for the three and six months ended June 30, 2021</w:t>
              </w:r>
            </w:hyperlink>
          </w:p>
        </w:tc>
        <w:tc>
          <w:tcPr>
            <w:tcW w:w="2300" w:type="dxa"/>
            <w:vAlign w:val="bottom"/>
            <w:gridSpan w:val="10"/>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F-89</w:t>
            </w:r>
          </w:p>
        </w:tc>
      </w:tr>
      <w:tr>
        <w:trPr>
          <w:trHeight w:val="124"/>
        </w:trPr>
        <w:tc>
          <w:tcPr>
            <w:tcW w:w="5700" w:type="dxa"/>
            <w:vAlign w:val="bottom"/>
            <w:tcBorders>
              <w:bottom w:val="single" w:sz="8" w:color="0000EE"/>
            </w:tcBorders>
            <w:gridSpan w:val="22"/>
          </w:tcPr>
          <w:p>
            <w:pPr>
              <w:spacing w:after="0" w:line="124" w:lineRule="exact"/>
              <w:rPr>
                <w:rFonts w:ascii="Arial" w:cs="Arial" w:eastAsia="Arial" w:hAnsi="Arial"/>
                <w:sz w:val="12"/>
                <w:szCs w:val="12"/>
                <w:color w:val="0000EE"/>
                <w:w w:val="89"/>
              </w:rPr>
            </w:pPr>
            <w:hyperlink w:anchor="page418">
              <w:r>
                <w:rPr>
                  <w:rFonts w:ascii="Arial" w:cs="Arial" w:eastAsia="Arial" w:hAnsi="Arial"/>
                  <w:sz w:val="12"/>
                  <w:szCs w:val="12"/>
                  <w:color w:val="0000EE"/>
                  <w:w w:val="89"/>
                </w:rPr>
                <w:t>Unaudited Condensed Statement of Changes in Stockholders’ Equity for the three and six months ended June 30, 2021</w:t>
              </w:r>
            </w:hyperlink>
          </w:p>
        </w:tc>
        <w:tc>
          <w:tcPr>
            <w:tcW w:w="1240" w:type="dxa"/>
            <w:vAlign w:val="bottom"/>
            <w:gridSpan w:val="4"/>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F-90</w:t>
            </w:r>
          </w:p>
        </w:tc>
      </w:tr>
      <w:tr>
        <w:trPr>
          <w:trHeight w:val="124"/>
        </w:trPr>
        <w:tc>
          <w:tcPr>
            <w:tcW w:w="6940" w:type="dxa"/>
            <w:vAlign w:val="bottom"/>
            <w:gridSpan w:val="26"/>
          </w:tcPr>
          <w:p>
            <w:pPr>
              <w:spacing w:after="0" w:line="124" w:lineRule="exact"/>
              <w:rPr>
                <w:rFonts w:ascii="Arial" w:cs="Arial" w:eastAsia="Arial" w:hAnsi="Arial"/>
                <w:sz w:val="12"/>
                <w:szCs w:val="12"/>
                <w:color w:val="0000EE"/>
              </w:rPr>
            </w:pPr>
            <w:hyperlink w:anchor="page419">
              <w:r>
                <w:rPr>
                  <w:rFonts w:ascii="Arial" w:cs="Arial" w:eastAsia="Arial" w:hAnsi="Arial"/>
                  <w:sz w:val="12"/>
                  <w:szCs w:val="12"/>
                  <w:color w:val="0000EE"/>
                </w:rPr>
                <w:t>Unaudited Condensed Statement of Cash Flows for the six months ended June 30, 2021</w:t>
              </w:r>
            </w:hyperlink>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F-91</w:t>
            </w:r>
          </w:p>
        </w:tc>
      </w:tr>
      <w:tr>
        <w:trPr>
          <w:trHeight w:val="124"/>
        </w:trPr>
        <w:tc>
          <w:tcPr>
            <w:tcW w:w="420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w:anchor="page420">
              <w:r>
                <w:rPr>
                  <w:rFonts w:ascii="Arial" w:cs="Arial" w:eastAsia="Arial" w:hAnsi="Arial"/>
                  <w:sz w:val="12"/>
                  <w:szCs w:val="12"/>
                  <w:color w:val="0000EE"/>
                </w:rPr>
                <w:t>Notes to Unaudited Condensed Financial Statements</w:t>
              </w:r>
            </w:hyperlink>
          </w:p>
        </w:tc>
        <w:tc>
          <w:tcPr>
            <w:tcW w:w="2740" w:type="dxa"/>
            <w:vAlign w:val="bottom"/>
            <w:gridSpan w:val="11"/>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rPr>
              <w:t>F-92</w:t>
            </w:r>
          </w:p>
        </w:tc>
      </w:tr>
      <w:tr>
        <w:trPr>
          <w:trHeight w:val="250"/>
        </w:trPr>
        <w:tc>
          <w:tcPr>
            <w:tcW w:w="120" w:type="dxa"/>
            <w:vAlign w:val="bottom"/>
            <w:tcBorders>
              <w:top w:val="single" w:sz="8" w:color="0000EE"/>
            </w:tcBorders>
          </w:tcPr>
          <w:p>
            <w:pPr>
              <w:spacing w:after="0"/>
              <w:rPr>
                <w:sz w:val="21"/>
                <w:szCs w:val="21"/>
                <w:color w:val="auto"/>
              </w:rPr>
            </w:pPr>
          </w:p>
        </w:tc>
        <w:tc>
          <w:tcPr>
            <w:tcW w:w="11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gridSpan w:val="16"/>
          </w:tcPr>
          <w:p>
            <w:pPr>
              <w:ind w:left="660"/>
              <w:spacing w:after="0"/>
              <w:rPr>
                <w:sz w:val="20"/>
                <w:szCs w:val="20"/>
                <w:color w:val="auto"/>
              </w:rPr>
            </w:pPr>
            <w:r>
              <w:rPr>
                <w:rFonts w:ascii="Arial" w:cs="Arial" w:eastAsia="Arial" w:hAnsi="Arial"/>
                <w:sz w:val="12"/>
                <w:szCs w:val="12"/>
                <w:color w:val="auto"/>
              </w:rPr>
              <w:t>F-1</w:t>
            </w:r>
          </w:p>
        </w:tc>
        <w:tc>
          <w:tcPr>
            <w:tcW w:w="36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331" w:name="page332"/>
    <w:bookmarkEnd w:id="3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the Board of Directors of Roivant Sciences Ltd.</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Opinion on the Financial Statements</w:t>
      </w:r>
    </w:p>
    <w:p>
      <w:pPr>
        <w:spacing w:after="0" w:line="8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We have audited the accompanying consolidated balance sheets of Roivant Sciences Ltd. (the Company) as of March 31, 2021 and 2020, the related consolidated statements of operations, comprehensive (loss) income, shareholders’ equity and redeemable noncontrolling interest and cash flows for each of the two years in the period ended March 31, 2021, and the related notes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two years in the period ended March 31, 2021, in conformity with U.S. generally accepted accounting principles.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Basis for Opinion</w:t>
      </w:r>
    </w:p>
    <w:p>
      <w:pPr>
        <w:spacing w:after="0" w:line="82"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8" w:lineRule="exact"/>
        <w:rPr>
          <w:sz w:val="20"/>
          <w:szCs w:val="20"/>
          <w:color w:val="auto"/>
        </w:rPr>
      </w:pPr>
    </w:p>
    <w:p>
      <w:pPr>
        <w:ind w:left="1980" w:right="859"/>
        <w:spacing w:after="0" w:line="326" w:lineRule="auto"/>
        <w:rPr>
          <w:sz w:val="20"/>
          <w:szCs w:val="20"/>
          <w:color w:val="auto"/>
        </w:rPr>
      </w:pPr>
      <w:r>
        <w:rPr>
          <w:rFonts w:ascii="Arial" w:cs="Arial" w:eastAsia="Arial" w:hAnsi="Arial"/>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2016.</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Iselin, New Jersey</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June 30, 2021</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72" w:right="1440" w:bottom="1440" w:gutter="0" w:footer="0" w:header="0"/>
        </w:sectPr>
      </w:pPr>
    </w:p>
    <w:bookmarkStart w:id="332" w:name="page333"/>
    <w:bookmarkEnd w:id="3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Arial" w:cs="Arial" w:eastAsia="Arial" w:hAnsi="Arial"/>
                <w:sz w:val="10"/>
                <w:szCs w:val="10"/>
                <w:b w:val="1"/>
                <w:bCs w:val="1"/>
                <w:color w:val="auto"/>
              </w:rPr>
              <w:t>March 31, 2021</w:t>
            </w: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133"/>
        </w:trPr>
        <w:tc>
          <w:tcPr>
            <w:tcW w:w="5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2,055,044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2,183,207</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77,701</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2,275</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54,250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33,763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2,186,995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2,219,245</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14,749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8,962</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62,279</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64,970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 net of current portion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83,770</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Investments measured at fair value</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188,978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93,445</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100,563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27,197</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6,659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2,589,692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2,477,051</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Arial" w:cs="Arial" w:eastAsia="Arial" w:hAnsi="Arial"/>
                <w:sz w:val="12"/>
                <w:szCs w:val="12"/>
                <w:b w:val="1"/>
                <w:bCs w:val="1"/>
                <w:color w:val="auto"/>
              </w:rPr>
              <w:t>Liabilities, Redeemable Noncontrolling Interest and Shareholders’ Equity</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20,550</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10,306</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76,936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68,621</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12,313</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7,839</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consideration liability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9,162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5,352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218,961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92,118</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Liability instruments measured at fair value</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67,893</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102,373</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62,384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64,452</w:t>
            </w:r>
          </w:p>
        </w:tc>
        <w:tc>
          <w:tcPr>
            <w:tcW w:w="0" w:type="dxa"/>
            <w:vAlign w:val="bottom"/>
          </w:tcPr>
          <w:p>
            <w:pPr>
              <w:spacing w:after="0"/>
              <w:rPr>
                <w:sz w:val="1"/>
                <w:szCs w:val="1"/>
                <w:color w:val="auto"/>
              </w:rPr>
            </w:pPr>
          </w:p>
        </w:tc>
      </w:tr>
      <w:tr>
        <w:trPr>
          <w:trHeight w:val="135"/>
        </w:trPr>
        <w:tc>
          <w:tcPr>
            <w:tcW w:w="5620" w:type="dxa"/>
            <w:vAlign w:val="bottom"/>
          </w:tcPr>
          <w:p>
            <w:pPr>
              <w:spacing w:after="0" w:line="135" w:lineRule="exact"/>
              <w:rPr>
                <w:sz w:val="20"/>
                <w:szCs w:val="20"/>
                <w:color w:val="auto"/>
              </w:rPr>
            </w:pPr>
            <w:r>
              <w:rPr>
                <w:rFonts w:ascii="Arial" w:cs="Arial" w:eastAsia="Arial" w:hAnsi="Arial"/>
                <w:sz w:val="12"/>
                <w:szCs w:val="12"/>
                <w:color w:val="auto"/>
                <w:w w:val="97"/>
              </w:rPr>
              <w:t>Long-term debt (includes $150,100 and $89,100 accounted for under the fair value option at March 31, 2021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20"/>
              <w:spacing w:after="0"/>
              <w:rPr>
                <w:sz w:val="20"/>
                <w:szCs w:val="20"/>
                <w:color w:val="auto"/>
              </w:rPr>
            </w:pPr>
            <w:r>
              <w:rPr>
                <w:rFonts w:ascii="Arial" w:cs="Arial" w:eastAsia="Arial" w:hAnsi="Arial"/>
                <w:sz w:val="12"/>
                <w:szCs w:val="12"/>
                <w:color w:val="auto"/>
              </w:rPr>
              <w:t>and 2020, respectively)</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170,280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108,592</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8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527,687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368,356</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14)</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Redeemable noncontrolling interest</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22,491</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22,491</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20" w:type="dxa"/>
            <w:vAlign w:val="bottom"/>
          </w:tcPr>
          <w:p>
            <w:pPr>
              <w:ind w:left="240"/>
              <w:spacing w:after="0" w:line="135" w:lineRule="exact"/>
              <w:rPr>
                <w:sz w:val="20"/>
                <w:szCs w:val="20"/>
                <w:color w:val="auto"/>
              </w:rPr>
            </w:pPr>
            <w:r>
              <w:rPr>
                <w:rFonts w:ascii="Arial" w:cs="Arial" w:eastAsia="Arial" w:hAnsi="Arial"/>
                <w:sz w:val="12"/>
                <w:szCs w:val="12"/>
                <w:color w:val="auto"/>
                <w:w w:val="96"/>
              </w:rPr>
              <w:t>Common shares, par value $ 0.0000001 per share, 100,000,000,000 shares authorized and 222,669,799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360"/>
              <w:spacing w:after="0"/>
              <w:rPr>
                <w:sz w:val="20"/>
                <w:szCs w:val="20"/>
                <w:color w:val="auto"/>
              </w:rPr>
            </w:pPr>
            <w:r>
              <w:rPr>
                <w:rFonts w:ascii="Arial" w:cs="Arial" w:eastAsia="Arial" w:hAnsi="Arial"/>
                <w:sz w:val="12"/>
                <w:szCs w:val="12"/>
                <w:color w:val="auto"/>
              </w:rPr>
              <w:t>and 214,879,058 shares issued and outstanding at March 31, 2021 and 2020, respectively</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3,814,805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3,143,739</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Subscription receivable</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1"/>
              </w:rPr>
              <w:t>(1,918,462)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1"/>
              </w:rPr>
              <w:t>(1,109,228)</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Accumulated other comprehensive income (loss)</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1,445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(2,349)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Shareholders’ equity attributable to Roivant Sciences Ltd.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1,797,788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2,032,162</w:t>
            </w:r>
          </w:p>
        </w:tc>
        <w:tc>
          <w:tcPr>
            <w:tcW w:w="0" w:type="dxa"/>
            <w:vAlign w:val="bottom"/>
          </w:tcPr>
          <w:p>
            <w:pPr>
              <w:spacing w:after="0"/>
              <w:rPr>
                <w:sz w:val="1"/>
                <w:szCs w:val="1"/>
                <w:color w:val="auto"/>
              </w:rPr>
            </w:pPr>
          </w:p>
        </w:tc>
      </w:tr>
      <w:tr>
        <w:trPr>
          <w:trHeight w:val="144"/>
        </w:trPr>
        <w:tc>
          <w:tcPr>
            <w:tcW w:w="5620" w:type="dxa"/>
            <w:vAlign w:val="bottom"/>
          </w:tcPr>
          <w:p>
            <w:pPr>
              <w:ind w:left="48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241,726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54,042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shareholders’ equity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2,039,514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2,086,204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80"/>
              <w:spacing w:after="0"/>
              <w:rPr>
                <w:sz w:val="20"/>
                <w:szCs w:val="20"/>
                <w:color w:val="auto"/>
              </w:rPr>
            </w:pPr>
            <w:r>
              <w:rPr>
                <w:rFonts w:ascii="Arial" w:cs="Arial" w:eastAsia="Arial" w:hAnsi="Arial"/>
                <w:sz w:val="12"/>
                <w:szCs w:val="12"/>
                <w:color w:val="auto"/>
              </w:rPr>
              <w:t>Total liabilities, redeemable noncontrolling interest and shareholders’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2,589,692</w:t>
            </w:r>
          </w:p>
        </w:tc>
        <w:tc>
          <w:tcPr>
            <w:tcW w:w="3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2,477,051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72" w:right="1440" w:bottom="1440" w:gutter="0" w:footer="0" w:header="0"/>
        </w:sectPr>
      </w:pPr>
    </w:p>
    <w:bookmarkStart w:id="333" w:name="page334"/>
    <w:bookmarkEnd w:id="3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5"/>
          </w:tcPr>
          <w:p>
            <w:pPr>
              <w:jc w:val="right"/>
              <w:ind w:right="480"/>
              <w:spacing w:after="0"/>
              <w:rPr>
                <w:sz w:val="20"/>
                <w:szCs w:val="20"/>
                <w:color w:val="auto"/>
              </w:rPr>
            </w:pPr>
            <w:r>
              <w:rPr>
                <w:rFonts w:ascii="Arial" w:cs="Arial" w:eastAsia="Arial" w:hAnsi="Arial"/>
                <w:sz w:val="10"/>
                <w:szCs w:val="10"/>
                <w:b w:val="1"/>
                <w:bCs w:val="1"/>
                <w:color w:val="auto"/>
              </w:rPr>
              <w:t>Years Ended March 31,</w:t>
            </w:r>
          </w:p>
        </w:tc>
        <w:tc>
          <w:tcPr>
            <w:tcW w:w="0" w:type="dxa"/>
            <w:vAlign w:val="bottom"/>
          </w:tcPr>
          <w:p>
            <w:pPr>
              <w:spacing w:after="0"/>
              <w:rPr>
                <w:sz w:val="1"/>
                <w:szCs w:val="1"/>
                <w:color w:val="auto"/>
              </w:rPr>
            </w:pPr>
          </w:p>
        </w:tc>
      </w:tr>
      <w:tr>
        <w:trPr>
          <w:trHeight w:val="97"/>
        </w:trPr>
        <w:tc>
          <w:tcPr>
            <w:tcW w:w="55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81"/>
              <w:spacing w:after="0" w:line="97" w:lineRule="exact"/>
              <w:rPr>
                <w:sz w:val="20"/>
                <w:szCs w:val="20"/>
                <w:color w:val="auto"/>
              </w:rPr>
            </w:pPr>
            <w:r>
              <w:rPr>
                <w:rFonts w:ascii="Arial" w:cs="Arial" w:eastAsia="Arial" w:hAnsi="Arial"/>
                <w:sz w:val="10"/>
                <w:szCs w:val="10"/>
                <w:b w:val="1"/>
                <w:bCs w:val="1"/>
                <w:color w:val="auto"/>
              </w:rPr>
              <w:t>2021</w:t>
            </w:r>
          </w:p>
        </w:tc>
        <w:tc>
          <w:tcPr>
            <w:tcW w:w="4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80"/>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23,795</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67,689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Operating expenses: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2,057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1,131</w:t>
            </w:r>
          </w:p>
        </w:tc>
        <w:tc>
          <w:tcPr>
            <w:tcW w:w="0" w:type="dxa"/>
            <w:vAlign w:val="bottom"/>
          </w:tcPr>
          <w:p>
            <w:pPr>
              <w:spacing w:after="0"/>
              <w:rPr>
                <w:sz w:val="1"/>
                <w:szCs w:val="1"/>
                <w:color w:val="auto"/>
              </w:rPr>
            </w:pP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color w:val="auto"/>
              </w:rPr>
              <w:t>832,758</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263,217</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259,878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335,766</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80"/>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1,094,693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600,114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(1,070,898)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(532,425)</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Change in fair value of investments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(95,533)</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136,005</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29,845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(13,722)</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Gain on deconsolidation of subsidiary and consolidation of unconsolidated entity</w:t>
            </w:r>
          </w:p>
        </w:tc>
        <w:tc>
          <w:tcPr>
            <w:tcW w:w="8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(115,364)</w:t>
            </w: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(107,344)</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13,622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Loss from continuing operations before income taxes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(898,547)</w:t>
            </w: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(560,986)</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7,124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Loss from continuing operations, net of tax</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(900,233)</w:t>
            </w: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(568,110)</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Income from discontinued operations, net of tax</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1,578,426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Net (loss)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(900,233)</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1,010,316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(90,999)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(190,193)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Net (loss) income attributable to Roivant Sciences Ltd.</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(809,234)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1,200,509</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Amounts attributable to Roivant Sciences Ltd.:</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Loss from continuing operations, net of tax</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(809,234)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(519,394)</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Income from discontinued operations, net of tax</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1,719,903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2"/>
                <w:szCs w:val="12"/>
                <w:color w:val="auto"/>
              </w:rPr>
              <w:t>Net (loss) income attributable to Roivant Sciences Ltd.</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(809,234)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1,200,509</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net (loss) income per common share:</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Basic and diluted loss from continuing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(3.76)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 and diluted income from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Basic and diluted net (loss) income per common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(3.76)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5.13</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Basic</w:t>
            </w:r>
          </w:p>
        </w:tc>
        <w:tc>
          <w:tcPr>
            <w:tcW w:w="8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color w:val="auto"/>
                <w:w w:val="86"/>
              </w:rPr>
              <w:t>215,312,273</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219,036,630</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86"/>
              </w:rPr>
              <w:t>215,312,273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219,036,630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72" w:right="1440" w:bottom="1440" w:gutter="0" w:footer="0" w:header="0"/>
        </w:sectPr>
      </w:pPr>
    </w:p>
    <w:bookmarkStart w:id="334" w:name="page335"/>
    <w:bookmarkEnd w:id="3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Comprehensive (Loss) Income</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Years Ended March 31,</w:t>
            </w:r>
          </w:p>
        </w:tc>
        <w:tc>
          <w:tcPr>
            <w:tcW w:w="0" w:type="dxa"/>
            <w:vAlign w:val="bottom"/>
          </w:tcPr>
          <w:p>
            <w:pPr>
              <w:spacing w:after="0"/>
              <w:rPr>
                <w:sz w:val="1"/>
                <w:szCs w:val="1"/>
                <w:color w:val="auto"/>
              </w:rPr>
            </w:pPr>
          </w:p>
        </w:tc>
      </w:tr>
      <w:tr>
        <w:trPr>
          <w:trHeight w:val="97"/>
        </w:trPr>
        <w:tc>
          <w:tcPr>
            <w:tcW w:w="59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23"/>
              <w:spacing w:after="0" w:line="97"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4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 income</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1"/>
              </w:rPr>
              <w:t>$ (900,233)</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1"/>
              </w:rPr>
              <w:t>$ 1,010,316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3,826</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(5,536)</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40"/>
              <w:spacing w:after="0"/>
              <w:rPr>
                <w:sz w:val="20"/>
                <w:szCs w:val="20"/>
                <w:color w:val="auto"/>
              </w:rPr>
            </w:pPr>
            <w:r>
              <w:rPr>
                <w:rFonts w:ascii="Arial" w:cs="Arial" w:eastAsia="Arial" w:hAnsi="Arial"/>
                <w:sz w:val="12"/>
                <w:szCs w:val="12"/>
                <w:color w:val="auto"/>
              </w:rPr>
              <w:t>Total other comprehensive income (loss)</w:t>
            </w: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3,826</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(5,536)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(896,407)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1,004,780</w:t>
            </w: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Arial" w:cs="Arial" w:eastAsia="Arial" w:hAnsi="Arial"/>
                <w:sz w:val="12"/>
                <w:szCs w:val="12"/>
                <w:color w:val="auto"/>
              </w:rPr>
              <w:t>Comprehensive loss attributable to noncontrolling interests</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(90,967)</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(190,862)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 income attributable to Roivant Sciences Ltd.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7"/>
              </w:rPr>
              <w:t>$ (805,440)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$ 1,195,642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72" w:right="1440" w:bottom="1440" w:gutter="0" w:footer="0" w:header="0"/>
        </w:sectPr>
      </w:pPr>
    </w:p>
    <w:bookmarkStart w:id="335" w:name="page336"/>
    <w:bookmarkEnd w:id="3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 of Shareholders’ Equity and Redeemable Noncontrolling Interest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 except share data)</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Shareholders’ Equity</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0"/>
                <w:szCs w:val="10"/>
                <w:b w:val="1"/>
                <w:bCs w:val="1"/>
                <w:color w:val="auto"/>
                <w:w w:val="84"/>
              </w:rPr>
              <w:t>Common Stock</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tcPr>
          <w:p>
            <w:pPr>
              <w:jc w:val="right"/>
              <w:ind w:right="160"/>
              <w:spacing w:after="0" w:line="74"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84"/>
              </w:rPr>
              <w:t>Redeemable</w:t>
            </w:r>
          </w:p>
        </w:tc>
        <w:tc>
          <w:tcPr>
            <w:tcW w:w="800" w:type="dxa"/>
            <w:vAlign w:val="bottom"/>
            <w:tcBorders>
              <w:bottom w:val="single" w:sz="8" w:color="auto"/>
            </w:tcBorders>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85"/>
              </w:rPr>
              <w:t>Additional</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720" w:type="dxa"/>
            <w:vAlign w:val="bottom"/>
            <w:gridSpan w:val="4"/>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tcPr>
          <w:p>
            <w:pPr>
              <w:jc w:val="right"/>
              <w:ind w:right="180"/>
              <w:spacing w:after="0" w:line="74" w:lineRule="exact"/>
              <w:rPr>
                <w:sz w:val="20"/>
                <w:szCs w:val="20"/>
                <w:color w:val="auto"/>
              </w:rPr>
            </w:pPr>
            <w:r>
              <w:rPr>
                <w:rFonts w:ascii="Arial" w:cs="Arial" w:eastAsia="Arial" w:hAnsi="Arial"/>
                <w:sz w:val="8"/>
                <w:szCs w:val="8"/>
                <w:b w:val="1"/>
                <w:bCs w:val="1"/>
                <w:color w:val="auto"/>
              </w:rPr>
              <w:t>Paid-in</w:t>
            </w:r>
          </w:p>
        </w:tc>
        <w:tc>
          <w:tcPr>
            <w:tcW w:w="64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Subscription</w:t>
            </w:r>
          </w:p>
        </w:tc>
        <w:tc>
          <w:tcPr>
            <w:tcW w:w="7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Comprehensive</w:t>
            </w:r>
          </w:p>
        </w:tc>
        <w:tc>
          <w:tcPr>
            <w:tcW w:w="64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Accumulated</w:t>
            </w:r>
          </w:p>
        </w:tc>
        <w:tc>
          <w:tcPr>
            <w:tcW w:w="740" w:type="dxa"/>
            <w:vAlign w:val="bottom"/>
            <w:gridSpan w:val="3"/>
          </w:tcPr>
          <w:p>
            <w:pPr>
              <w:ind w:left="20"/>
              <w:spacing w:after="0" w:line="74" w:lineRule="exact"/>
              <w:rPr>
                <w:sz w:val="20"/>
                <w:szCs w:val="20"/>
                <w:color w:val="auto"/>
              </w:rPr>
            </w:pPr>
            <w:r>
              <w:rPr>
                <w:rFonts w:ascii="Arial" w:cs="Arial" w:eastAsia="Arial" w:hAnsi="Arial"/>
                <w:sz w:val="8"/>
                <w:szCs w:val="8"/>
                <w:b w:val="1"/>
                <w:bCs w:val="1"/>
                <w:color w:val="auto"/>
              </w:rPr>
              <w:t>Noncontrolling</w:t>
            </w:r>
          </w:p>
        </w:tc>
        <w:tc>
          <w:tcPr>
            <w:tcW w:w="64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Shareholders’</w:t>
            </w:r>
          </w:p>
        </w:tc>
        <w:tc>
          <w:tcPr>
            <w:tcW w:w="0" w:type="dxa"/>
            <w:vAlign w:val="bottom"/>
          </w:tcPr>
          <w:p>
            <w:pPr>
              <w:spacing w:after="0"/>
              <w:rPr>
                <w:sz w:val="1"/>
                <w:szCs w:val="1"/>
                <w:color w:val="auto"/>
              </w:rPr>
            </w:pPr>
          </w:p>
        </w:tc>
      </w:tr>
      <w:tr>
        <w:trPr>
          <w:trHeight w:val="113"/>
        </w:trPr>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tcPr>
          <w:p>
            <w:pPr>
              <w:jc w:val="right"/>
              <w:ind w:right="260"/>
              <w:spacing w:after="0" w:line="114" w:lineRule="exact"/>
              <w:rPr>
                <w:sz w:val="20"/>
                <w:szCs w:val="20"/>
                <w:color w:val="auto"/>
              </w:rPr>
            </w:pPr>
            <w:r>
              <w:rPr>
                <w:rFonts w:ascii="Arial" w:cs="Arial" w:eastAsia="Arial" w:hAnsi="Arial"/>
                <w:sz w:val="10"/>
                <w:szCs w:val="10"/>
                <w:b w:val="1"/>
                <w:bCs w:val="1"/>
                <w:color w:val="auto"/>
              </w:rPr>
              <w:t>Interest</w:t>
            </w:r>
          </w:p>
        </w:tc>
        <w:tc>
          <w:tcPr>
            <w:tcW w:w="62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54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Capital</w:t>
            </w:r>
          </w:p>
        </w:tc>
        <w:tc>
          <w:tcPr>
            <w:tcW w:w="640" w:type="dxa"/>
            <w:vAlign w:val="bottom"/>
            <w:gridSpan w:val="3"/>
          </w:tcPr>
          <w:p>
            <w:pPr>
              <w:jc w:val="right"/>
              <w:ind w:right="134"/>
              <w:spacing w:after="0" w:line="114" w:lineRule="exact"/>
              <w:rPr>
                <w:sz w:val="20"/>
                <w:szCs w:val="20"/>
                <w:color w:val="auto"/>
              </w:rPr>
            </w:pPr>
            <w:r>
              <w:rPr>
                <w:rFonts w:ascii="Arial" w:cs="Arial" w:eastAsia="Arial" w:hAnsi="Arial"/>
                <w:sz w:val="10"/>
                <w:szCs w:val="10"/>
                <w:b w:val="1"/>
                <w:bCs w:val="1"/>
                <w:color w:val="auto"/>
                <w:w w:val="91"/>
              </w:rPr>
              <w:t>Receivable</w:t>
            </w:r>
          </w:p>
        </w:tc>
        <w:tc>
          <w:tcPr>
            <w:tcW w:w="76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Income (Loss)</w:t>
            </w:r>
          </w:p>
        </w:tc>
        <w:tc>
          <w:tcPr>
            <w:tcW w:w="80" w:type="dxa"/>
            <w:vAlign w:val="bottom"/>
          </w:tcPr>
          <w:p>
            <w:pPr>
              <w:spacing w:after="0"/>
              <w:rPr>
                <w:sz w:val="9"/>
                <w:szCs w:val="9"/>
                <w:color w:val="auto"/>
              </w:rPr>
            </w:pPr>
          </w:p>
        </w:tc>
        <w:tc>
          <w:tcPr>
            <w:tcW w:w="560" w:type="dxa"/>
            <w:vAlign w:val="bottom"/>
            <w:gridSpan w:val="2"/>
          </w:tcPr>
          <w:p>
            <w:pPr>
              <w:jc w:val="right"/>
              <w:ind w:right="198"/>
              <w:spacing w:after="0" w:line="114" w:lineRule="exact"/>
              <w:rPr>
                <w:sz w:val="20"/>
                <w:szCs w:val="20"/>
                <w:color w:val="auto"/>
              </w:rPr>
            </w:pPr>
            <w:r>
              <w:rPr>
                <w:rFonts w:ascii="Arial" w:cs="Arial" w:eastAsia="Arial" w:hAnsi="Arial"/>
                <w:sz w:val="10"/>
                <w:szCs w:val="10"/>
                <w:b w:val="1"/>
                <w:bCs w:val="1"/>
                <w:color w:val="auto"/>
                <w:w w:val="98"/>
              </w:rPr>
              <w:t>Deficit</w:t>
            </w:r>
          </w:p>
        </w:tc>
        <w:tc>
          <w:tcPr>
            <w:tcW w:w="100" w:type="dxa"/>
            <w:vAlign w:val="bottom"/>
          </w:tcPr>
          <w:p>
            <w:pPr>
              <w:spacing w:after="0"/>
              <w:rPr>
                <w:sz w:val="9"/>
                <w:szCs w:val="9"/>
                <w:color w:val="auto"/>
              </w:rPr>
            </w:pPr>
          </w:p>
        </w:tc>
        <w:tc>
          <w:tcPr>
            <w:tcW w:w="6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91"/>
              </w:rPr>
              <w:t>Interests</w:t>
            </w:r>
          </w:p>
        </w:tc>
        <w:tc>
          <w:tcPr>
            <w:tcW w:w="100" w:type="dxa"/>
            <w:vAlign w:val="bottom"/>
          </w:tcPr>
          <w:p>
            <w:pPr>
              <w:spacing w:after="0"/>
              <w:rPr>
                <w:sz w:val="9"/>
                <w:szCs w:val="9"/>
                <w:color w:val="auto"/>
              </w:rPr>
            </w:pP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88"/>
        </w:trPr>
        <w:tc>
          <w:tcPr>
            <w:tcW w:w="16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at March 31, 2019</w:t>
            </w: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50,130</w:t>
            </w: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9"/>
              </w:rPr>
              <w:t>213,555,119</w:t>
            </w: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shd w:val="clear" w:color="auto" w:fill="CCEEFF"/>
          </w:tcPr>
          <w:p>
            <w:pPr>
              <w:ind w:left="20"/>
              <w:spacing w:after="0" w:line="88"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u w:val="single" w:color="auto"/>
                <w:color w:val="auto"/>
                <w:w w:val="83"/>
              </w:rPr>
              <w:t>$</w:t>
            </w:r>
            <w:r>
              <w:rPr>
                <w:rFonts w:ascii="Arial" w:cs="Arial" w:eastAsia="Arial" w:hAnsi="Arial"/>
                <w:sz w:val="10"/>
                <w:szCs w:val="10"/>
                <w:color w:val="auto"/>
                <w:w w:val="83"/>
              </w:rPr>
              <w:t>3,024,172</w:t>
            </w: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2,518</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1"/>
              </w:rPr>
              <w:t>(2,309,737</w:t>
            </w:r>
          </w:p>
        </w:tc>
        <w:tc>
          <w:tcPr>
            <w:tcW w:w="100" w:type="dxa"/>
            <w:vAlign w:val="bottom"/>
            <w:tcBorders>
              <w:top w:val="single" w:sz="8" w:color="CCEEFF"/>
            </w:tcBorders>
            <w:shd w:val="clear" w:color="auto" w:fill="CCEEFF"/>
          </w:tcPr>
          <w:p>
            <w:pPr>
              <w:jc w:val="right"/>
              <w:ind w:right="18"/>
              <w:spacing w:after="0" w:line="88" w:lineRule="exact"/>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170,216</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887,169</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20" w:type="dxa"/>
            <w:vAlign w:val="bottom"/>
          </w:tcPr>
          <w:p>
            <w:pPr>
              <w:spacing w:after="0" w:line="85" w:lineRule="exact"/>
              <w:rPr>
                <w:sz w:val="20"/>
                <w:szCs w:val="20"/>
                <w:color w:val="auto"/>
              </w:rPr>
            </w:pPr>
            <w:r>
              <w:rPr>
                <w:rFonts w:ascii="Arial" w:cs="Arial" w:eastAsia="Arial" w:hAnsi="Arial"/>
                <w:sz w:val="8"/>
                <w:szCs w:val="8"/>
                <w:color w:val="auto"/>
              </w:rPr>
              <w:t>Issuance of subsidiary common shares,</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net</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59,052</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58,606</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117,658</w:t>
            </w:r>
          </w:p>
        </w:tc>
        <w:tc>
          <w:tcPr>
            <w:tcW w:w="0" w:type="dxa"/>
            <w:vAlign w:val="bottom"/>
          </w:tcPr>
          <w:p>
            <w:pPr>
              <w:spacing w:after="0"/>
              <w:rPr>
                <w:sz w:val="1"/>
                <w:szCs w:val="1"/>
                <w:color w:val="auto"/>
              </w:rPr>
            </w:pPr>
          </w:p>
        </w:tc>
      </w:tr>
      <w:tr>
        <w:trPr>
          <w:trHeight w:val="87"/>
        </w:trPr>
        <w:tc>
          <w:tcPr>
            <w:tcW w:w="16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86"/>
              </w:rPr>
              <w:t>Issuance of subsidiary common shares to</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the Company</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(9,962)</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9,962</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620" w:type="dxa"/>
            <w:vAlign w:val="bottom"/>
          </w:tcPr>
          <w:p>
            <w:pPr>
              <w:spacing w:after="0" w:line="99" w:lineRule="exact"/>
              <w:rPr>
                <w:sz w:val="20"/>
                <w:szCs w:val="20"/>
                <w:color w:val="auto"/>
              </w:rPr>
            </w:pPr>
            <w:r>
              <w:rPr>
                <w:rFonts w:ascii="Arial" w:cs="Arial" w:eastAsia="Arial" w:hAnsi="Arial"/>
                <w:sz w:val="10"/>
                <w:szCs w:val="10"/>
                <w:color w:val="auto"/>
                <w:w w:val="91"/>
              </w:rPr>
              <w:t>Purchase of subsidiary common shares</w:t>
            </w:r>
          </w:p>
        </w:tc>
        <w:tc>
          <w:tcPr>
            <w:tcW w:w="40" w:type="dxa"/>
            <w:vAlign w:val="bottom"/>
          </w:tcPr>
          <w:p>
            <w:pPr>
              <w:spacing w:after="0"/>
              <w:rPr>
                <w:sz w:val="8"/>
                <w:szCs w:val="8"/>
                <w:color w:val="auto"/>
              </w:rPr>
            </w:pPr>
          </w:p>
        </w:tc>
        <w:tc>
          <w:tcPr>
            <w:tcW w:w="6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80"/>
              <w:spacing w:after="0" w:line="99" w:lineRule="exact"/>
              <w:rPr>
                <w:sz w:val="20"/>
                <w:szCs w:val="20"/>
                <w:color w:val="auto"/>
              </w:rPr>
            </w:pPr>
            <w:r>
              <w:rPr>
                <w:rFonts w:ascii="Arial" w:cs="Arial" w:eastAsia="Arial" w:hAnsi="Arial"/>
                <w:sz w:val="10"/>
                <w:szCs w:val="10"/>
                <w:color w:val="auto"/>
              </w:rPr>
              <w:t>(62,913)</w:t>
            </w:r>
          </w:p>
        </w:tc>
        <w:tc>
          <w:tcPr>
            <w:tcW w:w="120" w:type="dxa"/>
            <w:vAlign w:val="bottom"/>
          </w:tcPr>
          <w:p>
            <w:pPr>
              <w:spacing w:after="0"/>
              <w:rPr>
                <w:sz w:val="8"/>
                <w:szCs w:val="8"/>
                <w:color w:val="auto"/>
              </w:rPr>
            </w:pPr>
          </w:p>
        </w:tc>
        <w:tc>
          <w:tcPr>
            <w:tcW w:w="520" w:type="dxa"/>
            <w:vAlign w:val="bottom"/>
            <w:gridSpan w:val="2"/>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70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(2,631)</w:t>
            </w:r>
          </w:p>
        </w:tc>
        <w:tc>
          <w:tcPr>
            <w:tcW w:w="10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(65,544)</w:t>
            </w:r>
          </w:p>
        </w:tc>
        <w:tc>
          <w:tcPr>
            <w:tcW w:w="0" w:type="dxa"/>
            <w:vAlign w:val="bottom"/>
          </w:tcPr>
          <w:p>
            <w:pPr>
              <w:spacing w:after="0"/>
              <w:rPr>
                <w:sz w:val="1"/>
                <w:szCs w:val="1"/>
                <w:color w:val="auto"/>
              </w:rPr>
            </w:pPr>
          </w:p>
        </w:tc>
      </w:tr>
      <w:tr>
        <w:trPr>
          <w:trHeight w:val="87"/>
        </w:trPr>
        <w:tc>
          <w:tcPr>
            <w:tcW w:w="16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94"/>
              </w:rPr>
              <w:t>Issuance of subsidiary convertible and</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redeemable preferred stock, net</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27,491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93"/>
              </w:rPr>
              <w:t>Purchase of subsidiary convertible and</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redeemable preferred stock</w:t>
            </w:r>
          </w:p>
        </w:tc>
        <w:tc>
          <w:tcPr>
            <w:tcW w:w="40" w:type="dxa"/>
            <w:vAlign w:val="bottom"/>
          </w:tcPr>
          <w:p>
            <w:pPr>
              <w:spacing w:after="0"/>
              <w:rPr>
                <w:sz w:val="9"/>
                <w:szCs w:val="9"/>
                <w:color w:val="auto"/>
              </w:rPr>
            </w:pPr>
          </w:p>
        </w:tc>
        <w:tc>
          <w:tcPr>
            <w:tcW w:w="680" w:type="dxa"/>
            <w:vAlign w:val="bottom"/>
            <w:gridSpan w:val="3"/>
          </w:tcPr>
          <w:p>
            <w:pPr>
              <w:jc w:val="right"/>
              <w:ind w:right="80"/>
              <w:spacing w:after="0" w:line="112" w:lineRule="exact"/>
              <w:rPr>
                <w:sz w:val="20"/>
                <w:szCs w:val="20"/>
                <w:color w:val="auto"/>
              </w:rPr>
            </w:pPr>
            <w:r>
              <w:rPr>
                <w:rFonts w:ascii="Arial" w:cs="Arial" w:eastAsia="Arial" w:hAnsi="Arial"/>
                <w:sz w:val="10"/>
                <w:szCs w:val="10"/>
                <w:color w:val="auto"/>
              </w:rPr>
              <w:t>(55,130)</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80"/>
              <w:spacing w:after="0" w:line="112" w:lineRule="exact"/>
              <w:rPr>
                <w:sz w:val="20"/>
                <w:szCs w:val="20"/>
                <w:color w:val="auto"/>
              </w:rPr>
            </w:pPr>
            <w:r>
              <w:rPr>
                <w:rFonts w:ascii="Arial" w:cs="Arial" w:eastAsia="Arial" w:hAnsi="Arial"/>
                <w:sz w:val="10"/>
                <w:szCs w:val="10"/>
                <w:color w:val="auto"/>
              </w:rPr>
              <w:t>(77,777)</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(77,777)</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Issuance of subsidiary warrants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907</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907</w:t>
            </w:r>
          </w:p>
        </w:tc>
        <w:tc>
          <w:tcPr>
            <w:tcW w:w="0" w:type="dxa"/>
            <w:vAlign w:val="bottom"/>
          </w:tcPr>
          <w:p>
            <w:pPr>
              <w:spacing w:after="0"/>
              <w:rPr>
                <w:sz w:val="1"/>
                <w:szCs w:val="1"/>
                <w:color w:val="auto"/>
              </w:rPr>
            </w:pPr>
          </w:p>
        </w:tc>
      </w:tr>
      <w:tr>
        <w:trPr>
          <w:trHeight w:val="99"/>
        </w:trPr>
        <w:tc>
          <w:tcPr>
            <w:tcW w:w="1620" w:type="dxa"/>
            <w:vAlign w:val="bottom"/>
          </w:tcPr>
          <w:p>
            <w:pPr>
              <w:spacing w:after="0" w:line="99" w:lineRule="exact"/>
              <w:rPr>
                <w:sz w:val="20"/>
                <w:szCs w:val="20"/>
                <w:color w:val="auto"/>
              </w:rPr>
            </w:pPr>
            <w:r>
              <w:rPr>
                <w:rFonts w:ascii="Arial" w:cs="Arial" w:eastAsia="Arial" w:hAnsi="Arial"/>
                <w:sz w:val="10"/>
                <w:szCs w:val="10"/>
                <w:color w:val="auto"/>
              </w:rPr>
              <w:t>Exercise of subsidiary stock options</w:t>
            </w:r>
          </w:p>
        </w:tc>
        <w:tc>
          <w:tcPr>
            <w:tcW w:w="40" w:type="dxa"/>
            <w:vAlign w:val="bottom"/>
          </w:tcPr>
          <w:p>
            <w:pPr>
              <w:spacing w:after="0"/>
              <w:rPr>
                <w:sz w:val="8"/>
                <w:szCs w:val="8"/>
                <w:color w:val="auto"/>
              </w:rPr>
            </w:pPr>
          </w:p>
        </w:tc>
        <w:tc>
          <w:tcPr>
            <w:tcW w:w="6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875</w:t>
            </w:r>
          </w:p>
        </w:tc>
        <w:tc>
          <w:tcPr>
            <w:tcW w:w="120" w:type="dxa"/>
            <w:vAlign w:val="bottom"/>
          </w:tcPr>
          <w:p>
            <w:pPr>
              <w:spacing w:after="0"/>
              <w:rPr>
                <w:sz w:val="8"/>
                <w:szCs w:val="8"/>
                <w:color w:val="auto"/>
              </w:rPr>
            </w:pPr>
          </w:p>
        </w:tc>
        <w:tc>
          <w:tcPr>
            <w:tcW w:w="520" w:type="dxa"/>
            <w:vAlign w:val="bottom"/>
            <w:gridSpan w:val="2"/>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70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532</w:t>
            </w:r>
          </w:p>
        </w:tc>
        <w:tc>
          <w:tcPr>
            <w:tcW w:w="100" w:type="dxa"/>
            <w:vAlign w:val="bottom"/>
          </w:tcPr>
          <w:p>
            <w:pPr>
              <w:spacing w:after="0"/>
              <w:rPr>
                <w:sz w:val="8"/>
                <w:szCs w:val="8"/>
                <w:color w:val="auto"/>
              </w:rPr>
            </w:pPr>
          </w:p>
        </w:tc>
        <w:tc>
          <w:tcPr>
            <w:tcW w:w="54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1,407</w:t>
            </w:r>
          </w:p>
        </w:tc>
        <w:tc>
          <w:tcPr>
            <w:tcW w:w="0" w:type="dxa"/>
            <w:vAlign w:val="bottom"/>
          </w:tcPr>
          <w:p>
            <w:pPr>
              <w:spacing w:after="0"/>
              <w:rPr>
                <w:sz w:val="1"/>
                <w:szCs w:val="1"/>
                <w:color w:val="auto"/>
              </w:rPr>
            </w:pPr>
          </w:p>
        </w:tc>
      </w:tr>
      <w:tr>
        <w:trPr>
          <w:trHeight w:val="87"/>
        </w:trPr>
        <w:tc>
          <w:tcPr>
            <w:tcW w:w="16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98"/>
              </w:rPr>
              <w:t>Issuance of the Company’s common</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shares, net</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w w:val="99"/>
              </w:rPr>
              <w:t>26,952,143</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999,193</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999,193</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86"/>
              </w:rPr>
              <w:t>Repurchase of common shares and other</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equity instruments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w w:val="91"/>
              </w:rPr>
              <w:t>(25,625,933)</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80"/>
              <w:spacing w:after="0" w:line="112" w:lineRule="exact"/>
              <w:rPr>
                <w:sz w:val="20"/>
                <w:szCs w:val="20"/>
                <w:color w:val="auto"/>
              </w:rPr>
            </w:pPr>
            <w:r>
              <w:rPr>
                <w:rFonts w:ascii="Arial" w:cs="Arial" w:eastAsia="Arial" w:hAnsi="Arial"/>
                <w:sz w:val="10"/>
                <w:szCs w:val="10"/>
                <w:color w:val="auto"/>
              </w:rPr>
              <w:t>(990,014)</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(990,014)</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Sale of interests in subsidiaries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(43,398)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(43,398)</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95"/>
              </w:rPr>
              <w:t>Issuance of equity by subsidiary upon</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tcPr>
          <w:p>
            <w:pPr>
              <w:ind w:left="80"/>
              <w:spacing w:after="0" w:line="99" w:lineRule="exact"/>
              <w:rPr>
                <w:sz w:val="20"/>
                <w:szCs w:val="20"/>
                <w:color w:val="auto"/>
              </w:rPr>
            </w:pPr>
            <w:r>
              <w:rPr>
                <w:rFonts w:ascii="Arial" w:cs="Arial" w:eastAsia="Arial" w:hAnsi="Arial"/>
                <w:sz w:val="10"/>
                <w:szCs w:val="10"/>
                <w:color w:val="auto"/>
              </w:rPr>
              <w:t>Business Combination and</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recapitalization</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69,379</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35,307</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104,686</w:t>
            </w:r>
          </w:p>
        </w:tc>
        <w:tc>
          <w:tcPr>
            <w:tcW w:w="0" w:type="dxa"/>
            <w:vAlign w:val="bottom"/>
          </w:tcPr>
          <w:p>
            <w:pPr>
              <w:spacing w:after="0"/>
              <w:rPr>
                <w:sz w:val="1"/>
                <w:szCs w:val="1"/>
                <w:color w:val="auto"/>
              </w:rPr>
            </w:pPr>
          </w:p>
        </w:tc>
      </w:tr>
      <w:tr>
        <w:trPr>
          <w:trHeight w:val="87"/>
        </w:trPr>
        <w:tc>
          <w:tcPr>
            <w:tcW w:w="16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94"/>
              </w:rPr>
              <w:t>Issuance of equity by subsidiary to the</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w w:val="89"/>
              </w:rPr>
              <w:t>Company upon Business Combination</w:t>
            </w: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and recapitalization</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(2,559)</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2,559</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99"/>
              </w:rPr>
              <w:t>Conversion of subsidiary convertible</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promissory notes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21,928</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11,159</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33,087</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Issuance of equity instruments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24,842</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24,842</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rPr>
              <w:t>Settlement in equity of liability-</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classified instruments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13,119</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13,119</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Deconsolidation of subsidiary</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(46,483)</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(46,483)</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92"/>
              </w:rPr>
              <w:t>Capital contributions to majority-owned</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subsidiaries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80"/>
              <w:spacing w:after="0" w:line="112" w:lineRule="exact"/>
              <w:rPr>
                <w:sz w:val="20"/>
                <w:szCs w:val="20"/>
                <w:color w:val="auto"/>
              </w:rPr>
            </w:pPr>
            <w:r>
              <w:rPr>
                <w:rFonts w:ascii="Arial" w:cs="Arial" w:eastAsia="Arial" w:hAnsi="Arial"/>
                <w:sz w:val="10"/>
                <w:szCs w:val="10"/>
                <w:color w:val="auto"/>
              </w:rPr>
              <w:t>(4,699)</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4,699</w:t>
            </w:r>
          </w:p>
        </w:tc>
        <w:tc>
          <w:tcPr>
            <w:tcW w:w="100" w:type="dxa"/>
            <w:vAlign w:val="bottom"/>
          </w:tcPr>
          <w:p>
            <w:pPr>
              <w:spacing w:after="0"/>
              <w:rPr>
                <w:sz w:val="9"/>
                <w:szCs w:val="9"/>
                <w:color w:val="auto"/>
              </w:rPr>
            </w:pPr>
          </w:p>
        </w:tc>
        <w:tc>
          <w:tcPr>
            <w:tcW w:w="5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 compensation</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(2,271)</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79,103</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43,469</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122,572</w:t>
            </w:r>
          </w:p>
        </w:tc>
        <w:tc>
          <w:tcPr>
            <w:tcW w:w="0" w:type="dxa"/>
            <w:vAlign w:val="bottom"/>
          </w:tcPr>
          <w:p>
            <w:pPr>
              <w:spacing w:after="0"/>
              <w:rPr>
                <w:sz w:val="1"/>
                <w:szCs w:val="1"/>
                <w:color w:val="auto"/>
              </w:rPr>
            </w:pPr>
          </w:p>
        </w:tc>
      </w:tr>
      <w:tr>
        <w:trPr>
          <w:trHeight w:val="99"/>
        </w:trPr>
        <w:tc>
          <w:tcPr>
            <w:tcW w:w="1620" w:type="dxa"/>
            <w:vAlign w:val="bottom"/>
          </w:tcPr>
          <w:p>
            <w:pPr>
              <w:spacing w:after="0" w:line="99" w:lineRule="exact"/>
              <w:rPr>
                <w:sz w:val="20"/>
                <w:szCs w:val="20"/>
                <w:color w:val="auto"/>
              </w:rPr>
            </w:pPr>
            <w:r>
              <w:rPr>
                <w:rFonts w:ascii="Arial" w:cs="Arial" w:eastAsia="Arial" w:hAnsi="Arial"/>
                <w:sz w:val="10"/>
                <w:szCs w:val="10"/>
                <w:color w:val="auto"/>
                <w:w w:val="91"/>
              </w:rPr>
              <w:t>Foreign currency translation adjustment</w:t>
            </w:r>
          </w:p>
        </w:tc>
        <w:tc>
          <w:tcPr>
            <w:tcW w:w="40" w:type="dxa"/>
            <w:vAlign w:val="bottom"/>
          </w:tcPr>
          <w:p>
            <w:pPr>
              <w:spacing w:after="0"/>
              <w:rPr>
                <w:sz w:val="8"/>
                <w:szCs w:val="8"/>
                <w:color w:val="auto"/>
              </w:rPr>
            </w:pPr>
          </w:p>
        </w:tc>
        <w:tc>
          <w:tcPr>
            <w:tcW w:w="6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gridSpan w:val="2"/>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70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(4,867)</w:t>
            </w:r>
          </w:p>
        </w:tc>
        <w:tc>
          <w:tcPr>
            <w:tcW w:w="80" w:type="dxa"/>
            <w:vAlign w:val="bottom"/>
          </w:tcPr>
          <w:p>
            <w:pPr>
              <w:spacing w:after="0"/>
              <w:rPr>
                <w:sz w:val="8"/>
                <w:szCs w:val="8"/>
                <w:color w:val="auto"/>
              </w:rPr>
            </w:pPr>
          </w:p>
        </w:tc>
        <w:tc>
          <w:tcPr>
            <w:tcW w:w="560" w:type="dxa"/>
            <w:vAlign w:val="bottom"/>
            <w:gridSpan w:val="2"/>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(669)</w:t>
            </w:r>
          </w:p>
        </w:tc>
        <w:tc>
          <w:tcPr>
            <w:tcW w:w="10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(5,536)</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Net income (loss)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58"/>
              <w:spacing w:after="0" w:line="99" w:lineRule="exact"/>
              <w:rPr>
                <w:sz w:val="20"/>
                <w:szCs w:val="20"/>
                <w:color w:val="auto"/>
              </w:rPr>
            </w:pPr>
            <w:r>
              <w:rPr>
                <w:rFonts w:ascii="Arial" w:cs="Arial" w:eastAsia="Arial" w:hAnsi="Arial"/>
                <w:sz w:val="10"/>
                <w:szCs w:val="10"/>
                <w:color w:val="auto"/>
                <w:w w:val="98"/>
              </w:rPr>
              <w:t>1,200,509</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(190,193)</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1,010,316</w:t>
            </w:r>
          </w:p>
        </w:tc>
        <w:tc>
          <w:tcPr>
            <w:tcW w:w="0" w:type="dxa"/>
            <w:vAlign w:val="bottom"/>
          </w:tcPr>
          <w:p>
            <w:pPr>
              <w:spacing w:after="0"/>
              <w:rPr>
                <w:sz w:val="1"/>
                <w:szCs w:val="1"/>
                <w:color w:val="auto"/>
              </w:rPr>
            </w:pPr>
          </w:p>
        </w:tc>
      </w:tr>
      <w:tr>
        <w:trPr>
          <w:trHeight w:val="108"/>
        </w:trPr>
        <w:tc>
          <w:tcPr>
            <w:tcW w:w="1620" w:type="dxa"/>
            <w:vAlign w:val="bottom"/>
          </w:tcPr>
          <w:p>
            <w:pPr>
              <w:spacing w:after="0" w:line="97" w:lineRule="exact"/>
              <w:rPr>
                <w:sz w:val="20"/>
                <w:szCs w:val="20"/>
                <w:color w:val="auto"/>
              </w:rPr>
            </w:pPr>
            <w:r>
              <w:rPr>
                <w:rFonts w:ascii="Arial" w:cs="Arial" w:eastAsia="Arial" w:hAnsi="Arial"/>
                <w:sz w:val="10"/>
                <w:szCs w:val="10"/>
                <w:b w:val="1"/>
                <w:bCs w:val="1"/>
                <w:color w:val="auto"/>
              </w:rPr>
              <w:t>Balance at March 31, 2020</w:t>
            </w: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22,491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9"/>
              </w:rPr>
              <w:t>214,879,058</w:t>
            </w:r>
          </w:p>
        </w:tc>
        <w:tc>
          <w:tcPr>
            <w:tcW w:w="1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ind w:left="20"/>
              <w:spacing w:after="0" w:line="9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u w:val="single" w:color="auto"/>
                <w:color w:val="auto"/>
                <w:w w:val="83"/>
              </w:rPr>
              <w:t>$</w:t>
            </w:r>
            <w:r>
              <w:rPr>
                <w:rFonts w:ascii="Arial" w:cs="Arial" w:eastAsia="Arial" w:hAnsi="Arial"/>
                <w:sz w:val="10"/>
                <w:szCs w:val="10"/>
                <w:color w:val="auto"/>
                <w:w w:val="83"/>
              </w:rPr>
              <w:t>3,143,739</w:t>
            </w: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(2,349)</w:t>
            </w: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1"/>
              </w:rPr>
              <w:t>(1,109,228</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54,042</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2,086,204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2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w w:val="98"/>
              </w:rPr>
              <w:t>Issuance of the Company’s common</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shares</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7,202,917</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301,744</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301,744</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91"/>
              </w:rPr>
              <w:t>Issuance of subsidiary common shares,</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net</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324,995</w:t>
            </w:r>
          </w:p>
        </w:tc>
        <w:tc>
          <w:tcPr>
            <w:tcW w:w="120" w:type="dxa"/>
            <w:vAlign w:val="bottom"/>
          </w:tcPr>
          <w:p>
            <w:pPr>
              <w:spacing w:after="0"/>
              <w:rPr>
                <w:sz w:val="9"/>
                <w:szCs w:val="9"/>
                <w:color w:val="auto"/>
              </w:rPr>
            </w:pPr>
          </w:p>
        </w:tc>
        <w:tc>
          <w:tcPr>
            <w:tcW w:w="520" w:type="dxa"/>
            <w:vAlign w:val="bottom"/>
            <w:gridSpan w:val="2"/>
          </w:tcPr>
          <w:p>
            <w:pPr>
              <w:jc w:val="right"/>
              <w:ind w:right="74"/>
              <w:spacing w:after="0" w:line="112" w:lineRule="exact"/>
              <w:rPr>
                <w:sz w:val="20"/>
                <w:szCs w:val="20"/>
                <w:color w:val="auto"/>
              </w:rPr>
            </w:pPr>
            <w:r>
              <w:rPr>
                <w:rFonts w:ascii="Arial" w:cs="Arial" w:eastAsia="Arial" w:hAnsi="Arial"/>
                <w:sz w:val="10"/>
                <w:szCs w:val="10"/>
                <w:color w:val="auto"/>
                <w:w w:val="98"/>
              </w:rPr>
              <w:t>(100,000)</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231,102</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456,097</w:t>
            </w:r>
          </w:p>
        </w:tc>
        <w:tc>
          <w:tcPr>
            <w:tcW w:w="0" w:type="dxa"/>
            <w:vAlign w:val="bottom"/>
          </w:tcPr>
          <w:p>
            <w:pPr>
              <w:spacing w:after="0"/>
              <w:rPr>
                <w:sz w:val="1"/>
                <w:szCs w:val="1"/>
                <w:color w:val="auto"/>
              </w:rPr>
            </w:pPr>
          </w:p>
        </w:tc>
      </w:tr>
      <w:tr>
        <w:trPr>
          <w:trHeight w:val="87"/>
        </w:trPr>
        <w:tc>
          <w:tcPr>
            <w:tcW w:w="162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86"/>
              </w:rPr>
              <w:t>Issuance of subsidiary common shares to</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the Company</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(11,692)</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11,692</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w w:val="89"/>
              </w:rPr>
              <w:t>Exercise of subsidiary stock options and</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tcPr>
          <w:p>
            <w:pPr>
              <w:ind w:left="80"/>
              <w:spacing w:after="0" w:line="99" w:lineRule="exact"/>
              <w:rPr>
                <w:sz w:val="20"/>
                <w:szCs w:val="20"/>
                <w:color w:val="auto"/>
              </w:rPr>
            </w:pPr>
            <w:r>
              <w:rPr>
                <w:rFonts w:ascii="Arial" w:cs="Arial" w:eastAsia="Arial" w:hAnsi="Arial"/>
                <w:sz w:val="10"/>
                <w:szCs w:val="10"/>
                <w:color w:val="auto"/>
                <w:w w:val="94"/>
              </w:rPr>
              <w:t>vesting of subsidiary restricted stock</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units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522</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385</w:t>
            </w:r>
          </w:p>
        </w:tc>
        <w:tc>
          <w:tcPr>
            <w:tcW w:w="10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907</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Deconsolidation of subsidiary</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(3,054)</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(3,054)</w:t>
            </w:r>
          </w:p>
        </w:tc>
        <w:tc>
          <w:tcPr>
            <w:tcW w:w="0" w:type="dxa"/>
            <w:vAlign w:val="bottom"/>
          </w:tcPr>
          <w:p>
            <w:pPr>
              <w:spacing w:after="0"/>
              <w:rPr>
                <w:sz w:val="1"/>
                <w:szCs w:val="1"/>
                <w:color w:val="auto"/>
              </w:rPr>
            </w:pPr>
          </w:p>
        </w:tc>
      </w:tr>
      <w:tr>
        <w:trPr>
          <w:trHeight w:val="99"/>
        </w:trPr>
        <w:tc>
          <w:tcPr>
            <w:tcW w:w="1620" w:type="dxa"/>
            <w:vAlign w:val="bottom"/>
          </w:tcPr>
          <w:p>
            <w:pPr>
              <w:spacing w:after="0" w:line="99" w:lineRule="exact"/>
              <w:rPr>
                <w:sz w:val="20"/>
                <w:szCs w:val="20"/>
                <w:color w:val="auto"/>
              </w:rPr>
            </w:pPr>
            <w:r>
              <w:rPr>
                <w:rFonts w:ascii="Arial" w:cs="Arial" w:eastAsia="Arial" w:hAnsi="Arial"/>
                <w:sz w:val="10"/>
                <w:szCs w:val="10"/>
                <w:color w:val="auto"/>
                <w:w w:val="94"/>
              </w:rPr>
              <w:t>Consolidation of unconsolidated entity</w:t>
            </w:r>
          </w:p>
        </w:tc>
        <w:tc>
          <w:tcPr>
            <w:tcW w:w="40" w:type="dxa"/>
            <w:vAlign w:val="bottom"/>
          </w:tcPr>
          <w:p>
            <w:pPr>
              <w:spacing w:after="0"/>
              <w:rPr>
                <w:sz w:val="8"/>
                <w:szCs w:val="8"/>
                <w:color w:val="auto"/>
              </w:rPr>
            </w:pPr>
          </w:p>
        </w:tc>
        <w:tc>
          <w:tcPr>
            <w:tcW w:w="6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gridSpan w:val="2"/>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70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9,178</w:t>
            </w:r>
          </w:p>
        </w:tc>
        <w:tc>
          <w:tcPr>
            <w:tcW w:w="100" w:type="dxa"/>
            <w:vAlign w:val="bottom"/>
          </w:tcPr>
          <w:p>
            <w:pPr>
              <w:spacing w:after="0"/>
              <w:rPr>
                <w:sz w:val="8"/>
                <w:szCs w:val="8"/>
                <w:color w:val="auto"/>
              </w:rPr>
            </w:pPr>
          </w:p>
        </w:tc>
        <w:tc>
          <w:tcPr>
            <w:tcW w:w="54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9,178</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Repurchase of equity awards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(113)</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87"/>
        </w:trPr>
        <w:tc>
          <w:tcPr>
            <w:tcW w:w="1620" w:type="dxa"/>
            <w:vAlign w:val="bottom"/>
          </w:tcPr>
          <w:p>
            <w:pPr>
              <w:spacing w:after="0" w:line="87" w:lineRule="exact"/>
              <w:rPr>
                <w:sz w:val="20"/>
                <w:szCs w:val="20"/>
                <w:color w:val="auto"/>
              </w:rPr>
            </w:pPr>
            <w:r>
              <w:rPr>
                <w:rFonts w:ascii="Arial" w:cs="Arial" w:eastAsia="Arial" w:hAnsi="Arial"/>
                <w:sz w:val="10"/>
                <w:szCs w:val="10"/>
                <w:color w:val="auto"/>
              </w:rPr>
              <w:t>Cash contribution to majority-owned</w:t>
            </w: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20" w:type="dxa"/>
            <w:vAlign w:val="bottom"/>
          </w:tcPr>
          <w:p>
            <w:pPr>
              <w:ind w:left="80"/>
              <w:spacing w:after="0" w:line="112" w:lineRule="exact"/>
              <w:rPr>
                <w:sz w:val="20"/>
                <w:szCs w:val="20"/>
                <w:color w:val="auto"/>
              </w:rPr>
            </w:pPr>
            <w:r>
              <w:rPr>
                <w:rFonts w:ascii="Arial" w:cs="Arial" w:eastAsia="Arial" w:hAnsi="Arial"/>
                <w:sz w:val="10"/>
                <w:szCs w:val="10"/>
                <w:color w:val="auto"/>
              </w:rPr>
              <w:t>subsidiaries</w:t>
            </w:r>
          </w:p>
        </w:tc>
        <w:tc>
          <w:tcPr>
            <w:tcW w:w="40" w:type="dxa"/>
            <w:vAlign w:val="bottom"/>
          </w:tcPr>
          <w:p>
            <w:pPr>
              <w:spacing w:after="0"/>
              <w:rPr>
                <w:sz w:val="9"/>
                <w:szCs w:val="9"/>
                <w:color w:val="auto"/>
              </w:rPr>
            </w:pPr>
          </w:p>
        </w:tc>
        <w:tc>
          <w:tcPr>
            <w:tcW w:w="68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60" w:type="dxa"/>
            <w:vAlign w:val="bottom"/>
          </w:tcPr>
          <w:p>
            <w:pPr>
              <w:ind w:left="20"/>
              <w:spacing w:after="0" w:line="112" w:lineRule="exact"/>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80"/>
              <w:spacing w:after="0" w:line="112" w:lineRule="exact"/>
              <w:rPr>
                <w:sz w:val="20"/>
                <w:szCs w:val="20"/>
                <w:color w:val="auto"/>
              </w:rPr>
            </w:pPr>
            <w:r>
              <w:rPr>
                <w:rFonts w:ascii="Arial" w:cs="Arial" w:eastAsia="Arial" w:hAnsi="Arial"/>
                <w:sz w:val="10"/>
                <w:szCs w:val="10"/>
                <w:color w:val="auto"/>
              </w:rPr>
              <w:t>(1,642)</w:t>
            </w:r>
          </w:p>
        </w:tc>
        <w:tc>
          <w:tcPr>
            <w:tcW w:w="120" w:type="dxa"/>
            <w:vAlign w:val="bottom"/>
          </w:tcPr>
          <w:p>
            <w:pPr>
              <w:spacing w:after="0"/>
              <w:rPr>
                <w:sz w:val="9"/>
                <w:szCs w:val="9"/>
                <w:color w:val="auto"/>
              </w:rPr>
            </w:pPr>
          </w:p>
        </w:tc>
        <w:tc>
          <w:tcPr>
            <w:tcW w:w="520" w:type="dxa"/>
            <w:vAlign w:val="bottom"/>
            <w:gridSpan w:val="2"/>
          </w:tcPr>
          <w:p>
            <w:pPr>
              <w:jc w:val="right"/>
              <w:ind w:right="154"/>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98"/>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1,642</w:t>
            </w:r>
          </w:p>
        </w:tc>
        <w:tc>
          <w:tcPr>
            <w:tcW w:w="100" w:type="dxa"/>
            <w:vAlign w:val="bottom"/>
          </w:tcPr>
          <w:p>
            <w:pPr>
              <w:spacing w:after="0"/>
              <w:rPr>
                <w:sz w:val="9"/>
                <w:szCs w:val="9"/>
                <w:color w:val="auto"/>
              </w:rPr>
            </w:pPr>
          </w:p>
        </w:tc>
        <w:tc>
          <w:tcPr>
            <w:tcW w:w="54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 compensation</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587,824</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57,252</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27,706</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84,958</w:t>
            </w:r>
          </w:p>
        </w:tc>
        <w:tc>
          <w:tcPr>
            <w:tcW w:w="0" w:type="dxa"/>
            <w:vAlign w:val="bottom"/>
          </w:tcPr>
          <w:p>
            <w:pPr>
              <w:spacing w:after="0"/>
              <w:rPr>
                <w:sz w:val="1"/>
                <w:szCs w:val="1"/>
                <w:color w:val="auto"/>
              </w:rPr>
            </w:pPr>
          </w:p>
        </w:tc>
      </w:tr>
      <w:tr>
        <w:trPr>
          <w:trHeight w:val="99"/>
        </w:trPr>
        <w:tc>
          <w:tcPr>
            <w:tcW w:w="1620" w:type="dxa"/>
            <w:vAlign w:val="bottom"/>
          </w:tcPr>
          <w:p>
            <w:pPr>
              <w:spacing w:after="0" w:line="99" w:lineRule="exact"/>
              <w:rPr>
                <w:sz w:val="20"/>
                <w:szCs w:val="20"/>
                <w:color w:val="auto"/>
              </w:rPr>
            </w:pPr>
            <w:r>
              <w:rPr>
                <w:rFonts w:ascii="Arial" w:cs="Arial" w:eastAsia="Arial" w:hAnsi="Arial"/>
                <w:sz w:val="10"/>
                <w:szCs w:val="10"/>
                <w:color w:val="auto"/>
                <w:w w:val="91"/>
              </w:rPr>
              <w:t>Foreign currency translation adjustment</w:t>
            </w:r>
          </w:p>
        </w:tc>
        <w:tc>
          <w:tcPr>
            <w:tcW w:w="40" w:type="dxa"/>
            <w:vAlign w:val="bottom"/>
          </w:tcPr>
          <w:p>
            <w:pPr>
              <w:spacing w:after="0"/>
              <w:rPr>
                <w:sz w:val="8"/>
                <w:szCs w:val="8"/>
                <w:color w:val="auto"/>
              </w:rPr>
            </w:pPr>
          </w:p>
        </w:tc>
        <w:tc>
          <w:tcPr>
            <w:tcW w:w="68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20" w:type="dxa"/>
            <w:vAlign w:val="bottom"/>
            <w:gridSpan w:val="2"/>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70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3,794</w:t>
            </w:r>
          </w:p>
        </w:tc>
        <w:tc>
          <w:tcPr>
            <w:tcW w:w="80" w:type="dxa"/>
            <w:vAlign w:val="bottom"/>
          </w:tcPr>
          <w:p>
            <w:pPr>
              <w:spacing w:after="0"/>
              <w:rPr>
                <w:sz w:val="8"/>
                <w:szCs w:val="8"/>
                <w:color w:val="auto"/>
              </w:rPr>
            </w:pPr>
          </w:p>
        </w:tc>
        <w:tc>
          <w:tcPr>
            <w:tcW w:w="560" w:type="dxa"/>
            <w:vAlign w:val="bottom"/>
            <w:gridSpan w:val="2"/>
          </w:tcPr>
          <w:p>
            <w:pPr>
              <w:jc w:val="right"/>
              <w:ind w:right="98"/>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8"/>
                <w:szCs w:val="8"/>
                <w:color w:val="auto"/>
              </w:rPr>
            </w:pPr>
          </w:p>
        </w:tc>
        <w:tc>
          <w:tcPr>
            <w:tcW w:w="54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3,826</w:t>
            </w: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Net loss</w:t>
            </w:r>
          </w:p>
        </w:tc>
        <w:tc>
          <w:tcPr>
            <w:tcW w:w="4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54"/>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8"/>
              <w:spacing w:after="0" w:line="99" w:lineRule="exact"/>
              <w:rPr>
                <w:sz w:val="20"/>
                <w:szCs w:val="20"/>
                <w:color w:val="auto"/>
              </w:rPr>
            </w:pPr>
            <w:r>
              <w:rPr>
                <w:rFonts w:ascii="Arial" w:cs="Arial" w:eastAsia="Arial" w:hAnsi="Arial"/>
                <w:sz w:val="10"/>
                <w:szCs w:val="10"/>
                <w:color w:val="auto"/>
              </w:rPr>
              <w:t>(809,234)</w:t>
            </w: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0"/>
                <w:szCs w:val="10"/>
                <w:color w:val="auto"/>
              </w:rPr>
              <w:t>(90,999)</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(900,233)</w:t>
            </w:r>
          </w:p>
        </w:tc>
        <w:tc>
          <w:tcPr>
            <w:tcW w:w="0" w:type="dxa"/>
            <w:vAlign w:val="bottom"/>
          </w:tcPr>
          <w:p>
            <w:pPr>
              <w:spacing w:after="0"/>
              <w:rPr>
                <w:sz w:val="1"/>
                <w:szCs w:val="1"/>
                <w:color w:val="auto"/>
              </w:rPr>
            </w:pPr>
          </w:p>
        </w:tc>
      </w:tr>
      <w:tr>
        <w:trPr>
          <w:trHeight w:val="104"/>
        </w:trPr>
        <w:tc>
          <w:tcPr>
            <w:tcW w:w="1620" w:type="dxa"/>
            <w:vAlign w:val="bottom"/>
          </w:tcPr>
          <w:p>
            <w:pPr>
              <w:spacing w:after="0" w:line="97" w:lineRule="exact"/>
              <w:rPr>
                <w:sz w:val="20"/>
                <w:szCs w:val="20"/>
                <w:color w:val="auto"/>
              </w:rPr>
            </w:pPr>
            <w:r>
              <w:rPr>
                <w:rFonts w:ascii="Arial" w:cs="Arial" w:eastAsia="Arial" w:hAnsi="Arial"/>
                <w:sz w:val="10"/>
                <w:szCs w:val="10"/>
                <w:b w:val="1"/>
                <w:bCs w:val="1"/>
                <w:color w:val="auto"/>
              </w:rPr>
              <w:t>Balance at March 31, 2021</w:t>
            </w: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22,491</w:t>
            </w: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9"/>
              </w:rPr>
              <w:t>222,669,799</w:t>
            </w:r>
          </w:p>
        </w:tc>
        <w:tc>
          <w:tcPr>
            <w:tcW w:w="1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ind w:left="20"/>
              <w:spacing w:after="0" w:line="9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u w:val="single" w:color="auto"/>
                <w:color w:val="auto"/>
                <w:w w:val="83"/>
              </w:rPr>
              <w:t>$</w:t>
            </w:r>
            <w:r>
              <w:rPr>
                <w:rFonts w:ascii="Arial" w:cs="Arial" w:eastAsia="Arial" w:hAnsi="Arial"/>
                <w:sz w:val="10"/>
                <w:szCs w:val="10"/>
                <w:color w:val="auto"/>
                <w:w w:val="83"/>
              </w:rPr>
              <w:t>3,814,805</w:t>
            </w: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(100,000</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6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1,445</w:t>
            </w: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1"/>
              </w:rPr>
              <w:t>(1,918,462</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241,726</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2,039,514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72" w:right="1440" w:bottom="1440" w:gutter="0" w:footer="0" w:header="0"/>
        </w:sectPr>
      </w:pPr>
    </w:p>
    <w:bookmarkStart w:id="336" w:name="page337"/>
    <w:bookmarkEnd w:id="3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w w:val="94"/>
              </w:rPr>
              <w:t>Years Ended March 31,</w:t>
            </w:r>
          </w:p>
        </w:tc>
      </w:tr>
      <w:tr>
        <w:trPr>
          <w:trHeight w:val="97"/>
        </w:trPr>
        <w:tc>
          <w:tcPr>
            <w:tcW w:w="59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100"/>
              <w:spacing w:after="0" w:line="97"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43"/>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r>
      <w:tr>
        <w:trPr>
          <w:trHeight w:val="124"/>
        </w:trPr>
        <w:tc>
          <w:tcPr>
            <w:tcW w:w="5940" w:type="dxa"/>
            <w:vAlign w:val="bottom"/>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940" w:type="dxa"/>
            <w:vAlign w:val="bottom"/>
          </w:tcPr>
          <w:p>
            <w:pPr>
              <w:spacing w:after="0"/>
              <w:rPr>
                <w:sz w:val="20"/>
                <w:szCs w:val="20"/>
                <w:color w:val="auto"/>
              </w:rPr>
            </w:pPr>
            <w:r>
              <w:rPr>
                <w:rFonts w:ascii="Arial" w:cs="Arial" w:eastAsia="Arial" w:hAnsi="Arial"/>
                <w:sz w:val="11"/>
                <w:szCs w:val="11"/>
                <w:color w:val="auto"/>
              </w:rPr>
              <w:t>Net (loss) income</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(900,233)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1,010,316</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(loss) income to net cash used in operating activities: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Acquired in-process research and development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351,523</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16,405</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Unrealized foreign currency translation adjustment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3,826</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(5,536)</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Share-based compensation</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84,958</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122,572</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Gain on sale of business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5"/>
              </w:rPr>
              <w:t>(1,985,949)</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Change in fair value of investments</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(95,533)</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136,005</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 in fair value of debt and liability instruments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29,845</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(13,722)</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Gain on deconsolidation of subsidiary and consolidation of unconsolidated entity</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(115,364)</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(107,344)</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Loss from equity method investment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3,750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21,386</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13,152</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31,821</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Changes in assets and liabilities, net of effects from acquisition and divestiture: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Accounts payable</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3,752</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6,598</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Accrued expenses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9,225</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14,845</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Deferred consideration liability</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Operating lease liabilities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(5,497)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(8,419)</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(35,542)</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2,272</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59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Net cash used in operating activities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(552,138)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(758,750)</w:t>
            </w:r>
          </w:p>
        </w:tc>
      </w:tr>
      <w:tr>
        <w:trPr>
          <w:trHeight w:val="132"/>
        </w:trPr>
        <w:tc>
          <w:tcPr>
            <w:tcW w:w="59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sale of business, net of cash disposed</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1,772,191</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Cash disposed upon deconsolidation of subsidiary</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(19,085)</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(20,049)</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acquired upon consolidation of unconsolidated entity</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21,439</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Investments in unconsolidated entities</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(28,250)</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(36,300)</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 of marketable securities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(32,076)</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Maturity of marketable securities</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16,440</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Acquisitions, net of cash acquired</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(500)</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Purchase of property and equipment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(5,806)</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(4,916)</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59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Net cash (used in) provided by investing activities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(31,702)</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1,694,790</w:t>
            </w:r>
          </w:p>
        </w:tc>
      </w:tr>
      <w:tr>
        <w:trPr>
          <w:trHeight w:val="132"/>
        </w:trPr>
        <w:tc>
          <w:tcPr>
            <w:tcW w:w="594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the Company’s common shares, net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999,193</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Repurchase of common stock and equity awards</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(990,014)</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liability instruments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101,567</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Proceeds from issuance of subsidiary common shares, net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455,756</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117,658</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equity by subsidiary upon Business Combination and recapitalization</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105,930</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Purchase of subsidiary common shares</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(65,544)</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subsidiary convertible and redeemable preferred stock, net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28,455</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Purchase of subsidiary convertible and redeemable preferred stock</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(132,907)</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subsidiary debt financings, net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83,781</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Repayment of long-term debt and convertible debt by subsidiary</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(32,063)</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 of deferred offering costs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(286)</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(3,082)</w:t>
            </w:r>
          </w:p>
        </w:tc>
      </w:tr>
      <w:tr>
        <w:trPr>
          <w:trHeight w:val="135"/>
        </w:trPr>
        <w:tc>
          <w:tcPr>
            <w:tcW w:w="5940" w:type="dxa"/>
            <w:vAlign w:val="bottom"/>
          </w:tcPr>
          <w:p>
            <w:pPr>
              <w:ind w:left="220"/>
              <w:spacing w:after="0"/>
              <w:rPr>
                <w:sz w:val="20"/>
                <w:szCs w:val="20"/>
                <w:color w:val="auto"/>
              </w:rPr>
            </w:pPr>
            <w:r>
              <w:rPr>
                <w:rFonts w:ascii="Arial" w:cs="Arial" w:eastAsia="Arial" w:hAnsi="Arial"/>
                <w:sz w:val="11"/>
                <w:szCs w:val="11"/>
                <w:color w:val="auto"/>
              </w:rPr>
              <w:t>Payment for debt maintenance fee by subsidiary</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(300)</w:t>
            </w:r>
          </w:p>
        </w:tc>
      </w:tr>
      <w:tr>
        <w:trPr>
          <w:trHeight w:val="135"/>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exercise of subsidiary stock options</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907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1,407</w:t>
            </w:r>
          </w:p>
        </w:tc>
      </w:tr>
      <w:tr>
        <w:trPr>
          <w:trHeight w:val="133"/>
        </w:trPr>
        <w:tc>
          <w:tcPr>
            <w:tcW w:w="5940" w:type="dxa"/>
            <w:vAlign w:val="bottom"/>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5"/>
              </w:rPr>
              <w:t>456,264</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214,081</w:t>
            </w:r>
          </w:p>
        </w:tc>
        <w:tc>
          <w:tcPr>
            <w:tcW w:w="100" w:type="dxa"/>
            <w:vAlign w:val="bottom"/>
          </w:tcPr>
          <w:p>
            <w:pPr>
              <w:spacing w:after="0"/>
              <w:rPr>
                <w:sz w:val="11"/>
                <w:szCs w:val="11"/>
                <w:color w:val="auto"/>
              </w:rPr>
            </w:pPr>
          </w:p>
        </w:tc>
      </w:tr>
      <w:tr>
        <w:trPr>
          <w:trHeight w:val="133"/>
        </w:trPr>
        <w:tc>
          <w:tcPr>
            <w:tcW w:w="59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Net change in cash, cash equivalents and restricted cash</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(127,576)</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1,150,121</w:t>
            </w:r>
          </w:p>
        </w:tc>
      </w:tr>
      <w:tr>
        <w:trPr>
          <w:trHeight w:val="135"/>
        </w:trPr>
        <w:tc>
          <w:tcPr>
            <w:tcW w:w="5940" w:type="dxa"/>
            <w:vAlign w:val="bottom"/>
          </w:tcPr>
          <w:p>
            <w:pPr>
              <w:ind w:left="440"/>
              <w:spacing w:after="0"/>
              <w:rPr>
                <w:sz w:val="20"/>
                <w:szCs w:val="20"/>
                <w:color w:val="auto"/>
              </w:rPr>
            </w:pPr>
            <w:r>
              <w:rPr>
                <w:rFonts w:ascii="Arial" w:cs="Arial" w:eastAsia="Arial" w:hAnsi="Arial"/>
                <w:sz w:val="11"/>
                <w:szCs w:val="11"/>
                <w:color w:val="auto"/>
              </w:rPr>
              <w:t>Cash, cash equivalents and restricted cash at beginning of period</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w w:val="93"/>
              </w:rPr>
              <w:t>2,269,252</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1,119,131</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59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Cash, cash equivalents and restricted cash at end of period</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3"/>
              </w:rPr>
              <w:t>2,141,676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2,269,252</w:t>
            </w:r>
          </w:p>
        </w:tc>
      </w:tr>
      <w:tr>
        <w:trPr>
          <w:trHeight w:val="27"/>
        </w:trPr>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72" w:right="1440" w:bottom="1440" w:gutter="0" w:footer="0" w:header="0"/>
        </w:sectPr>
      </w:pPr>
    </w:p>
    <w:bookmarkStart w:id="337" w:name="page338"/>
    <w:bookmarkEnd w:id="3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120" w:type="dxa"/>
            <w:vAlign w:val="bottom"/>
            <w:gridSpan w:val="6"/>
          </w:tcPr>
          <w:p>
            <w:pPr>
              <w:jc w:val="right"/>
              <w:ind w:right="100"/>
              <w:spacing w:after="0"/>
              <w:rPr>
                <w:sz w:val="20"/>
                <w:szCs w:val="20"/>
                <w:color w:val="auto"/>
              </w:rPr>
            </w:pPr>
            <w:r>
              <w:rPr>
                <w:rFonts w:ascii="Arial" w:cs="Arial" w:eastAsia="Arial" w:hAnsi="Arial"/>
                <w:sz w:val="10"/>
                <w:szCs w:val="10"/>
                <w:b w:val="1"/>
                <w:bCs w:val="1"/>
                <w:color w:val="auto"/>
                <w:w w:val="91"/>
              </w:rPr>
              <w:t>Years Ended March 31,</w:t>
            </w:r>
          </w:p>
        </w:tc>
      </w:tr>
      <w:tr>
        <w:trPr>
          <w:trHeight w:val="97"/>
        </w:trPr>
        <w:tc>
          <w:tcPr>
            <w:tcW w:w="62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62"/>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2"/>
              <w:spacing w:after="0" w:line="97" w:lineRule="exact"/>
              <w:rPr>
                <w:sz w:val="20"/>
                <w:szCs w:val="20"/>
                <w:color w:val="auto"/>
              </w:rPr>
            </w:pPr>
            <w:r>
              <w:rPr>
                <w:rFonts w:ascii="Arial" w:cs="Arial" w:eastAsia="Arial" w:hAnsi="Arial"/>
                <w:sz w:val="10"/>
                <w:szCs w:val="10"/>
                <w:b w:val="1"/>
                <w:bCs w:val="1"/>
                <w:color w:val="auto"/>
                <w:w w:val="98"/>
              </w:rPr>
              <w:t>2020</w:t>
            </w:r>
          </w:p>
        </w:tc>
        <w:tc>
          <w:tcPr>
            <w:tcW w:w="40" w:type="dxa"/>
            <w:vAlign w:val="bottom"/>
            <w:tcBorders>
              <w:bottom w:val="single" w:sz="8" w:color="CCEEFF"/>
            </w:tcBorders>
          </w:tcPr>
          <w:p>
            <w:pPr>
              <w:spacing w:after="0"/>
              <w:rPr>
                <w:sz w:val="8"/>
                <w:szCs w:val="8"/>
                <w:color w:val="auto"/>
              </w:rPr>
            </w:pPr>
          </w:p>
        </w:tc>
      </w:tr>
      <w:tr>
        <w:trPr>
          <w:trHeight w:val="133"/>
        </w:trPr>
        <w:tc>
          <w:tcPr>
            <w:tcW w:w="62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Non-cash investing and financing activities:</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Operating lease right-of-use assets obtained and exchanged for operating lease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5,491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56,025</w:t>
            </w:r>
          </w:p>
        </w:tc>
      </w:tr>
      <w:tr>
        <w:trPr>
          <w:trHeight w:val="135"/>
        </w:trPr>
        <w:tc>
          <w:tcPr>
            <w:tcW w:w="622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7"/>
              </w:rPr>
              <w:t>Operating lease right-of-use assets and operating lease liabilities, including amounts reclassified from other current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622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8"/>
              </w:rPr>
              <w:t>liabilities and other liabilities to operating lease liabilities, recognized upon the adoption of ASC 842, Leases, on</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3"/>
        </w:trPr>
        <w:tc>
          <w:tcPr>
            <w:tcW w:w="62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April 1, 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43,026</w:t>
            </w: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Subscription receivable related to issuance of subsidiary common shares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100,000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Conversion of subsidiary convertible promissory notes to common shares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32,500</w:t>
            </w: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Other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(960)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3,601</w:t>
            </w:r>
          </w:p>
        </w:tc>
      </w:tr>
      <w:tr>
        <w:trPr>
          <w:trHeight w:val="144"/>
        </w:trPr>
        <w:tc>
          <w:tcPr>
            <w:tcW w:w="6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cash paid:</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Income taxes 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4,076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4,936</w:t>
            </w: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12,158</w:t>
            </w: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72" w:right="1440" w:bottom="1440" w:gutter="0" w:footer="0" w:header="0"/>
        </w:sectPr>
      </w:pPr>
    </w:p>
    <w:bookmarkStart w:id="338" w:name="page339"/>
    <w:bookmarkEnd w:id="3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ROIVANT SCIENCES LTD.</w:t>
      </w:r>
    </w:p>
    <w:p>
      <w:pPr>
        <w:spacing w:after="0" w:line="150" w:lineRule="exact"/>
        <w:rPr>
          <w:sz w:val="20"/>
          <w:szCs w:val="20"/>
          <w:color w:val="auto"/>
        </w:rPr>
      </w:pPr>
    </w:p>
    <w:p>
      <w:pPr>
        <w:ind w:left="45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1—Description of Business and Liquidity</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Description of Business</w:t>
      </w:r>
    </w:p>
    <w:p>
      <w:pPr>
        <w:spacing w:after="0" w:line="82"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28" w:lineRule="exact"/>
        <w:rPr>
          <w:sz w:val="20"/>
          <w:szCs w:val="20"/>
          <w:color w:val="auto"/>
        </w:rPr>
      </w:pPr>
    </w:p>
    <w:p>
      <w:pPr>
        <w:jc w:val="both"/>
        <w:ind w:left="1980" w:right="1339"/>
        <w:spacing w:after="0" w:line="298" w:lineRule="auto"/>
        <w:rPr>
          <w:sz w:val="20"/>
          <w:szCs w:val="20"/>
          <w:color w:val="auto"/>
        </w:rPr>
      </w:pPr>
      <w:r>
        <w:rPr>
          <w:rFonts w:ascii="Arial" w:cs="Arial" w:eastAsia="Arial" w:hAnsi="Arial"/>
          <w:sz w:val="11"/>
          <w:szCs w:val="11"/>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3, “Investments” for further discussion of the Company’s investments in unconsolidated entities.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Liquidity</w:t>
      </w:r>
    </w:p>
    <w:p>
      <w:pPr>
        <w:spacing w:after="0" w:line="82"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incurred significant losses and negative cash flows from operations since its inception. As of March 31, 2021, the Company had cash and cash equivalents of approximately $2.1 billion and its accumulated deficit was approximately $1.9 billion. For the years ended March 31, 2021 and 2020, the Company incurred losses from continuing operations of $900.2 million and $568.1 million, respectively. The Company has historically financed its operations primarily through the sale of equity securities, sale of subsidiary interests, debt financings and revenue generated from licensing and collaboration arrangements. 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Management expects to incur additional losses in the future to fund its operations and conduct product research and development and recognizes the need to raise additional capital to fully implement its business plan.</w:t>
      </w:r>
    </w:p>
    <w:p>
      <w:pPr>
        <w:spacing w:after="0" w:line="115"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consolidated financial statements.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2—Summary of Significant Accounting Policies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Basis of Presentation and Principles of Consolidation</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Company’s fiscal year ends on March 31, and its fiscal quarters end on June 30, September 30, and December 31.</w:t>
      </w:r>
    </w:p>
    <w:p>
      <w:pPr>
        <w:spacing w:after="0" w:line="15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accompanying audited consolidated financial statements and notes thereto have been prepared in accordance with accounting principles generally accepted in the United States (“U.S. GAAP”).</w:t>
      </w:r>
    </w:p>
    <w:p>
      <w:pPr>
        <w:spacing w:after="0" w:line="11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Any references in these notes to applicable accounting guidance are meant to refer to the authoritative U.S. GAAP as found in the Accounting Standards Codification (“ASC”) and Accounting Standards Updates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72" w:right="1440" w:bottom="1440" w:gutter="0" w:footer="0" w:header="0"/>
        </w:sectPr>
      </w:pPr>
    </w:p>
    <w:bookmarkStart w:id="339" w:name="page340"/>
    <w:bookmarkEnd w:id="3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(“ASU”) of the Financial Accounting Standards Board (“FASB”). The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22" w:lineRule="exact"/>
        <w:rPr>
          <w:sz w:val="20"/>
          <w:szCs w:val="20"/>
          <w:color w:val="auto"/>
        </w:rPr>
      </w:pPr>
    </w:p>
    <w:p>
      <w:pPr>
        <w:ind w:left="1980" w:right="1159"/>
        <w:spacing w:after="0" w:line="259" w:lineRule="auto"/>
        <w:rPr>
          <w:sz w:val="20"/>
          <w:szCs w:val="20"/>
          <w:color w:val="auto"/>
        </w:rPr>
      </w:pPr>
      <w:r>
        <w:rPr>
          <w:rFonts w:ascii="Arial" w:cs="Arial" w:eastAsia="Arial" w:hAnsi="Arial"/>
          <w:sz w:val="12"/>
          <w:szCs w:val="12"/>
          <w:color w:val="auto"/>
        </w:rPr>
        <w:t>For consolidated entities where the Company owns or is exposed to less than 100% of the economics, the Company records net loss attributable to noncontrolling interests in its consolidated statements of operations equal to the percentage of the economic or ownership interest retained in the respective operations by the noncontrolling parties. The Company presents noncontrolling interests as a component of shareholders’ equity on its consolidated balance sheets.</w:t>
      </w:r>
    </w:p>
    <w:p>
      <w:pPr>
        <w:spacing w:after="0" w:line="12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24"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Additionally, the Company concluded that the disposition of RSL’s ownership interests in Myovant Sciences Ltd. (“Myovant”), Urovant Sciences Ltd. (“Urovant”), Enzyvant Therapeutics Ltd. (“Enzyvant”), Altavant Sciences Ltd. (“Altavant”), and Spirovant Sciences Ltd. (“Spirovant”) (collectively, the “Sumitovant Vants”), pursuant to the transaction agreement entered into with Sumitomo Dainippon Pharma Co., Ltd. (“Sumitomo”) on October 31,</w:t>
      </w:r>
    </w:p>
    <w:p>
      <w:pPr>
        <w:spacing w:after="0" w:line="1" w:lineRule="exact"/>
        <w:rPr>
          <w:sz w:val="20"/>
          <w:szCs w:val="20"/>
          <w:color w:val="auto"/>
        </w:rPr>
      </w:pPr>
    </w:p>
    <w:p>
      <w:pPr>
        <w:ind w:left="1980" w:right="839"/>
        <w:spacing w:after="0" w:line="253" w:lineRule="auto"/>
        <w:rPr>
          <w:sz w:val="20"/>
          <w:szCs w:val="20"/>
          <w:color w:val="auto"/>
        </w:rPr>
      </w:pPr>
      <w:r>
        <w:rPr>
          <w:rFonts w:ascii="Arial" w:cs="Arial" w:eastAsia="Arial" w:hAnsi="Arial"/>
          <w:sz w:val="12"/>
          <w:szCs w:val="12"/>
          <w:color w:val="auto"/>
        </w:rPr>
        <w:t>2019 (the “Sumitomo Transaction Agreement”) that closed on December 27, 2019 (the “Sumitomo Transaction”), met the requirements to be presented as discontinued operations. As such, results relating to the transferred interests prior to disposition are classified as discontinued operations in prior period consolidated financial statements. See Note 5, “Sumitomo Transaction Agreement” and Note 6, “Discontinued Operations” for further discussion. Certain prior year amounts were reclassified to conform to current year presentation.</w:t>
      </w:r>
    </w:p>
    <w:p>
      <w:pPr>
        <w:spacing w:after="0" w:line="129"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irrevocably elected not to avail itself of this extended transition period, and, as a result, the Company will adopt new or revised accounting standards on the relevant dates on which adoption of such standards is required for other public companies.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Use of Estimates</w:t>
      </w:r>
    </w:p>
    <w:p>
      <w:pPr>
        <w:spacing w:after="0" w:line="8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28"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Additionally, the Company assessed the impact that the COVID-19 pandemic has had on its operations and financial results as of March 31, 2021 and through the issuance of these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72" w:right="1440" w:bottom="1440" w:gutter="0" w:footer="0" w:header="0"/>
        </w:sectPr>
      </w:pPr>
    </w:p>
    <w:bookmarkStart w:id="340" w:name="page341"/>
    <w:bookmarkEnd w:id="3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Risks and Uncertainties</w:t>
      </w:r>
    </w:p>
    <w:p>
      <w:pPr>
        <w:spacing w:after="0" w:line="82" w:lineRule="exact"/>
        <w:rPr>
          <w:sz w:val="20"/>
          <w:szCs w:val="20"/>
          <w:color w:val="auto"/>
        </w:rPr>
      </w:pPr>
    </w:p>
    <w:p>
      <w:pPr>
        <w:ind w:left="1980" w:right="1259"/>
        <w:spacing w:after="0" w:line="263" w:lineRule="auto"/>
        <w:rPr>
          <w:sz w:val="20"/>
          <w:szCs w:val="20"/>
          <w:color w:val="auto"/>
        </w:rPr>
      </w:pPr>
      <w:r>
        <w:rPr>
          <w:rFonts w:ascii="Arial" w:cs="Arial" w:eastAsia="Arial" w:hAnsi="Arial"/>
          <w:sz w:val="12"/>
          <w:szCs w:val="12"/>
          <w:color w:val="auto"/>
        </w:rPr>
        <w:t>The Company is subject to risks common to companies in the biopharmaceutical industry including, but not limited to, uncertainties related to commercialization of products, regulatory approvals, dependence on key products, dependence on third-party service providers, such as contract research organizations, and protection of intellectual property rights.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Concentrations of Credit Risk</w:t>
      </w:r>
    </w:p>
    <w:p>
      <w:pPr>
        <w:spacing w:after="0" w:line="82" w:lineRule="exact"/>
        <w:rPr>
          <w:sz w:val="20"/>
          <w:szCs w:val="20"/>
          <w:color w:val="auto"/>
        </w:rPr>
      </w:pPr>
    </w:p>
    <w:p>
      <w:pPr>
        <w:ind w:left="1980" w:right="1019"/>
        <w:spacing w:after="0" w:line="326" w:lineRule="auto"/>
        <w:rPr>
          <w:sz w:val="20"/>
          <w:szCs w:val="20"/>
          <w:color w:val="auto"/>
        </w:rPr>
      </w:pPr>
      <w:r>
        <w:rPr>
          <w:rFonts w:ascii="Arial" w:cs="Arial" w:eastAsia="Arial" w:hAnsi="Arial"/>
          <w:sz w:val="10"/>
          <w:szCs w:val="10"/>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 Cash, Cash Equivalents, and Restricted Cash</w:t>
      </w:r>
    </w:p>
    <w:p>
      <w:pPr>
        <w:spacing w:after="0" w:line="82"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Restricted cash classified as a current asset consists of the amount held in escrow relating to the Sumitomo Transaction (see Note 5, “Sumitomo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Transaction Agreement”) and the legally restricted non-interest bearing deposit account relating to the Company’s corporate credit card program.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Restricted cash classified as a long-term asset consists of restricted deposit accounts related to irrevocable standby letters of credit.</w:t>
      </w:r>
    </w:p>
    <w:p>
      <w:pPr>
        <w:spacing w:after="0" w:line="141"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Cash as reported in the accompanying consolidated statements of cash flows includes the aggregate amounts of cash, cash equivalents, and restricted cash as presented on the accompanying consolidated balance sheets as follows (in thousands):</w:t>
      </w:r>
    </w:p>
    <w:p>
      <w:pPr>
        <w:spacing w:after="0" w:line="135"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March 31, 2021</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w w:val="92"/>
              </w:rPr>
              <w:t>March 31, 2020</w:t>
            </w:r>
          </w:p>
        </w:tc>
      </w:tr>
      <w:tr>
        <w:trPr>
          <w:trHeight w:val="133"/>
        </w:trPr>
        <w:tc>
          <w:tcPr>
            <w:tcW w:w="38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2,055,044</w:t>
            </w: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2,183,207</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Restricted cash</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86,632</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86,045</w:t>
            </w:r>
          </w:p>
        </w:tc>
        <w:tc>
          <w:tcPr>
            <w:tcW w:w="40" w:type="dxa"/>
            <w:vAlign w:val="bottom"/>
          </w:tcPr>
          <w:p>
            <w:pPr>
              <w:spacing w:after="0"/>
              <w:rPr>
                <w:sz w:val="12"/>
                <w:szCs w:val="12"/>
                <w:color w:val="auto"/>
              </w:rPr>
            </w:pPr>
          </w:p>
        </w:tc>
      </w:tr>
      <w:tr>
        <w:trPr>
          <w:trHeight w:val="149"/>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2,141,676</w:t>
            </w:r>
          </w:p>
        </w:tc>
        <w:tc>
          <w:tcPr>
            <w:tcW w:w="4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2,269,252</w:t>
            </w:r>
          </w:p>
        </w:tc>
        <w:tc>
          <w:tcPr>
            <w:tcW w:w="40" w:type="dxa"/>
            <w:vAlign w:val="bottom"/>
            <w:shd w:val="clear" w:color="auto" w:fill="CCEEFF"/>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 Trade Receivables, Net</w:t>
      </w:r>
    </w:p>
    <w:p>
      <w:pPr>
        <w:spacing w:after="0" w:line="82"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2021 and 2020. Trade receivables, net is included in “Other current assets” on the accompanying consolidated balance sheets.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 Contingencies</w:t>
      </w:r>
    </w:p>
    <w:p>
      <w:pPr>
        <w:spacing w:after="0" w:line="82"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72" w:right="1440" w:bottom="1440" w:gutter="0" w:footer="0" w:header="0"/>
        </w:sectPr>
      </w:pPr>
    </w:p>
    <w:bookmarkStart w:id="341" w:name="page342"/>
    <w:bookmarkEnd w:id="3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(H) Property and Equipment</w:t>
      </w:r>
    </w:p>
    <w:p>
      <w:pPr>
        <w:spacing w:after="0" w:line="82"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Property and equipment, consisting primarily of computers,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spacing w:after="0" w:line="11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00" w:type="dxa"/>
            <w:vAlign w:val="bottom"/>
            <w:gridSpan w:val="2"/>
          </w:tcPr>
          <w:p>
            <w:pPr>
              <w:spacing w:after="0"/>
              <w:rPr>
                <w:sz w:val="20"/>
                <w:szCs w:val="20"/>
                <w:color w:val="auto"/>
              </w:rPr>
            </w:pPr>
            <w:r>
              <w:rPr>
                <w:rFonts w:ascii="Arial" w:cs="Arial" w:eastAsia="Arial" w:hAnsi="Arial"/>
                <w:sz w:val="10"/>
                <w:szCs w:val="10"/>
                <w:b w:val="1"/>
                <w:bCs w:val="1"/>
                <w:color w:val="auto"/>
              </w:rPr>
              <w:t>Property and Equipment</w:t>
            </w:r>
          </w:p>
        </w:tc>
        <w:tc>
          <w:tcPr>
            <w:tcW w:w="2600" w:type="dxa"/>
            <w:vAlign w:val="bottom"/>
            <w:gridSpan w:val="2"/>
          </w:tcPr>
          <w:p>
            <w:pPr>
              <w:spacing w:after="0"/>
              <w:rPr>
                <w:sz w:val="20"/>
                <w:szCs w:val="20"/>
                <w:color w:val="auto"/>
              </w:rPr>
            </w:pPr>
            <w:r>
              <w:rPr>
                <w:rFonts w:ascii="Arial" w:cs="Arial" w:eastAsia="Arial" w:hAnsi="Arial"/>
                <w:sz w:val="10"/>
                <w:szCs w:val="10"/>
                <w:b w:val="1"/>
                <w:bCs w:val="1"/>
                <w:color w:val="auto"/>
              </w:rPr>
              <w:t>Estimated Useful Life</w:t>
            </w:r>
          </w:p>
        </w:tc>
      </w:tr>
      <w:tr>
        <w:trPr>
          <w:trHeight w:val="124"/>
        </w:trPr>
        <w:tc>
          <w:tcPr>
            <w:tcW w:w="10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Computers</w:t>
            </w:r>
          </w:p>
        </w:tc>
        <w:tc>
          <w:tcPr>
            <w:tcW w:w="1480" w:type="dxa"/>
            <w:vAlign w:val="bottom"/>
          </w:tcPr>
          <w:p>
            <w:pPr>
              <w:spacing w:after="0"/>
              <w:rPr>
                <w:sz w:val="10"/>
                <w:szCs w:val="10"/>
                <w:color w:val="auto"/>
              </w:rPr>
            </w:pPr>
          </w:p>
        </w:tc>
        <w:tc>
          <w:tcPr>
            <w:tcW w:w="8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3 years</w:t>
            </w:r>
          </w:p>
        </w:tc>
        <w:tc>
          <w:tcPr>
            <w:tcW w:w="1720" w:type="dxa"/>
            <w:vAlign w:val="bottom"/>
          </w:tcPr>
          <w:p>
            <w:pPr>
              <w:spacing w:after="0"/>
              <w:rPr>
                <w:sz w:val="10"/>
                <w:szCs w:val="10"/>
                <w:color w:val="auto"/>
              </w:rPr>
            </w:pPr>
          </w:p>
        </w:tc>
      </w:tr>
      <w:tr>
        <w:trPr>
          <w:trHeight w:val="144"/>
        </w:trPr>
        <w:tc>
          <w:tcPr>
            <w:tcW w:w="2500" w:type="dxa"/>
            <w:vAlign w:val="bottom"/>
            <w:gridSpan w:val="2"/>
          </w:tcPr>
          <w:p>
            <w:pPr>
              <w:spacing w:after="0"/>
              <w:rPr>
                <w:sz w:val="20"/>
                <w:szCs w:val="20"/>
                <w:color w:val="auto"/>
              </w:rPr>
            </w:pPr>
            <w:r>
              <w:rPr>
                <w:rFonts w:ascii="Arial" w:cs="Arial" w:eastAsia="Arial" w:hAnsi="Arial"/>
                <w:sz w:val="12"/>
                <w:szCs w:val="12"/>
                <w:color w:val="auto"/>
              </w:rPr>
              <w:t>Equipment</w:t>
            </w:r>
          </w:p>
        </w:tc>
        <w:tc>
          <w:tcPr>
            <w:tcW w:w="2600" w:type="dxa"/>
            <w:vAlign w:val="bottom"/>
            <w:gridSpan w:val="2"/>
          </w:tcPr>
          <w:p>
            <w:pPr>
              <w:spacing w:after="0"/>
              <w:rPr>
                <w:sz w:val="20"/>
                <w:szCs w:val="20"/>
                <w:color w:val="auto"/>
              </w:rPr>
            </w:pPr>
            <w:r>
              <w:rPr>
                <w:rFonts w:ascii="Arial" w:cs="Arial" w:eastAsia="Arial" w:hAnsi="Arial"/>
                <w:sz w:val="12"/>
                <w:szCs w:val="12"/>
                <w:color w:val="auto"/>
              </w:rPr>
              <w:t>5 years</w:t>
            </w:r>
          </w:p>
        </w:tc>
      </w:tr>
      <w:tr>
        <w:trPr>
          <w:trHeight w:val="144"/>
        </w:trPr>
        <w:tc>
          <w:tcPr>
            <w:tcW w:w="2500" w:type="dxa"/>
            <w:vAlign w:val="bottom"/>
            <w:gridSpan w:val="2"/>
          </w:tcPr>
          <w:p>
            <w:pPr>
              <w:spacing w:after="0"/>
              <w:rPr>
                <w:sz w:val="20"/>
                <w:szCs w:val="20"/>
                <w:color w:val="auto"/>
              </w:rPr>
            </w:pPr>
            <w:r>
              <w:rPr>
                <w:rFonts w:ascii="Arial" w:cs="Arial" w:eastAsia="Arial" w:hAnsi="Arial"/>
                <w:sz w:val="12"/>
                <w:szCs w:val="12"/>
                <w:color w:val="auto"/>
              </w:rPr>
              <w:t>Furniture and fixtures</w:t>
            </w:r>
          </w:p>
        </w:tc>
        <w:tc>
          <w:tcPr>
            <w:tcW w:w="2600" w:type="dxa"/>
            <w:vAlign w:val="bottom"/>
            <w:gridSpan w:val="2"/>
          </w:tcPr>
          <w:p>
            <w:pPr>
              <w:spacing w:after="0"/>
              <w:rPr>
                <w:sz w:val="20"/>
                <w:szCs w:val="20"/>
                <w:color w:val="auto"/>
              </w:rPr>
            </w:pPr>
            <w:r>
              <w:rPr>
                <w:rFonts w:ascii="Arial" w:cs="Arial" w:eastAsia="Arial" w:hAnsi="Arial"/>
                <w:sz w:val="12"/>
                <w:szCs w:val="12"/>
                <w:color w:val="auto"/>
              </w:rPr>
              <w:t>7 years</w:t>
            </w:r>
          </w:p>
        </w:tc>
      </w:tr>
      <w:tr>
        <w:trPr>
          <w:trHeight w:val="144"/>
        </w:trPr>
        <w:tc>
          <w:tcPr>
            <w:tcW w:w="2500" w:type="dxa"/>
            <w:vAlign w:val="bottom"/>
            <w:gridSpan w:val="2"/>
          </w:tcPr>
          <w:p>
            <w:pPr>
              <w:spacing w:after="0"/>
              <w:rPr>
                <w:sz w:val="20"/>
                <w:szCs w:val="20"/>
                <w:color w:val="auto"/>
              </w:rPr>
            </w:pPr>
            <w:r>
              <w:rPr>
                <w:rFonts w:ascii="Arial" w:cs="Arial" w:eastAsia="Arial" w:hAnsi="Arial"/>
                <w:sz w:val="12"/>
                <w:szCs w:val="12"/>
                <w:color w:val="auto"/>
              </w:rPr>
              <w:t>Software</w:t>
            </w:r>
          </w:p>
        </w:tc>
        <w:tc>
          <w:tcPr>
            <w:tcW w:w="2600" w:type="dxa"/>
            <w:vAlign w:val="bottom"/>
            <w:gridSpan w:val="2"/>
          </w:tcPr>
          <w:p>
            <w:pPr>
              <w:spacing w:after="0"/>
              <w:rPr>
                <w:sz w:val="20"/>
                <w:szCs w:val="20"/>
                <w:color w:val="auto"/>
              </w:rPr>
            </w:pPr>
            <w:r>
              <w:rPr>
                <w:rFonts w:ascii="Arial" w:cs="Arial" w:eastAsia="Arial" w:hAnsi="Arial"/>
                <w:sz w:val="12"/>
                <w:szCs w:val="12"/>
                <w:color w:val="auto"/>
              </w:rPr>
              <w:t>3 years</w:t>
            </w:r>
          </w:p>
        </w:tc>
      </w:tr>
      <w:tr>
        <w:trPr>
          <w:trHeight w:val="153"/>
        </w:trPr>
        <w:tc>
          <w:tcPr>
            <w:tcW w:w="2500" w:type="dxa"/>
            <w:vAlign w:val="bottom"/>
            <w:gridSpan w:val="2"/>
          </w:tcPr>
          <w:p>
            <w:pPr>
              <w:spacing w:after="0"/>
              <w:rPr>
                <w:sz w:val="20"/>
                <w:szCs w:val="20"/>
                <w:color w:val="auto"/>
              </w:rPr>
            </w:pPr>
            <w:r>
              <w:rPr>
                <w:rFonts w:ascii="Arial" w:cs="Arial" w:eastAsia="Arial" w:hAnsi="Arial"/>
                <w:sz w:val="12"/>
                <w:szCs w:val="12"/>
                <w:color w:val="auto"/>
              </w:rPr>
              <w:t>Leasehold improvements</w:t>
            </w:r>
          </w:p>
        </w:tc>
        <w:tc>
          <w:tcPr>
            <w:tcW w:w="2600" w:type="dxa"/>
            <w:vAlign w:val="bottom"/>
            <w:gridSpan w:val="2"/>
          </w:tcPr>
          <w:p>
            <w:pPr>
              <w:spacing w:after="0"/>
              <w:rPr>
                <w:sz w:val="20"/>
                <w:szCs w:val="20"/>
                <w:color w:val="auto"/>
              </w:rPr>
            </w:pPr>
            <w:r>
              <w:rPr>
                <w:rFonts w:ascii="Arial" w:cs="Arial" w:eastAsia="Arial" w:hAnsi="Arial"/>
                <w:sz w:val="12"/>
                <w:szCs w:val="12"/>
                <w:color w:val="auto"/>
                <w:w w:val="89"/>
              </w:rPr>
              <w:t>Lesser of estimated useful life or remaining lease term</w:t>
            </w:r>
          </w:p>
        </w:tc>
      </w:tr>
    </w:tbl>
    <w:p>
      <w:pPr>
        <w:spacing w:after="0" w:line="135"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 Investments</w:t>
      </w:r>
    </w:p>
    <w:p>
      <w:pPr>
        <w:spacing w:after="0" w:line="82"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For investments in entities over which the Company has significant influence but do not meet the requirements for consolidation and for which the Company has not elected the fair value option, the Company applies the equity method of accounting with the Company’s share of the underlying income or loss of such entities reported in “Other expense, net” on the consolidated statements of operations. The Company applies the equity method to investments in common stock and to other investments in entities that have risk and reward characteristics that are substantially similar to an investment in the investee’s common stock.</w:t>
      </w:r>
    </w:p>
    <w:p>
      <w:pPr>
        <w:spacing w:after="0" w:line="128"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Investments in equity securities may also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05"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The Company has elected the fair value option to account for certain investments over which the Company has significant influence. The Company believes the fair value option best reflects the underlying economics of the investment. See Note 3, “Investments.”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 Research and Development Expenses</w:t>
      </w:r>
    </w:p>
    <w:p>
      <w:pPr>
        <w:spacing w:after="0" w:line="82"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Research and development (“R&amp;D”) costs are expensed as incurred. Preclinical and clinical study costs are accrued over the service periods specified in the contracts and adjusted as necessary based upon an ongoing</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72" w:right="1440" w:bottom="1440" w:gutter="0" w:footer="0" w:header="0"/>
        </w:sectPr>
      </w:pPr>
    </w:p>
    <w:bookmarkStart w:id="342" w:name="page343"/>
    <w:bookmarkEnd w:id="3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review of the level of effort and costs actually incurred. Payments for a product license prior to regulatory approval of the product and payments for milestones achieved prior to regulatory approval of the product are expensed in the period incurred as R&amp;D. Milestone payments made in connection with regulatory approvals are capitalized and amortized to cost of revenue over the remaining useful life of the asset. R&amp;D costs primarily consist of the intellectual property and R&amp;D materials acquired and expenses from third parties who conduct R&amp;D activities on behalf of the Company.</w:t>
      </w:r>
    </w:p>
    <w:p>
      <w:pPr>
        <w:spacing w:after="0" w:line="111"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The Company evaluates in-licensed agreements for in-process research and development projects (“IPR&amp;D”)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R&amp;D expense in its consolidated statements of operations. The Company initially recognizes contingent consideration in an asset acquisition at fair value. The carrying value of contingent consideration is subsequently adjusted when the contingency is resolved and is paid or becomes payable.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 General and Administrative Expenses</w:t>
      </w:r>
    </w:p>
    <w:p>
      <w:pPr>
        <w:spacing w:after="0" w:line="82"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General and administrative (“G&amp;A”) expenses consist primarily of employee-related expenses for G&amp;A personnel, including those responsible for the identification and acquisition or in-license of new drug candidates as well as for overseeing Vant operations and facilitating the use of the Company’s platform and technologies at Vants. G&amp;A expenses also consist of legal and accounting fees, consulting services and other operating costs relating to corporate matters and daily operations. G&amp;A expenses include costs incurred relating to the identification, acquisition or in-license and technology transfer of promising drug candidates along with costs incurred relating to the integration of new technologies.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 Income Taxes</w:t>
      </w:r>
    </w:p>
    <w:p>
      <w:pPr>
        <w:spacing w:after="0" w:line="8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spacing w:after="0" w:line="115"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 Share-Based Compensation</w:t>
      </w:r>
    </w:p>
    <w:p>
      <w:pPr>
        <w:spacing w:after="0" w:line="82" w:lineRule="exact"/>
        <w:rPr>
          <w:sz w:val="20"/>
          <w:szCs w:val="20"/>
          <w:color w:val="auto"/>
        </w:rPr>
      </w:pPr>
    </w:p>
    <w:p>
      <w:pPr>
        <w:ind w:left="1980" w:right="1039"/>
        <w:spacing w:after="0" w:line="255" w:lineRule="auto"/>
        <w:rPr>
          <w:sz w:val="20"/>
          <w:szCs w:val="20"/>
          <w:color w:val="auto"/>
        </w:rPr>
      </w:pPr>
      <w:r>
        <w:rPr>
          <w:rFonts w:ascii="Arial" w:cs="Arial" w:eastAsia="Arial" w:hAnsi="Arial"/>
          <w:sz w:val="12"/>
          <w:szCs w:val="12"/>
          <w:color w:val="auto"/>
        </w:rPr>
        <w:t>Share-based awards to employees, directors, and consultants, including stock options, restricted stock units, performance options and capped value appreciation rights,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 performance condition will be achieved. The Company may grant awards with graded-vesting features. When such awards have only service vesting requirements, the Company elected to record share-based compensation</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72" w:right="1440" w:bottom="1440" w:gutter="0" w:footer="0" w:header="0"/>
        </w:sectPr>
      </w:pPr>
    </w:p>
    <w:bookmarkStart w:id="343" w:name="page344"/>
    <w:bookmarkEnd w:id="3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expense on a straight-line basis. If awards with graded-vesting features contain performance or market conditions, then the Company records share-based compensation expense using the accelerated attribution method.</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w:t>
      </w:r>
    </w:p>
    <w:p>
      <w:pPr>
        <w:spacing w:after="0" w:line="122"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Certain assumptions need to be made with respect to utilizing the Black-Scholes option pricing model, including the expected life of the award, volatility of the underlying shares, the risk-free interest rate and the fair value of the Company’s common shares. Since the Company has no option exercise history, it has generally elected to estimate the expected life of an award based upon the “simplified method” with the continued use of this method extended until such time the Company has sufficient exercise history.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The Company accounts for pre-vesting award forfeitures when they occur.</w:t>
      </w:r>
    </w:p>
    <w:p>
      <w:pPr>
        <w:spacing w:after="0" w:line="130" w:lineRule="exact"/>
        <w:rPr>
          <w:sz w:val="20"/>
          <w:szCs w:val="20"/>
          <w:color w:val="auto"/>
        </w:rPr>
      </w:pPr>
    </w:p>
    <w:p>
      <w:pPr>
        <w:ind w:left="1980" w:right="899"/>
        <w:spacing w:after="0" w:line="279" w:lineRule="auto"/>
        <w:rPr>
          <w:sz w:val="20"/>
          <w:szCs w:val="20"/>
          <w:color w:val="auto"/>
        </w:rPr>
      </w:pPr>
      <w:r>
        <w:rPr>
          <w:rFonts w:ascii="Arial" w:cs="Arial" w:eastAsia="Arial" w:hAnsi="Arial"/>
          <w:sz w:val="11"/>
          <w:szCs w:val="11"/>
          <w:color w:val="auto"/>
        </w:rPr>
        <w:t>As part of the valuation of share-based compensation under the Black-Scholes option pricing model, it is necessary for the Company to estimate the fair value of its common shares for RSL and privately held Vants. Given the absence of a public trading market, and in accordance with the American Institute of Certified Public Accountants’ Practice Guide, Valuation of Privately-Held-Company Equity Securities Issued as Compensation, the Company exercises reasonable judgment and considers numerous objective and subjective factors to determine its best estimate of the fair value of its common shares. The estimation of the fair value of the common shares considers factors including the following: the prices of the Company’s common shares sold to investors in arm’s length transactions, the estimated present value of the Company’s future cash flows; the Company’s business, financial condition and results of operations; the Company’s forecasted operating performance; the illiquid nature of the Company’s common shares; industry information such as market size and growth; market capitalization of comparable companies and the estimated value of transactions such companies have engaged in; and macroeconomic conditions.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 Fair Value Measurements</w:t>
      </w:r>
    </w:p>
    <w:p>
      <w:pPr>
        <w:spacing w:after="0" w:line="82" w:lineRule="exact"/>
        <w:rPr>
          <w:sz w:val="20"/>
          <w:szCs w:val="20"/>
          <w:color w:val="auto"/>
        </w:rPr>
      </w:pPr>
    </w:p>
    <w:p>
      <w:pPr>
        <w:ind w:left="1980" w:right="859"/>
        <w:spacing w:after="0" w:line="311" w:lineRule="auto"/>
        <w:rPr>
          <w:sz w:val="20"/>
          <w:szCs w:val="20"/>
          <w:color w:val="auto"/>
        </w:rPr>
      </w:pPr>
      <w:r>
        <w:rPr>
          <w:rFonts w:ascii="Arial" w:cs="Arial" w:eastAsia="Arial" w:hAnsi="Arial"/>
          <w:sz w:val="10"/>
          <w:szCs w:val="10"/>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41" w:lineRule="exact"/>
        <w:rPr>
          <w:sz w:val="20"/>
          <w:szCs w:val="20"/>
          <w:color w:val="auto"/>
        </w:rPr>
      </w:pPr>
    </w:p>
    <w:p>
      <w:pPr>
        <w:ind w:left="2620" w:right="1159" w:hanging="288"/>
        <w:spacing w:after="0" w:line="276" w:lineRule="auto"/>
        <w:tabs>
          <w:tab w:leader="none" w:pos="262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Level 1-Valuations are based on unadjusted quoted prices in active markets for identical assets or liabilities that the Company has the ability to access.</w:t>
      </w:r>
    </w:p>
    <w:p>
      <w:pPr>
        <w:spacing w:after="0" w:line="51" w:lineRule="exact"/>
        <w:rPr>
          <w:rFonts w:ascii="Arial" w:cs="Arial" w:eastAsia="Arial" w:hAnsi="Arial"/>
          <w:sz w:val="12"/>
          <w:szCs w:val="12"/>
          <w:color w:val="auto"/>
        </w:rPr>
      </w:pPr>
    </w:p>
    <w:p>
      <w:pPr>
        <w:ind w:left="2620" w:right="919" w:hanging="288"/>
        <w:spacing w:after="0" w:line="323" w:lineRule="auto"/>
        <w:tabs>
          <w:tab w:leader="none" w:pos="262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28" w:lineRule="exact"/>
        <w:rPr>
          <w:rFonts w:ascii="Arial" w:cs="Arial" w:eastAsia="Arial" w:hAnsi="Arial"/>
          <w:sz w:val="11"/>
          <w:szCs w:val="11"/>
          <w:color w:val="auto"/>
        </w:rPr>
      </w:pPr>
    </w:p>
    <w:p>
      <w:pPr>
        <w:ind w:left="2620" w:right="999" w:hanging="288"/>
        <w:spacing w:after="0" w:line="276" w:lineRule="auto"/>
        <w:tabs>
          <w:tab w:leader="none" w:pos="262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Level 3-Valuations are based on inputs that are unobservable (supported by little or no market activity) and significant to the overall fair value measurement.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72" w:right="1440" w:bottom="1440" w:gutter="0" w:footer="0" w:header="0"/>
        </w:sectPr>
      </w:pPr>
    </w:p>
    <w:bookmarkStart w:id="344" w:name="page345"/>
    <w:bookmarkEnd w:id="3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4" w:lineRule="exact"/>
        <w:rPr>
          <w:sz w:val="20"/>
          <w:szCs w:val="20"/>
          <w:color w:val="auto"/>
        </w:rPr>
      </w:pPr>
    </w:p>
    <w:p>
      <w:pPr>
        <w:ind w:left="1980" w:right="919"/>
        <w:spacing w:after="0" w:line="285" w:lineRule="auto"/>
        <w:rPr>
          <w:sz w:val="20"/>
          <w:szCs w:val="20"/>
          <w:color w:val="auto"/>
        </w:rPr>
      </w:pPr>
      <w:r>
        <w:rPr>
          <w:rFonts w:ascii="Arial" w:cs="Arial" w:eastAsia="Arial" w:hAnsi="Arial"/>
          <w:sz w:val="11"/>
          <w:szCs w:val="11"/>
          <w:color w:val="auto"/>
        </w:rPr>
        <w:t>The Company’s financial instruments include shares of common stock of Arbutus Biopharma Corporation (“Arbutus”); shares of Arbutus’s Series A participating convertible preferred shares (“Arbutus Preferred Shares”); shares of common stock of Sio Gene Therapies Inc. (“Sio”); liability instruments issued, including options granted to Sumitomo (the “Sumitomo Options”) to purchase all, or 75% in one case, of RSL’s ownership interests in certain subsidiaries under the Sumitomo Transaction Agreement; deferred consideration liability; its investments in other entities; cash and cash equivalents consisting of money market funds; accounts payable; and long-term debt.</w:t>
      </w:r>
    </w:p>
    <w:p>
      <w:pPr>
        <w:spacing w:after="0" w:line="113"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The shares of Arbutus and Sio common stock and investments in common stock with a readily determinable fair value are classified as Level 1, and their fair value is determined based upon quoted market prices in an active market. The Arbutus Preferred Shares held by the Company are classified as Level 2 as the fair value of such preferred shares is determined based upon the quoted market price of Arbutus common stock into which such preferred shares are convertible. The liability instruments issued, including the Sumitomo Options, are classified as Level 3 within the fair value hierarchy as the assumptions and estimates used in the valuations are unobservable in the market. Cash, accounts payable, and deferred consideration liability are stated at their respective historical carrying amounts, which approximate fair value due to their short-term nature. The deferred consideration liability is based on a fixed monetary amount, and payment is based solely on the passage of time.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 Foreign Currency</w:t>
      </w:r>
    </w:p>
    <w:p>
      <w:pPr>
        <w:spacing w:after="0" w:line="82"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Adjustments resulting from the translation of the financial statements of the Company’s foreign functional currency subsidiaries into U.S. dollars are excluded from the determination of net loss and are accumulated in a separate component of shareholders’ equity. Foreign exchange transaction gains and losses are included in “Other expense, net” in the Company’s statements of operations.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 Revenue Recognition</w:t>
      </w:r>
    </w:p>
    <w:p>
      <w:pPr>
        <w:spacing w:after="0" w:line="82"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28"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Company applies significant judgment when evaluating whether contractual obligations represent distinct performance obligations, allocating transaction price to performance obligations within a contract, determining</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72" w:right="1440" w:bottom="1440" w:gutter="0" w:footer="0" w:header="0"/>
        </w:sectPr>
      </w:pPr>
    </w:p>
    <w:bookmarkStart w:id="345" w:name="page346"/>
    <w:bookmarkEnd w:id="3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spacing w:after="0" w:line="6" w:lineRule="exact"/>
        <w:rPr>
          <w:sz w:val="20"/>
          <w:szCs w:val="20"/>
          <w:color w:val="auto"/>
        </w:rPr>
      </w:pPr>
    </w:p>
    <w:p>
      <w:pPr>
        <w:ind w:left="2620" w:right="879" w:hanging="288"/>
        <w:spacing w:after="0" w:line="281" w:lineRule="auto"/>
        <w:tabs>
          <w:tab w:leader="none" w:pos="2620" w:val="left"/>
        </w:tabs>
        <w:numPr>
          <w:ilvl w:val="0"/>
          <w:numId w:val="184"/>
        </w:numPr>
        <w:rPr>
          <w:rFonts w:ascii="Arial" w:cs="Arial" w:eastAsia="Arial" w:hAnsi="Arial"/>
          <w:sz w:val="11"/>
          <w:szCs w:val="11"/>
          <w:color w:val="auto"/>
        </w:rPr>
      </w:pPr>
      <w:r>
        <w:rPr>
          <w:rFonts w:ascii="Arial" w:cs="Arial" w:eastAsia="Arial" w:hAnsi="Arial"/>
          <w:sz w:val="11"/>
          <w:szCs w:val="11"/>
          <w:i w:val="1"/>
          <w:iCs w:val="1"/>
          <w:color w:val="auto"/>
        </w:rPr>
        <w:t xml:space="preserve">Licenses of intellectual property: </w:t>
      </w:r>
      <w:r>
        <w:rPr>
          <w:rFonts w:ascii="Arial" w:cs="Arial" w:eastAsia="Arial" w:hAnsi="Arial"/>
          <w:sz w:val="11"/>
          <w:szCs w:val="11"/>
          <w:color w:val="auto"/>
        </w:rPr>
        <w:t>If the licenses to intellectual property are determined to be distinct from the other performance</w:t>
      </w:r>
      <w:r>
        <w:rPr>
          <w:rFonts w:ascii="Arial" w:cs="Arial" w:eastAsia="Arial" w:hAnsi="Arial"/>
          <w:sz w:val="11"/>
          <w:szCs w:val="11"/>
          <w:i w:val="1"/>
          <w:iCs w:val="1"/>
          <w:color w:val="auto"/>
        </w:rPr>
        <w:t xml:space="preserve"> </w:t>
      </w:r>
      <w:r>
        <w:rPr>
          <w:rFonts w:ascii="Arial" w:cs="Arial" w:eastAsia="Arial" w:hAnsi="Arial"/>
          <w:sz w:val="11"/>
          <w:szCs w:val="11"/>
          <w:color w:val="auto"/>
        </w:rPr>
        <w:t>obligations 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52" w:lineRule="exact"/>
        <w:rPr>
          <w:rFonts w:ascii="Arial" w:cs="Arial" w:eastAsia="Arial" w:hAnsi="Arial"/>
          <w:sz w:val="11"/>
          <w:szCs w:val="11"/>
          <w:color w:val="auto"/>
        </w:rPr>
      </w:pPr>
    </w:p>
    <w:p>
      <w:pPr>
        <w:ind w:left="2620" w:right="879" w:hanging="288"/>
        <w:spacing w:after="0" w:line="279" w:lineRule="auto"/>
        <w:tabs>
          <w:tab w:leader="none" w:pos="2620" w:val="left"/>
        </w:tabs>
        <w:numPr>
          <w:ilvl w:val="0"/>
          <w:numId w:val="184"/>
        </w:numPr>
        <w:rPr>
          <w:rFonts w:ascii="Arial" w:cs="Arial" w:eastAsia="Arial" w:hAnsi="Arial"/>
          <w:sz w:val="11"/>
          <w:szCs w:val="11"/>
          <w:color w:val="auto"/>
        </w:rPr>
      </w:pPr>
      <w:r>
        <w:rPr>
          <w:rFonts w:ascii="Arial" w:cs="Arial" w:eastAsia="Arial" w:hAnsi="Arial"/>
          <w:sz w:val="11"/>
          <w:szCs w:val="11"/>
          <w:i w:val="1"/>
          <w:iCs w:val="1"/>
          <w:color w:val="auto"/>
        </w:rPr>
        <w:t xml:space="preserve">Milestone payments: </w:t>
      </w:r>
      <w:r>
        <w:rPr>
          <w:rFonts w:ascii="Arial" w:cs="Arial" w:eastAsia="Arial" w:hAnsi="Arial"/>
          <w:sz w:val="11"/>
          <w:szCs w:val="11"/>
          <w:color w:val="auto"/>
        </w:rPr>
        <w:t>At the inception of each arrangement that includes research, development or regulatory milestone payments,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53" w:lineRule="exact"/>
        <w:rPr>
          <w:rFonts w:ascii="Arial" w:cs="Arial" w:eastAsia="Arial" w:hAnsi="Arial"/>
          <w:sz w:val="11"/>
          <w:szCs w:val="11"/>
          <w:color w:val="auto"/>
        </w:rPr>
      </w:pPr>
    </w:p>
    <w:p>
      <w:pPr>
        <w:jc w:val="both"/>
        <w:ind w:left="2620" w:right="1179" w:hanging="288"/>
        <w:spacing w:after="0" w:line="326" w:lineRule="auto"/>
        <w:tabs>
          <w:tab w:leader="none" w:pos="2620" w:val="left"/>
        </w:tabs>
        <w:numPr>
          <w:ilvl w:val="0"/>
          <w:numId w:val="184"/>
        </w:numPr>
        <w:rPr>
          <w:rFonts w:ascii="Arial" w:cs="Arial" w:eastAsia="Arial" w:hAnsi="Arial"/>
          <w:sz w:val="10"/>
          <w:szCs w:val="10"/>
          <w:color w:val="auto"/>
        </w:rPr>
      </w:pPr>
      <w:r>
        <w:rPr>
          <w:rFonts w:ascii="Arial" w:cs="Arial" w:eastAsia="Arial" w:hAnsi="Arial"/>
          <w:sz w:val="10"/>
          <w:szCs w:val="10"/>
          <w:i w:val="1"/>
          <w:iCs w:val="1"/>
          <w:color w:val="auto"/>
        </w:rPr>
        <w:t xml:space="preserve">Royalties and commercial milestone payments: </w:t>
      </w:r>
      <w:r>
        <w:rPr>
          <w:rFonts w:ascii="Arial" w:cs="Arial" w:eastAsia="Arial" w:hAnsi="Arial"/>
          <w:sz w:val="10"/>
          <w:szCs w:val="10"/>
          <w:color w:val="auto"/>
        </w:rPr>
        <w:t>For arrangements that include sales-based royalties, including commercial milestone</w:t>
      </w:r>
      <w:r>
        <w:rPr>
          <w:rFonts w:ascii="Arial" w:cs="Arial" w:eastAsia="Arial" w:hAnsi="Arial"/>
          <w:sz w:val="10"/>
          <w:szCs w:val="10"/>
          <w:i w:val="1"/>
          <w:iCs w:val="1"/>
          <w:color w:val="auto"/>
        </w:rPr>
        <w:t xml:space="preserve"> </w:t>
      </w:r>
      <w:r>
        <w:rPr>
          <w:rFonts w:ascii="Arial" w:cs="Arial" w:eastAsia="Arial" w:hAnsi="Arial"/>
          <w:sz w:val="10"/>
          <w:szCs w:val="10"/>
          <w:color w:val="auto"/>
        </w:rPr>
        <w:t>payments based 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Revenue is also generated by certain technology-focused Vants from subscription and service-based fees recognized for the use of certain technology developed by these Vants. Subscription revenue is recognized ratably over the contract period.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 Recently Adopted Accounting Pronouncements</w:t>
      </w:r>
    </w:p>
    <w:p>
      <w:pPr>
        <w:spacing w:after="0" w:line="82"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In June 2016, the FASB issued ASU No. 2016-13, “Financial Instruments-Credit Losses (Topic 326): Measurement of Credit Losses on Financial Instruments” (“ASU No. 2016-13”), which requires the measurement and recognition of expected credit losses for financial assets held at amortized cost. ASU No. 2016-13 replaces the existing incurred loss impairment model with an expected loss model that requires the use of forward-looking information to calculate credit loss estimates. It also eliminates the concept of other-than-temporary impairment and requires credit losses on available-for-sale debt securities to be recorded through an allowance for credit losses instead of as a reduction in the amortized cost basis of the securities. ASU No. 2016-13 is effective for fiscal years beginning after December 15, 2019 and interim periods within those fiscal years. The adoption of ASU No. 2016-13 on April 1, 2020 did not have a material impact on the Company’s consolidated financial statements.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 Recently Issued Accounting Pronouncements Not Yet Adopted</w:t>
      </w:r>
    </w:p>
    <w:p>
      <w:pPr>
        <w:spacing w:after="0" w:line="82"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In August 2020, the FASB issued ASU No. 2020-06, “Debt—Debt with Conversion and Other Options (Subtopic 470-20) and Derivatives and Hedging —Contracts in Entity’s Own Equity (Subtopic 815-40): Accounting for</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72" w:right="1440" w:bottom="1440" w:gutter="0" w:footer="0" w:header="0"/>
        </w:sectPr>
      </w:pPr>
    </w:p>
    <w:bookmarkStart w:id="346" w:name="page347"/>
    <w:bookmarkEnd w:id="3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Convertible Instruments and Contracts in an Entity’s Own Equity” (“ASU No. 2020-06”). ASU No. 2020-06 will simplify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GAAP. ASU No. 2020-06 also removes certain settlement conditions that are required for equity contracts to qualify for the derivatives scope exception, which will permit more equity contracts to qualify for it. Either a modified retrospective transition method or a fully retrospective transition method is permissible for the adoption of this standard. Update No. 2020-06 is effective for fiscal years beginning after December 15, 2021, including interim periods within those fiscal years. Early adoption is permitted no earlier than the fiscal year beginning after December 15, 2020. The adoption of ASU No. 2020-06 is not expected to have a material impact on the Company’s consolidated financial statements.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3—Investments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Investments Measured at Fair Value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Investment in Arbutus</w:t>
      </w:r>
    </w:p>
    <w:p>
      <w:pPr>
        <w:spacing w:after="0" w:line="78"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RSL owns 16,013,540 shares of common stock of Arbutus and 1,164,000 Arbutus Preferred Shares that are mandatorily convertible into shares of Arbutus common stock on October 18, 2021 subject to conversion earlier upon a sale, merger or other transaction considered a fundamental change of control of Arbutus. The Arbutus Preferred Shares are non-voting and are convertible into common shares of Arbutus based on the subscription price plus 8.75% per annum, compounded annually, divided by a conversion price of $7.13 per share (which represented a 15% premium to the closing price of $6.20 per share on September 29, 2017). RSL’s investments in Arbutus have been measured using the fair value option. Due to the Company’s significant influence over operating and financial policies, Arbutus is considered a related party of the Company.</w:t>
      </w:r>
    </w:p>
    <w:p>
      <w:pPr>
        <w:spacing w:after="0" w:line="113"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After conversion of the Arbutus Preferred Shares into common shares, based on the number of Arbutus’s common shares outstanding on October 2, 2017, the Company would hold 49.90% of Arbutus’s common shares. In addition, the Company agreed to a four-year standstill to not acquire greater than 49.99% of common shares or securities convertible into common shares of Arbutus.</w:t>
      </w:r>
    </w:p>
    <w:p>
      <w:pPr>
        <w:spacing w:after="0" w:line="122"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At March 31, 2021 and 2020, the aggregate fair value of the Company’s investment in Arbutus was $129.4 million and $39.2 million, respectively, with the Company recognizing an unrealized gain on its investments in Arbutus of $90.2 million and an unrealized loss of $99.9 million in the accompanying consolidated statements of operations for the years ended March 31, 2021 and 2020, respectively. The fair value of the common stock and preferred shares held by the Company was determined using the closing price of Arbutus’s common stock on March 31, 2021 and 2020 of $3.33 and $1.01, respectively.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Investment in Sio</w:t>
      </w:r>
    </w:p>
    <w:p>
      <w:pPr>
        <w:spacing w:after="0" w:line="78"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Following the completion of Sio’s underwritten public offering in February 2020, RSL’s ownership interest fell below 50.0%. As such, the Company no longer has a controlling financial interest in Sio. Accordingly, the Company deconsolidated Sio in February 2020. Due to the Company’s significant influence over operating and financial policies, Sio remains a related party of the Company following deconsolidation. As the Company still has the ability to exercise significant influence over the operating and financial policies of Sio, the Company has determined that its retained interest represents an equity method investment after the date of deconsolidation. Upon deconsolidation, the retained interest was recorded at fair market value based on the closing price of Sio’s common stock. The Company recognized a gain on deconsolidation of $107.3 million in the accompanying consolidated statements of operations for the year ended March 31, 2020. The fair value option was elected to continuously remeasure the investment to fair value each reporting period after the initial measurement.</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At March 31, 2021 and 2020, the fair value of the Company’s investment in Sio was $48.5 million and $45.3 million, respectively, with the Company recognizing an unrealized gain on its investment in Sio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72" w:right="1440" w:bottom="1440" w:gutter="0" w:footer="0" w:header="0"/>
        </w:sectPr>
      </w:pPr>
    </w:p>
    <w:bookmarkStart w:id="347" w:name="page348"/>
    <w:bookmarkEnd w:id="3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$3.2 million and an unrealized loss of $31.6 million in the accompanying consolidated statements of operations for the years ended March 31, 2021 and 2020, respectively. The fair value of common shares held by the Company was determined using the closing price of Sio’s common stock on March 31, 2021 and 2020 of $2.61 and $2.44, respectively.</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Other Investment</w:t>
      </w:r>
    </w:p>
    <w:p>
      <w:pPr>
        <w:spacing w:after="0" w:line="78" w:lineRule="exact"/>
        <w:rPr>
          <w:sz w:val="20"/>
          <w:szCs w:val="20"/>
          <w:color w:val="auto"/>
        </w:rPr>
      </w:pPr>
    </w:p>
    <w:p>
      <w:pPr>
        <w:jc w:val="both"/>
        <w:ind w:left="1980" w:right="859"/>
        <w:spacing w:after="0" w:line="276" w:lineRule="auto"/>
        <w:rPr>
          <w:sz w:val="20"/>
          <w:szCs w:val="20"/>
          <w:color w:val="auto"/>
        </w:rPr>
      </w:pPr>
      <w:r>
        <w:rPr>
          <w:rFonts w:ascii="Arial" w:cs="Arial" w:eastAsia="Arial" w:hAnsi="Arial"/>
          <w:sz w:val="12"/>
          <w:szCs w:val="12"/>
          <w:color w:val="auto"/>
        </w:rPr>
        <w:t>The Company holds an additional equity investment that is measured using the fair value option. The fair value of this investment was $11.1 million and $8.9 million as of March 31, 2021 and 2020, respectively.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Investment Accounted for Using Measurement Alternative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Investment in Datavant</w:t>
      </w:r>
    </w:p>
    <w:p>
      <w:pPr>
        <w:spacing w:after="0" w:line="78" w:lineRule="exact"/>
        <w:rPr>
          <w:sz w:val="20"/>
          <w:szCs w:val="20"/>
          <w:color w:val="auto"/>
        </w:rPr>
      </w:pPr>
    </w:p>
    <w:p>
      <w:pPr>
        <w:ind w:left="1980" w:right="879"/>
        <w:spacing w:after="0" w:line="304" w:lineRule="auto"/>
        <w:rPr>
          <w:sz w:val="20"/>
          <w:szCs w:val="20"/>
          <w:color w:val="auto"/>
        </w:rPr>
      </w:pPr>
      <w:r>
        <w:rPr>
          <w:rFonts w:ascii="Arial" w:cs="Arial" w:eastAsia="Arial" w:hAnsi="Arial"/>
          <w:sz w:val="10"/>
          <w:szCs w:val="10"/>
          <w:color w:val="auto"/>
        </w:rPr>
        <w:t>In April 2020, Datavant Holdings, Inc. (“Datavant”) completed an initial round of a Series B equity raise by which 13,411,311 Series B preferred shares were issued in April 2020 for gross proceeds of $27.2 million, including 1,065,234 Series B preferred shares issued and sold to RSL for a total purchase price of $2.5 million and 1,800,253 Series B shares issued relating to the conversion of certain liability instruments. As a result of this transaction, along with a restructuring of Datavant’s equity classes, RSL no longer controls Datavant. As such, the Company deconsolidated Datavant as of April 2020. Due to the Company’s significant influence over operating and financial policies, Datavant remains a related party of the Company following</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deconsolidation. Upon deconsolidation, the Company recorded its investment in Datavant based on the fair value of Datavant preferred shares held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$99.0 million. The Company accounts for its investment in Datavant using the measurement alternative to fair value. The investment will be remeasured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upon future observable price changes in orderly transactions or upon impairment, if any. The Company recognized a gain on deconsolidation of</w:t>
      </w:r>
    </w:p>
    <w:p>
      <w:pPr>
        <w:spacing w:after="0" w:line="18" w:lineRule="exact"/>
        <w:rPr>
          <w:sz w:val="20"/>
          <w:szCs w:val="20"/>
          <w:color w:val="auto"/>
        </w:rPr>
      </w:pPr>
    </w:p>
    <w:p>
      <w:pPr>
        <w:ind w:left="1980" w:right="959"/>
        <w:spacing w:after="0" w:line="255" w:lineRule="auto"/>
        <w:rPr>
          <w:sz w:val="20"/>
          <w:szCs w:val="20"/>
          <w:color w:val="auto"/>
        </w:rPr>
      </w:pPr>
      <w:r>
        <w:rPr>
          <w:rFonts w:ascii="Arial" w:cs="Arial" w:eastAsia="Arial" w:hAnsi="Arial"/>
          <w:sz w:val="12"/>
          <w:szCs w:val="12"/>
          <w:color w:val="auto"/>
        </w:rPr>
        <w:t>$86.5 million in the accompanying consolidated statements of operations for the year ended March 31, 2021. In July 2020, Datavant issued and sold 639,140 Series B preferred shares to RSL at a price consistent with that of the initial round of Datavant’s Series B equity raise. At March 31, 2021, the carrying value of the Company’s investment in Datavant was $100.6 million.</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4—Asset Acquisitions and License Agreements</w:t>
      </w:r>
    </w:p>
    <w:p>
      <w:pPr>
        <w:spacing w:after="0" w:line="8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During the years ended March 31, 2021 and 2020, the Company, directly or indirectly through Vants, completed the following key asset acquisitions and license agreements. The Company evaluated the below agreements, except the collaboration and license agreement entered into between Dermavant and Japan Tobacco Inc. that is evaluated separately below, and determined that the acquired assets did not meet the definition of a business as substantially all the fair value of the assets acquired were concentrated in a single asset or group of similar assets and/or the acquired assets were not capable of producing outputs due to the lack of an assembled workforce and early stage of development and thus, each transaction was accounted for as an asset acquisition.</w:t>
      </w:r>
    </w:p>
    <w:p>
      <w:pPr>
        <w:spacing w:after="0" w:line="128"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The Company then evaluated whether each in-process research and development asset had an alternative future use and concluded it did not. As a result, the Company recorded the consideration attributable to in-process research and development under the below agreements as research and development expense in the accompanying consolidated statements of operations for the years ended March 31, 2021 and 2020.</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Dermavant</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In August 2018, Dermavant acquired the worldwide rights (other than with respect to certain rights in China) to tapinarof, an investigational therapeutic aryl hydrocarbon receptor modulating agent for the treatment of psoriasis and atopic dermatitis, from GlaxoSmithKline Intellectual Property Development Ltd. and Glaxo Group Limited (collectively “GSK”) pursuant to an asset purchase agreement (the “GSK Agreement”). GSK previously acquired rights to a predecessor formulation of tapinarof from Welichem Biotech Inc. (“Welichem”) pursuant to an asset</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72" w:right="1440" w:bottom="1440" w:gutter="0" w:footer="0" w:header="0"/>
        </w:sectPr>
      </w:pPr>
    </w:p>
    <w:bookmarkStart w:id="348" w:name="page349"/>
    <w:bookmarkEnd w:id="3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purchase agreement between GSK and Welichem entered into in May 2012 (the “Welichem Agreement”). Under the GSK Agreement, Dermavant made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 upfront payment of £150.0 million (approximately $191 million) and agreed to a contingent payment of £100.0 million (approximately $133 million)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upon the first approval of an NDA by the FDA for a product that contains tapinarof. Dermavant assumed responsibility for all obligations under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Welichem Agreement, including payment of up to C$180.0 million (approximately $137 million) in potential development and commercial milestones.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purchase was funded in part by a $117.5 million borrowing from NovaQuest Co-Investment Fund VIII, L.P. (“NovaQuest”), an affiliate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NovaQuest Capital Management, LLC, as described in Note 8, “Long-Term Debt.” In connection with the GSK Agreement, Dermavant and GSK have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entered into a clinical manufacturing and supply agreement for tapinarof pursuant to which Dermavant will obtain supply of tapinarof for clinical trials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a cost-plus basis. In May 2019, Dermavant achieved a development and regulatory milestone under the GSK Agreement, which resulted in a</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C$30.0 million (approximately $23 million) milestone payment that Dermavant subsequently paid to Welichem in August 2019. The milestone payment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was recorded as research and development expense in the accompanying consolidated statements of operations for the year ended March 31, 2020.</w:t>
      </w:r>
    </w:p>
    <w:p>
      <w:pPr>
        <w:spacing w:after="0" w:line="153"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In January 2020, Dermavant entered into a collaboration and license agreement with Japan Tobacco Inc. (“JT”) for exclusive rights to develop, register, and market tapinarof in Japan for the treatment of dermatological diseases and conditions, including psoriasis and atopic dermatitis. In conjunction with this agreement, JT executed an exclusive license agreement with its subsidiary, Torii Pharmaceutical Co., Ltd., for co-development and commercialization of tapinarof in Japan. Under the terms of the license agreement, Dermavant received a nonrefundable, upfront payment of</w:t>
      </w:r>
    </w:p>
    <w:p>
      <w:pPr>
        <w:spacing w:after="0" w:line="1"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$60.0 million in January 2020 and may receive up to $53.0 million upon the achievement of certain development milestones for tapinarof for the treatment of psoriasis and atopic dermatitis. In addition, Dermavant will have the right to receive royalties based on product sales of tapinarof in the indications.</w:t>
      </w:r>
    </w:p>
    <w:p>
      <w:pPr>
        <w:spacing w:after="0" w:line="127"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Company evaluated the collaboration and license agreement and concluded that JT is a customer. The Company’s performance obligations under the agreement are the following: (i) an exclusive license to JT of the right to develop, register and market tapinarof in Japan and (ii) the associated transfer to JT of technology and know-how related to the license. The Company determined that the monetary value of participation in the Joint Steering Committee under the agreement was immaterial in the context of the contract and therefore was disregarded when identifying the performance obligations. The Company determined that the exclusive license is not capable of being distinct from the associated technology transfer because the customer cannot benefit from or utilize the license without the technology and know-how transfer and as such does not have standalone value as JT cannot benefit from the exclusive license without the associated technology and know-how transfer. Accordingly, the Company concluded that these performance obligations should be combined into a single performance obligation.</w:t>
      </w:r>
    </w:p>
    <w:p>
      <w:pPr>
        <w:spacing w:after="0" w:line="115"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Based on management’s evaluation, the non-refundable, up-front payment of $60.0 million constituted the amount of consideration to be included in the transaction price. The remaining $53.0 million of consideration related to potential development and regulatory approval milestones constitutes variable consideration and has not been recognized because of the inherent uncertainty of the occurrence of the future events and because it is highly susceptible to factors outside of the Company’s control. Any consideration related to potential royalty payments will be recognized when the related sales occur, since these amounts have been determined to relate predominantly to the license granted to JT and therefore are recognized at the later of when the performance obligations are satisfied or the related sales occur. The Company will re-evaluate the transaction price in each reporting period and as uncertain events are resolved or other changes in circumstances occur. Upon transfer of the technology and know-how related to the license, the Company recognized the $60.0 million non-refundable upfront payment as license revenue in the accompanying consolidated statements of operations for the year ended March 31, 2020.</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72" w:right="1440" w:bottom="1440" w:gutter="0" w:footer="0" w:header="0"/>
        </w:sectPr>
      </w:pPr>
    </w:p>
    <w:bookmarkStart w:id="349" w:name="page350"/>
    <w:bookmarkEnd w:id="3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Genevant</w:t>
      </w:r>
    </w:p>
    <w:p>
      <w:pPr>
        <w:spacing w:after="0" w:line="78"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July 2020, RSL increased its investment in Genevant Sciences Ltd. (“Genevant”) as part of a recapitalization transaction (the “Recapitalization”). Genevant, an entity focused on the discovery, development, and commercialization of a broad range of RNA-based therapeutics enabled by Arbutus’ proprietary lipid nanoparticle and ligand conjugate delivery technologies, was created in April 2018 as part of an agreement between RSL and Arbutus. As part of the initial transaction entered into in April 2018, RSL contributed $38.7 million in cash, including transaction costs, for an equity ownership interest in Genevant. Prior to the Recapitalization, RSL accounted for its investment in Genevant under the equity method of accounting as it had determined that it was not the primary beneficiary of Genevant since it did not have the power to direct its most significant activities. Additionally, RSL made additional investments in the form of promissory notes issued by Genevant amounting to $20.1 million aggregate principal amount outstanding (the “Genevant Outstanding Notes”) prior to the Recapitalization. RSL applied its share of losses relating to its equity method investment in Genevant against the Company’s carrying value of its investment in Genevant’s common shares and against the carrying value of the Genevant Outstanding Notes. The carrying value of RSL’s investment in Genevant was reduced to zero prior to the Recapitalization.</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Pursuant to the Recapitalization, the following transactions were completed:</w:t>
      </w:r>
    </w:p>
    <w:p>
      <w:pPr>
        <w:spacing w:after="0" w:line="87" w:lineRule="exact"/>
        <w:rPr>
          <w:sz w:val="20"/>
          <w:szCs w:val="20"/>
          <w:color w:val="auto"/>
        </w:rPr>
      </w:pPr>
    </w:p>
    <w:p>
      <w:pPr>
        <w:ind w:left="2620" w:hanging="288"/>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Genevant issued 74,272,043 common shares to RSL for an aggregated purchase price of $20.5 million;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5"/>
        </w:numPr>
        <w:rPr>
          <w:rFonts w:ascii="Arial" w:cs="Arial" w:eastAsia="Arial" w:hAnsi="Arial"/>
          <w:sz w:val="11"/>
          <w:szCs w:val="11"/>
          <w:color w:val="auto"/>
        </w:rPr>
      </w:pPr>
      <w:r>
        <w:rPr>
          <w:rFonts w:ascii="Arial" w:cs="Arial" w:eastAsia="Arial" w:hAnsi="Arial"/>
          <w:sz w:val="11"/>
          <w:szCs w:val="11"/>
          <w:color w:val="auto"/>
        </w:rPr>
        <w:t>$15.1 million aggregate principal amount of the Genevant Outstanding Notes were converted into 54,526,549 common shares; and</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Genevant issued 9,057,566 common shares to Arbutus for an aggregated purchase price of $2.5 million.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Following the Recapitalization, RSL held an 82.9% controlling interest in Genevant.</w:t>
      </w:r>
    </w:p>
    <w:p>
      <w:pPr>
        <w:spacing w:after="0" w:line="150"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Concurrent with the Recapitalization, the composition of Genevant’s Board of Directors was restructured to include two directors designated by RSL and one director who is a senior officer of Genevant.</w:t>
      </w:r>
    </w:p>
    <w:p>
      <w:pPr>
        <w:spacing w:after="0" w:line="115"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As a result of the Recapitalization and changes to the bye-laws, RSL determined that it controls the most significant activities of Genevant and is the primary beneficiary of Genevant following the Recapitalization. As such, RSL began consolidating Genevant into the Company’s consolidated financial statements from the date of the Recapitalization. The Company evaluated the acquired set of assets and activities and determined that the acquired set did not meet the definition of a business and thus the transaction was not considered a business combination.</w:t>
      </w:r>
    </w:p>
    <w:p>
      <w:pPr>
        <w:spacing w:after="0" w:line="111"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transactions completed as part of the Recapitalization represent an acquisition achieved in stages, which required the remeasurement of RSL’s previously held interest in Genevant. As such, RSL’s investments in Genevant were remeasured to fair value of $28.8 million, also resulting in a gain of $28.8 million in the accompanying consolidated statements of operations for the year ended March 31, 2021. Along with the fair value of noncontrolling interests in Genevant of $9.2 million and cash paid of $20.5 million for common shares of Genevant as part of the Recapitalization, total consideration paid was $58.5 million. Of this amount, $41.4 million was attributed to in-process research and development, which was determined by the Company to have not reached technological feasibility and therefore have no alternative future use. Accordingly, the Company recorded $41.4 million as research and development expense in the accompanying consolidated statements of operations for the year ended March 31,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Proteovant</w:t>
      </w:r>
    </w:p>
    <w:p>
      <w:pPr>
        <w:spacing w:after="0" w:line="7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In November 2020, Proteovant Sciences, Inc. (formerly known as Pharmavant 5, Inc.) (“ProteoVant”) entered into a stock purchase agreement to acquire Oncopia Therapeutics, Inc. (“Oncopia”), a preclinical biotechnology</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72" w:right="1440" w:bottom="1440" w:gutter="0" w:footer="0" w:header="0"/>
        </w:sectPr>
      </w:pPr>
    </w:p>
    <w:bookmarkStart w:id="350" w:name="page351"/>
    <w:bookmarkEnd w:id="3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developing small molecule protein degraders primarily against certain oncology targets. Upfront proceeds to Oncopia’s shareholders were</w:t>
      </w:r>
    </w:p>
    <w:p>
      <w:pPr>
        <w:spacing w:after="0" w:line="26" w:lineRule="exact"/>
        <w:rPr>
          <w:sz w:val="20"/>
          <w:szCs w:val="20"/>
          <w:color w:val="auto"/>
        </w:rPr>
      </w:pPr>
    </w:p>
    <w:p>
      <w:pPr>
        <w:ind w:left="1980" w:right="879"/>
        <w:spacing w:after="0" w:line="284" w:lineRule="auto"/>
        <w:rPr>
          <w:sz w:val="20"/>
          <w:szCs w:val="20"/>
          <w:color w:val="auto"/>
        </w:rPr>
      </w:pPr>
      <w:r>
        <w:rPr>
          <w:rFonts w:ascii="Arial" w:cs="Arial" w:eastAsia="Arial" w:hAnsi="Arial"/>
          <w:sz w:val="11"/>
          <w:szCs w:val="11"/>
          <w:color w:val="auto"/>
        </w:rPr>
        <w:t>$105.0 million, prior to certain adjustments in accordance with the terms of the agreement. Proteovant is also obligated to make future development and commercial milestone payments of up to $100.0 million for the first product targeting each of the two specified initial targets, and up to $51.0 million for the first product targeting each of certain specified additional molecular targets. Additionally, the Company’s investments in promissory notes issued by Oncopia for an aggregate principal amount of $11.5 million were settled through either conversion to equity or cancellation.</w:t>
      </w:r>
    </w:p>
    <w:p>
      <w:pPr>
        <w:spacing w:after="0" w:line="112"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Oncopia’s intellectual property was developed by the University of Michigan laboratory run by Oncopia’s co-founder (the “Co-Founder”). In connection with Proteovant’s acquisition, Oncopia amended and restated its existing license agreements with the University of Michigan. Under the new license agreement, Oncopia will be obligated to make future development and commercial milestone payments of up to $8.6 million for the first product for each molecular target covered by intellectual property included in the agreement, in addition to paying tiered royalties on net sales ranging from low- to mid-single digits, subject to certain adjustments.</w:t>
      </w:r>
    </w:p>
    <w:p>
      <w:pPr>
        <w:spacing w:after="0" w:line="128" w:lineRule="exact"/>
        <w:rPr>
          <w:sz w:val="20"/>
          <w:szCs w:val="20"/>
          <w:color w:val="auto"/>
        </w:rPr>
      </w:pPr>
    </w:p>
    <w:p>
      <w:pPr>
        <w:ind w:left="1980" w:right="1039"/>
        <w:spacing w:after="0" w:line="259" w:lineRule="auto"/>
        <w:rPr>
          <w:sz w:val="20"/>
          <w:szCs w:val="20"/>
          <w:color w:val="auto"/>
        </w:rPr>
      </w:pPr>
      <w:r>
        <w:rPr>
          <w:rFonts w:ascii="Arial" w:cs="Arial" w:eastAsia="Arial" w:hAnsi="Arial"/>
          <w:sz w:val="12"/>
          <w:szCs w:val="12"/>
          <w:color w:val="auto"/>
        </w:rPr>
        <w:t>The Co-Founder’s lab at the University of Michigan had been providing on-going discovery and optimization services to Oncopia under a sponsored research agreement (the “SRA”). Immediately after closing the acquisition, Oncopia extended the SRA through at least December 31, 2023, and expanded the potential molecular targets to be pursued under the SRA. As revised, Oncopia is obligated to pay the University of Michigan approximately $15.5 million under the SRA.</w:t>
      </w:r>
    </w:p>
    <w:p>
      <w:pPr>
        <w:spacing w:after="0" w:line="124"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Lastly, in connection with the acquisition of Oncopia, the Co-Founder entered into an agreement with the Company to serve as a consultant. In exchange for these services, the Company has agreed to grant the Co-Founder RSL restricted stock units for which the majority will vest upon achievement of development milestones for products directed to targets for which no milestones are payable to Oncopia shareholders and the remaining portion will be subject to time-based service requirements. All of these restricted stock units are subject to a liquidity requirement to vest. The Company will also make a cash payment to the Co-Founder upon achievement of development milestones for each such product.</w:t>
      </w:r>
    </w:p>
    <w:p>
      <w:pPr>
        <w:spacing w:after="0" w:line="113"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During the year ended March 31, 2021, the Company recorded $116.5 million, relating to the net upfront cash payment of $101.2 million, settlement of promissory notes receivable, including accrued interest, of $11.9 million, and fair value of future contingent consideration payments of $3.4 million, as research and development expense in the accompanying consolidated statements of operations.</w:t>
      </w:r>
    </w:p>
    <w:p>
      <w:pPr>
        <w:spacing w:after="0" w:line="122" w:lineRule="exact"/>
        <w:rPr>
          <w:sz w:val="20"/>
          <w:szCs w:val="20"/>
          <w:color w:val="auto"/>
        </w:rPr>
      </w:pPr>
    </w:p>
    <w:p>
      <w:pPr>
        <w:ind w:left="1980" w:right="939"/>
        <w:spacing w:after="0" w:line="278" w:lineRule="auto"/>
        <w:rPr>
          <w:sz w:val="20"/>
          <w:szCs w:val="20"/>
          <w:color w:val="auto"/>
        </w:rPr>
      </w:pPr>
      <w:r>
        <w:rPr>
          <w:rFonts w:ascii="Arial" w:cs="Arial" w:eastAsia="Arial" w:hAnsi="Arial"/>
          <w:sz w:val="11"/>
          <w:szCs w:val="11"/>
          <w:color w:val="auto"/>
        </w:rPr>
        <w:t>In December 2020, RSL, Proteovant and SK, Inc. (formerly known as SK Holdings Co., Ltd.) (“SK”) entered into a subscription agreement (the “Subscription Agreement”) pursuant to which SK agreed to make a $200.0 million equity investment in Proteovant, representing an ownership interest of 40.0% on the closing date. In January 2021, in accordance with the terms of the Subscription Agreement, SK made the first payment of</w:t>
      </w:r>
    </w:p>
    <w:p>
      <w:pPr>
        <w:spacing w:after="0" w:line="1" w:lineRule="exact"/>
        <w:rPr>
          <w:sz w:val="20"/>
          <w:szCs w:val="20"/>
          <w:color w:val="auto"/>
        </w:rPr>
      </w:pPr>
    </w:p>
    <w:p>
      <w:pPr>
        <w:ind w:left="1980" w:right="999"/>
        <w:spacing w:after="0" w:line="289" w:lineRule="auto"/>
        <w:rPr>
          <w:sz w:val="20"/>
          <w:szCs w:val="20"/>
          <w:color w:val="auto"/>
        </w:rPr>
      </w:pPr>
      <w:r>
        <w:rPr>
          <w:rFonts w:ascii="Arial" w:cs="Arial" w:eastAsia="Arial" w:hAnsi="Arial"/>
          <w:sz w:val="11"/>
          <w:szCs w:val="11"/>
          <w:color w:val="auto"/>
        </w:rPr>
        <w:t>$100.0 million to Proteovant. A second $100.0 million payment is expected to be made by SK to Proteovant on or about July 12, 2021, the date six months from the closing date. The second $100.0 million payment is classified as a subscription receivable in the accompanying consolidated balance sheets and consolidated statements of shareholders’ equity and redeemable noncontrolling interest as of March 31, 2021.</w:t>
      </w:r>
    </w:p>
    <w:p>
      <w:pPr>
        <w:spacing w:after="0" w:line="1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Affivant</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In November 2020, RSL and its indirect subsidiary Affivant Sciences GmbH (“Affivant”) entered into a licensing and strategic collaboration agreement with Affimed N.V. (“Affimed”) to develop and commercialize novel innate cell engagers for multiple cancer targets in exchange for consideration that includes $40.0 million in upfront cash and pre-paid R&amp;D funding and $20.0 million of newly issued shares in RSL. Affimed could receive further short-term proceeds in the form of option fees contingent on the commencement of additional programs contemplated under the agreement. Affimed is eligible to receive up to an additional approximately $2.0 billion in milestones over time upon achievement of specified development, regulatory and commercial milestones, as well as tiered royalties on net sales.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72" w:right="1440" w:bottom="1440" w:gutter="0" w:footer="0" w:header="0"/>
        </w:sectPr>
      </w:pPr>
    </w:p>
    <w:bookmarkStart w:id="351" w:name="page352"/>
    <w:bookmarkEnd w:id="3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Acquisition of Silicon Therapeutics</w:t>
      </w:r>
    </w:p>
    <w:p>
      <w:pPr>
        <w:spacing w:after="0" w:line="78" w:lineRule="exact"/>
        <w:rPr>
          <w:sz w:val="20"/>
          <w:szCs w:val="20"/>
          <w:color w:val="auto"/>
        </w:rPr>
      </w:pPr>
    </w:p>
    <w:p>
      <w:pPr>
        <w:ind w:left="1980" w:right="879"/>
        <w:spacing w:after="0" w:line="303" w:lineRule="auto"/>
        <w:rPr>
          <w:sz w:val="20"/>
          <w:szCs w:val="20"/>
          <w:color w:val="auto"/>
        </w:rPr>
      </w:pPr>
      <w:r>
        <w:rPr>
          <w:rFonts w:ascii="Arial" w:cs="Arial" w:eastAsia="Arial" w:hAnsi="Arial"/>
          <w:sz w:val="10"/>
          <w:szCs w:val="10"/>
          <w:color w:val="auto"/>
        </w:rPr>
        <w:t>In March 2021, the Company completed the acquisition of the business of Silicon Therapeutics, LLC (“SiTX”), a physics-driven computational drug discovery company, for total consideration of approximately $450.0 million, with additional cash payments payable subject to the satisfaction of certain regulatory and commercial milestones. This acquisition did not include one of SiTX’s subsidiaries, Silicon SWAT, Inc. Approximately $350.0 million of the consideration was payable primarily in the Company’s common stock at or near closing of the acquisition (the “First Tranche”). At closing of the acquisition, the Company issued 7,316,583 common shares and paid approximately $14.0 million in cash, net of cash received, to SiTX after giving effect to certain transaction adjustments and holdbacks. The remainder of the First Tranche is expected to be paid in a combination of common shares and cash as certain holdbacks are released. Approximately $100.0 million (the “Second Tranche Consideration”) is payable to SiTX on the earlier of</w:t>
      </w:r>
    </w:p>
    <w:p>
      <w:pPr>
        <w:spacing w:after="0" w:line="1" w:lineRule="exact"/>
        <w:rPr>
          <w:sz w:val="20"/>
          <w:szCs w:val="20"/>
          <w:color w:val="auto"/>
        </w:rPr>
      </w:pPr>
    </w:p>
    <w:p>
      <w:pPr>
        <w:ind w:left="1980" w:right="1139" w:hanging="8"/>
        <w:spacing w:after="0" w:line="260" w:lineRule="auto"/>
        <w:tabs>
          <w:tab w:leader="none" w:pos="215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approximately 30 to 60 days following the public listing of the Company’s common shares, in either cash or common shares (at the Company’s election), and (y) 12 months following the closing of the acquisition, in cash.</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transaction was accounted for as an asset acquisition as substantially all of the fair value of the assets acquired were concentrated in a single asset,</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IPR&amp;D related to the computational drug discovery platform that designs and develops small molecule therapeutics. For accounting purposes, the fair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value of consideration transferred was $402.4 million, consisting of $281.7 million relating to the fair value of common shares issued upfront and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expected to be issued shortly thereafter; $105.1 million relating to the fair value of liabilities due to the sellers, including the Second Tranche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Consideration, future contingent consideration payments, and closing consideration to be paid in cash; and cash of $15.6 million paid at closing.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amount, $399.6 million was attributed to IPR&amp;D, which was determined to have no alternative future use. Accordingly, the Company recorded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$399.6 million as research and development expense in the accompanying consolidated statement of operations for the year ended March 31, 2021.</w:t>
      </w:r>
    </w:p>
    <w:p>
      <w:pPr>
        <w:spacing w:after="0" w:line="153"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In connection with the transaction, the vesting of certain outstanding SiTX share-based compensation awards held by employees of SiTX was discretionarily accelerated at closing. As a result, the Company recorded share-based compensation expense of $23.5 million in the accompanying consolidated statements of operations for the year ended March 31, 2021.</w:t>
      </w:r>
    </w:p>
    <w:p>
      <w:pPr>
        <w:spacing w:after="0" w:line="122"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 addition, certain share-based compensation awards of SiTX were exchanged with restricted common stock of the Company, subject to certain service-based vesting requirements, with a fair value of $22.6 million. Of this amount, $15.6 million was attributed to precombination service and therefore included in the total fair value of consideration transferred. Refer to Note 11, “Share-Based Compensation,” for additional detail regarding this restricted common stock.</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5—Sumitomo Transaction Agreement</w:t>
      </w:r>
    </w:p>
    <w:p>
      <w:pPr>
        <w:spacing w:after="0" w:line="8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On December 27, 2019 (the “Sumitomo Closing Date”), RSL and Sumitomo completed the transactions contemplated by the Sumitomo Transaction Agreement. Pursuant to the Sumitomo Transaction Agreement, RSL transferred its entire ownership interest in Myovant, Urovant, Enzyvant, Altavant, and Spirovant to a newly formed, wholly-owned entity (“Sumitovant”).</w:t>
      </w:r>
    </w:p>
    <w:p>
      <w:pPr>
        <w:spacing w:after="0" w:line="122" w:lineRule="exact"/>
        <w:rPr>
          <w:sz w:val="20"/>
          <w:szCs w:val="20"/>
          <w:color w:val="auto"/>
        </w:rPr>
      </w:pPr>
    </w:p>
    <w:p>
      <w:pPr>
        <w:ind w:left="1980" w:right="839"/>
        <w:spacing w:after="0" w:line="253" w:lineRule="auto"/>
        <w:rPr>
          <w:sz w:val="20"/>
          <w:szCs w:val="20"/>
          <w:color w:val="auto"/>
        </w:rPr>
      </w:pPr>
      <w:r>
        <w:rPr>
          <w:rFonts w:ascii="Arial" w:cs="Arial" w:eastAsia="Arial" w:hAnsi="Arial"/>
          <w:sz w:val="12"/>
          <w:szCs w:val="12"/>
          <w:color w:val="auto"/>
        </w:rPr>
        <w:t>RSL’s ownership interest in Sumitovant was then transferred to Sumitomo, such that following the Sumitomo Closing Date, Sumitovant and its subsidiaries, including the Sumitovant Vants, were each directly or indirectly owned by Sumitomo. Additionally, in connection with the Sumitomo Transaction Agreement, RSL (i) granted Sumitomo options to purchase all, or in the case of Dermavant, 75%, of RSL’s ownership interests in six other subsidiaries (Dermavant, Genevant, Lysovant Sciences Ltd. (“Lysovant”), Metavant Sciences Ltd. (“Metavant”), Roivant Asia Cell Therapy Holdings Ltd. (“Cytovant Parent”), and Sinovant Sciences HK Limited (“Sinovant”)), (ii) (a) transferred the proprietary technology platform DrugOme to Sumitomo (for which RSL retains a perpetual royalty free license for internal use) and (b) licensed the Digital Innovation technology platform to Sumitomo (for which both parties retain ongoing access) and (iii) transferred 26,952,143 common shares of RSL to Sumitomo. On the Sumitomo Closing Date, the Company received approximately $2.9 billion in cash, resulting in a gain of $2.0 billion after taking into account all of the components of the transaction.</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72" w:right="1440" w:bottom="1440" w:gutter="0" w:footer="0" w:header="0"/>
        </w:sectPr>
      </w:pPr>
    </w:p>
    <w:bookmarkStart w:id="352" w:name="page353"/>
    <w:bookmarkEnd w:id="3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Additionally, on the Sumitomo Closing Date, $75.0 million of the consideration was deposited into a segregated escrow account for the purpose of fulfilling indemnification obligations of RSL that may become due to Sumitomo. Upon the expiration of the escrow period, being 18 months from the Sumitomo Closing Date, any remaining escrow funds will be disbursed to RSL. As of March 31, 2021, the Company does not believe that a reasonably possible loss of the funds in the escrow account exists. As such, the full escrow amount of $75.0 million was recorded by the Company as restricted cash on the accompanying consolidated balance sheets as of March 31, 2021. In connection with the Sumitomo Transaction, RSL’s board of directors approved a repurchase of RSL’s equity securities for up to $1.0 billion of the proceeds received from Sumitomo. Refer to Note 10, “Shareholders’ Equity and Redeemable Noncontrolling Interest” for further detail.</w:t>
      </w:r>
    </w:p>
    <w:p>
      <w:pPr>
        <w:spacing w:after="0" w:line="115" w:lineRule="exact"/>
        <w:rPr>
          <w:sz w:val="20"/>
          <w:szCs w:val="20"/>
          <w:color w:val="auto"/>
        </w:rPr>
      </w:pPr>
    </w:p>
    <w:p>
      <w:pPr>
        <w:ind w:left="1980" w:right="959"/>
        <w:spacing w:after="0" w:line="283" w:lineRule="auto"/>
        <w:rPr>
          <w:sz w:val="20"/>
          <w:szCs w:val="20"/>
          <w:color w:val="auto"/>
        </w:rPr>
      </w:pPr>
      <w:r>
        <w:rPr>
          <w:rFonts w:ascii="Arial" w:cs="Arial" w:eastAsia="Arial" w:hAnsi="Arial"/>
          <w:sz w:val="11"/>
          <w:szCs w:val="11"/>
          <w:color w:val="auto"/>
        </w:rPr>
        <w:t>In conjunction with the Sumitomo Transaction, certain employees of the Company became employees of Sumitovant or its subsidiaries. The Company issued certain instruments with an aggregate fair value of $39.1 million to these employees, of which $24.8 million was classified within shareholders’ equity and $14.3 million was classified as a liability. The liability classified awards were subsequently surrendered and exchanged for cash and other newly issued equity as part of the repurchase in March 2020. The remaining instruments vest based on the achievement of time-based, performance or liquidity event requirements. As of March 31, 2021 and 2020, there were 1,865,416 and 1,880,980 outstanding instruments, respectively, held by Sumitovant employees for which aggregate fair value was recorded against the gain on sale of business.</w:t>
      </w:r>
    </w:p>
    <w:p>
      <w:pPr>
        <w:spacing w:after="0" w:line="113"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In June 2021, RSL completed a transaction with Sumitomo pursuant to which Sumitomo terminated its existing options to acquire RSL’s equity interests in certain of its subsidiaries. See Note 19, “Subsequent Events” for additional information.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6—Discontinued Operations</w:t>
      </w:r>
    </w:p>
    <w:p>
      <w:pPr>
        <w:spacing w:after="0" w:line="82"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As a result of the Sumitomo Transaction Agreement, see Note 5, “Sumitomo Transaction Agreement,” the financial results of the Sumitovant Vants are presented as “Income from discontinued operations, net of tax” in the accompanying consolidated statements of operations for the year ended March 31, 2020. There were no operating results from discontinued operations for the year ended March 31, 2021.</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72" w:right="1440" w:bottom="1440" w:gutter="0" w:footer="0" w:header="0"/>
        </w:sectPr>
      </w:pPr>
    </w:p>
    <w:bookmarkStart w:id="353" w:name="page354"/>
    <w:bookmarkEnd w:id="3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following table presents components of discontinued operations included in “Income from discontinued operations, net of tax” for the year ended March 31, 2020 (in thousands).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3"/>
              </w:rPr>
              <w:t>Year Ended</w:t>
            </w:r>
          </w:p>
        </w:tc>
        <w:tc>
          <w:tcPr>
            <w:tcW w:w="0" w:type="dxa"/>
            <w:vAlign w:val="bottom"/>
          </w:tcPr>
          <w:p>
            <w:pPr>
              <w:spacing w:after="0"/>
              <w:rPr>
                <w:sz w:val="1"/>
                <w:szCs w:val="1"/>
                <w:color w:val="auto"/>
              </w:rPr>
            </w:pPr>
          </w:p>
        </w:tc>
      </w:tr>
      <w:tr>
        <w:trPr>
          <w:trHeight w:val="113"/>
        </w:trPr>
        <w:tc>
          <w:tcPr>
            <w:tcW w:w="6040" w:type="dxa"/>
            <w:vAlign w:val="bottom"/>
          </w:tcPr>
          <w:p>
            <w:pPr>
              <w:spacing w:after="0"/>
              <w:rPr>
                <w:sz w:val="9"/>
                <w:szCs w:val="9"/>
                <w:color w:val="auto"/>
              </w:rPr>
            </w:pPr>
          </w:p>
        </w:tc>
        <w:tc>
          <w:tcPr>
            <w:tcW w:w="7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w w:val="95"/>
              </w:rPr>
              <w:t>March 31, 2020</w:t>
            </w:r>
          </w:p>
        </w:tc>
        <w:tc>
          <w:tcPr>
            <w:tcW w:w="0" w:type="dxa"/>
            <w:vAlign w:val="bottom"/>
          </w:tcPr>
          <w:p>
            <w:pPr>
              <w:spacing w:after="0"/>
              <w:rPr>
                <w:sz w:val="1"/>
                <w:szCs w:val="1"/>
                <w:color w:val="auto"/>
              </w:rPr>
            </w:pPr>
          </w:p>
        </w:tc>
      </w:tr>
      <w:tr>
        <w:trPr>
          <w:trHeight w:val="133"/>
        </w:trPr>
        <w:tc>
          <w:tcPr>
            <w:tcW w:w="6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265,452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119,885</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80"/>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385,337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(385,337)</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Gain on sale of business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w w:val="94"/>
              </w:rPr>
              <w:t>(1,985,949)</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(2,305)</w:t>
            </w:r>
          </w:p>
        </w:tc>
        <w:tc>
          <w:tcPr>
            <w:tcW w:w="0" w:type="dxa"/>
            <w:vAlign w:val="bottom"/>
          </w:tcPr>
          <w:p>
            <w:pPr>
              <w:spacing w:after="0"/>
              <w:rPr>
                <w:sz w:val="1"/>
                <w:szCs w:val="1"/>
                <w:color w:val="auto"/>
              </w:rPr>
            </w:pPr>
          </w:p>
        </w:tc>
      </w:tr>
      <w:tr>
        <w:trPr>
          <w:trHeight w:val="144"/>
        </w:trPr>
        <w:tc>
          <w:tcPr>
            <w:tcW w:w="6040" w:type="dxa"/>
            <w:vAlign w:val="bottom"/>
          </w:tcPr>
          <w:p>
            <w:pPr>
              <w:spacing w:after="0" w:line="144" w:lineRule="exact"/>
              <w:rPr>
                <w:sz w:val="20"/>
                <w:szCs w:val="20"/>
                <w:color w:val="auto"/>
              </w:rPr>
            </w:pPr>
            <w:r>
              <w:rPr>
                <w:rFonts w:ascii="Arial" w:cs="Arial" w:eastAsia="Arial" w:hAnsi="Arial"/>
                <w:sz w:val="12"/>
                <w:szCs w:val="12"/>
                <w:color w:val="auto"/>
              </w:rPr>
              <w:t>Interest expense</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13,733</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Other expense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8,866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Income from discontinued operations before income taxes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1,580,318</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Income from discontinued operations, net of tax</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1,578,426</w:t>
            </w:r>
          </w:p>
        </w:tc>
        <w:tc>
          <w:tcPr>
            <w:tcW w:w="0" w:type="dxa"/>
            <w:vAlign w:val="bottom"/>
          </w:tcPr>
          <w:p>
            <w:pPr>
              <w:spacing w:after="0"/>
              <w:rPr>
                <w:sz w:val="1"/>
                <w:szCs w:val="1"/>
                <w:color w:val="auto"/>
              </w:rPr>
            </w:pPr>
          </w:p>
        </w:tc>
      </w:tr>
      <w:tr>
        <w:trPr>
          <w:trHeight w:val="32"/>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Loss from discontinued operations before income taxes attributable to noncontrolling interests</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(141,783)</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Income from discontinued operations before income taxes attributable to Roivant Sciences Ltd.</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1,722,101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Income from discontinued operations before income taxes</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1,580,318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60" w:right="1279" w:hanging="288"/>
        <w:spacing w:after="0" w:line="213" w:lineRule="auto"/>
        <w:tabs>
          <w:tab w:leader="none" w:pos="2260" w:val="left"/>
        </w:tabs>
        <w:numPr>
          <w:ilvl w:val="0"/>
          <w:numId w:val="187"/>
        </w:numPr>
        <w:rPr>
          <w:rFonts w:ascii="Arial" w:cs="Arial" w:eastAsia="Arial" w:hAnsi="Arial"/>
          <w:sz w:val="17"/>
          <w:szCs w:val="17"/>
          <w:color w:val="auto"/>
          <w:vertAlign w:val="superscript"/>
        </w:rPr>
      </w:pPr>
      <w:r>
        <w:rPr>
          <w:rFonts w:ascii="Arial" w:cs="Arial" w:eastAsia="Arial" w:hAnsi="Arial"/>
          <w:sz w:val="12"/>
          <w:szCs w:val="12"/>
          <w:color w:val="auto"/>
        </w:rPr>
        <w:t>Interest expense consists of interest payments related to outstanding debt held by Myovant and Urovant as well as the associated non-cash amortization of debt discounts and issuance costs.</w:t>
      </w:r>
    </w:p>
    <w:p>
      <w:pPr>
        <w:spacing w:after="0" w:line="13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In the accompanying consolidated statements of cash flows, the cash flows from discontinued operations are not separately classified. The significant cash flow items from discontinued operations were as follows (in thousands):</w:t>
      </w:r>
    </w:p>
    <w:p>
      <w:pPr>
        <w:spacing w:after="0" w:line="111"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3"/>
              </w:rPr>
              <w:t>Year Ended</w:t>
            </w:r>
          </w:p>
        </w:tc>
      </w:tr>
      <w:tr>
        <w:trPr>
          <w:trHeight w:val="113"/>
        </w:trPr>
        <w:tc>
          <w:tcPr>
            <w:tcW w:w="4260" w:type="dxa"/>
            <w:vAlign w:val="bottom"/>
          </w:tcPr>
          <w:p>
            <w:pPr>
              <w:spacing w:after="0"/>
              <w:rPr>
                <w:sz w:val="9"/>
                <w:szCs w:val="9"/>
                <w:color w:val="auto"/>
              </w:rPr>
            </w:pPr>
          </w:p>
        </w:tc>
        <w:tc>
          <w:tcPr>
            <w:tcW w:w="7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w w:val="98"/>
              </w:rPr>
              <w:t>March 31, 2020</w:t>
            </w:r>
          </w:p>
        </w:tc>
      </w:tr>
      <w:tr>
        <w:trPr>
          <w:trHeight w:val="133"/>
        </w:trPr>
        <w:tc>
          <w:tcPr>
            <w:tcW w:w="4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Gain on sale of business</w:t>
            </w: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(1,985,949)</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26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54,821</w:t>
            </w:r>
          </w:p>
        </w:tc>
      </w:tr>
      <w:tr>
        <w:trPr>
          <w:trHeight w:val="144"/>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16,405</w:t>
            </w:r>
          </w:p>
        </w:tc>
      </w:tr>
    </w:tbl>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7—Balance Sheet Components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Other Current Assets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current assets at March 31, 2021 and 2020 consisted of the following (in thousands):</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0"/>
                <w:szCs w:val="10"/>
                <w:b w:val="1"/>
                <w:bCs w:val="1"/>
                <w:color w:val="auto"/>
              </w:rPr>
              <w:t>March 31, 2021</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w w:val="92"/>
              </w:rPr>
              <w:t>March 31, 2020</w:t>
            </w:r>
          </w:p>
        </w:tc>
      </w:tr>
      <w:tr>
        <w:trPr>
          <w:trHeight w:val="133"/>
        </w:trPr>
        <w:tc>
          <w:tcPr>
            <w:tcW w:w="2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Prepaid expenses</w:t>
            </w:r>
          </w:p>
        </w:tc>
        <w:tc>
          <w:tcPr>
            <w:tcW w:w="1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39,544</w:t>
            </w:r>
          </w:p>
        </w:tc>
        <w:tc>
          <w:tcPr>
            <w:tcW w:w="5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16,344</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Receivables for value added tax (VAT) paid</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2"/>
                <w:szCs w:val="12"/>
                <w:color w:val="auto"/>
              </w:rPr>
              <w:t>807</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5,978</w:t>
            </w:r>
          </w:p>
        </w:tc>
      </w:tr>
      <w:tr>
        <w:trPr>
          <w:trHeight w:val="144"/>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Note receivable</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5,000</w:t>
            </w: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Trade receivables, net</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2"/>
                <w:szCs w:val="12"/>
                <w:color w:val="auto"/>
              </w:rPr>
              <w:t>11,222</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3,669</w:t>
            </w:r>
          </w:p>
        </w:tc>
      </w:tr>
      <w:tr>
        <w:trPr>
          <w:trHeight w:val="144"/>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Income tax receivable</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1,803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w:t>
            </w: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Other</w:t>
            </w:r>
          </w:p>
        </w:tc>
        <w:tc>
          <w:tcPr>
            <w:tcW w:w="1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874</w:t>
            </w:r>
          </w:p>
        </w:tc>
        <w:tc>
          <w:tcPr>
            <w:tcW w:w="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2,140</w:t>
            </w:r>
          </w:p>
        </w:tc>
        <w:tc>
          <w:tcPr>
            <w:tcW w:w="40" w:type="dxa"/>
            <w:vAlign w:val="bottom"/>
          </w:tcPr>
          <w:p>
            <w:pPr>
              <w:spacing w:after="0"/>
              <w:rPr>
                <w:sz w:val="12"/>
                <w:szCs w:val="12"/>
                <w:color w:val="auto"/>
              </w:rPr>
            </w:pPr>
          </w:p>
        </w:tc>
      </w:tr>
      <w:tr>
        <w:trPr>
          <w:trHeight w:val="149"/>
        </w:trPr>
        <w:tc>
          <w:tcPr>
            <w:tcW w:w="2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other current assets</w:t>
            </w:r>
          </w:p>
        </w:tc>
        <w:tc>
          <w:tcPr>
            <w:tcW w:w="1480" w:type="dxa"/>
            <w:vAlign w:val="bottom"/>
            <w:gridSpan w:val="2"/>
            <w:shd w:val="clear" w:color="auto" w:fill="CCEEFF"/>
          </w:tcPr>
          <w:p>
            <w:pPr>
              <w:ind w:left="1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54,250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33,763</w:t>
            </w:r>
          </w:p>
        </w:tc>
      </w:tr>
      <w:tr>
        <w:trPr>
          <w:trHeight w:val="252"/>
        </w:trPr>
        <w:tc>
          <w:tcPr>
            <w:tcW w:w="2380" w:type="dxa"/>
            <w:vAlign w:val="bottom"/>
          </w:tcPr>
          <w:p>
            <w:pPr>
              <w:spacing w:after="0"/>
              <w:rPr>
                <w:sz w:val="21"/>
                <w:szCs w:val="21"/>
                <w:color w:val="auto"/>
              </w:rPr>
            </w:pPr>
          </w:p>
        </w:tc>
        <w:tc>
          <w:tcPr>
            <w:tcW w:w="1300" w:type="dxa"/>
            <w:vAlign w:val="bottom"/>
          </w:tcPr>
          <w:p>
            <w:pPr>
              <w:ind w:left="300"/>
              <w:spacing w:after="0"/>
              <w:rPr>
                <w:sz w:val="20"/>
                <w:szCs w:val="20"/>
                <w:color w:val="auto"/>
              </w:rPr>
            </w:pPr>
            <w:r>
              <w:rPr>
                <w:rFonts w:ascii="Arial" w:cs="Arial" w:eastAsia="Arial" w:hAnsi="Arial"/>
                <w:sz w:val="12"/>
                <w:szCs w:val="12"/>
                <w:color w:val="auto"/>
              </w:rPr>
              <w:t>F-24</w:t>
            </w: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354" w:name="page355"/>
    <w:bookmarkEnd w:id="3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Accrued Expenses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at March 31, 2021 and 2020 consisted of the following (in thousands):</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7"/>
          </w:tcPr>
          <w:p>
            <w:pPr>
              <w:spacing w:after="0"/>
              <w:rPr>
                <w:sz w:val="20"/>
                <w:szCs w:val="20"/>
                <w:color w:val="auto"/>
              </w:rPr>
            </w:pPr>
            <w:r>
              <w:rPr>
                <w:rFonts w:ascii="Arial" w:cs="Arial" w:eastAsia="Arial" w:hAnsi="Arial"/>
                <w:sz w:val="10"/>
                <w:szCs w:val="10"/>
                <w:b w:val="1"/>
                <w:bCs w:val="1"/>
                <w:color w:val="auto"/>
              </w:rPr>
              <w:t>March 31, 2021</w:t>
            </w:r>
          </w:p>
        </w:tc>
        <w:tc>
          <w:tcPr>
            <w:tcW w:w="980" w:type="dxa"/>
            <w:vAlign w:val="bottom"/>
            <w:gridSpan w:val="6"/>
          </w:tcPr>
          <w:p>
            <w:pPr>
              <w:spacing w:after="0"/>
              <w:rPr>
                <w:sz w:val="20"/>
                <w:szCs w:val="20"/>
                <w:color w:val="auto"/>
              </w:rPr>
            </w:pPr>
            <w:r>
              <w:rPr>
                <w:rFonts w:ascii="Arial" w:cs="Arial" w:eastAsia="Arial" w:hAnsi="Arial"/>
                <w:sz w:val="10"/>
                <w:szCs w:val="10"/>
                <w:b w:val="1"/>
                <w:bCs w:val="1"/>
                <w:color w:val="auto"/>
              </w:rPr>
              <w:t>March 31, 2020</w:t>
            </w: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expenses</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gridSpan w:val="4"/>
            <w:shd w:val="clear" w:color="auto" w:fill="CCEEFF"/>
          </w:tcPr>
          <w:p>
            <w:pPr>
              <w:ind w:left="140"/>
              <w:spacing w:after="0" w:line="133" w:lineRule="exact"/>
              <w:rPr>
                <w:sz w:val="20"/>
                <w:szCs w:val="20"/>
                <w:color w:val="auto"/>
              </w:rPr>
            </w:pPr>
            <w:r>
              <w:rPr>
                <w:rFonts w:ascii="Arial" w:cs="Arial" w:eastAsia="Arial" w:hAnsi="Arial"/>
                <w:sz w:val="12"/>
                <w:szCs w:val="12"/>
                <w:color w:val="auto"/>
                <w:w w:val="87"/>
              </w:rPr>
              <w:t>20,755</w:t>
            </w: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auto"/>
              <w:right w:val="single" w:sz="8" w:color="CCEEFF"/>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21,607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Compensation-related expenses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color w:val="auto"/>
              </w:rPr>
              <w:t>38,552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29,113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Professional services expenses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10,267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5,135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Other general and administrative expenses</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3"/>
              </w:rPr>
              <w:t>7,362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12,766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accrued expenses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gridSpan w:val="5"/>
            <w:shd w:val="clear" w:color="auto" w:fill="CCEEFF"/>
          </w:tcPr>
          <w:p>
            <w:pPr>
              <w:ind w:left="140"/>
              <w:spacing w:after="0"/>
              <w:rPr>
                <w:sz w:val="20"/>
                <w:szCs w:val="20"/>
                <w:color w:val="auto"/>
              </w:rPr>
            </w:pPr>
            <w:r>
              <w:rPr>
                <w:rFonts w:ascii="Arial" w:cs="Arial" w:eastAsia="Arial" w:hAnsi="Arial"/>
                <w:sz w:val="12"/>
                <w:szCs w:val="12"/>
                <w:color w:val="auto"/>
              </w:rPr>
              <w:t>76,936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68,621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69"/>
        </w:trPr>
        <w:tc>
          <w:tcPr>
            <w:tcW w:w="4500" w:type="dxa"/>
            <w:vAlign w:val="bottom"/>
            <w:gridSpan w:val="3"/>
          </w:tcPr>
          <w:p>
            <w:pPr>
              <w:spacing w:after="0"/>
              <w:rPr>
                <w:sz w:val="20"/>
                <w:szCs w:val="20"/>
                <w:color w:val="auto"/>
              </w:rPr>
            </w:pPr>
            <w:r>
              <w:rPr>
                <w:rFonts w:ascii="Arial" w:cs="Arial" w:eastAsia="Arial" w:hAnsi="Arial"/>
                <w:sz w:val="12"/>
                <w:szCs w:val="12"/>
                <w:b w:val="1"/>
                <w:bCs w:val="1"/>
                <w:color w:val="auto"/>
              </w:rPr>
              <w:t>(C) Other Current Liabilities</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720" w:type="dxa"/>
            <w:vAlign w:val="bottom"/>
            <w:gridSpan w:val="5"/>
          </w:tcPr>
          <w:p>
            <w:pPr>
              <w:spacing w:after="0"/>
              <w:rPr>
                <w:sz w:val="20"/>
                <w:szCs w:val="20"/>
                <w:color w:val="auto"/>
              </w:rPr>
            </w:pPr>
            <w:r>
              <w:rPr>
                <w:rFonts w:ascii="Arial" w:cs="Arial" w:eastAsia="Arial" w:hAnsi="Arial"/>
                <w:sz w:val="12"/>
                <w:szCs w:val="12"/>
                <w:color w:val="auto"/>
                <w:w w:val="95"/>
              </w:rPr>
              <w:t>Other current liabilities at March 31, 2021 and 2020 consisted of the following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280" w:type="dxa"/>
            <w:vAlign w:val="bottom"/>
            <w:gridSpan w:val="8"/>
          </w:tcPr>
          <w:p>
            <w:pPr>
              <w:spacing w:after="0"/>
              <w:rPr>
                <w:sz w:val="20"/>
                <w:szCs w:val="20"/>
                <w:color w:val="auto"/>
              </w:rPr>
            </w:pPr>
            <w:r>
              <w:rPr>
                <w:rFonts w:ascii="Arial" w:cs="Arial" w:eastAsia="Arial" w:hAnsi="Arial"/>
                <w:sz w:val="10"/>
                <w:szCs w:val="10"/>
                <w:b w:val="1"/>
                <w:bCs w:val="1"/>
                <w:color w:val="auto"/>
              </w:rPr>
              <w:t>March 31, 2021</w:t>
            </w:r>
          </w:p>
        </w:tc>
        <w:tc>
          <w:tcPr>
            <w:tcW w:w="980" w:type="dxa"/>
            <w:vAlign w:val="bottom"/>
            <w:gridSpan w:val="6"/>
          </w:tcPr>
          <w:p>
            <w:pPr>
              <w:spacing w:after="0"/>
              <w:rPr>
                <w:sz w:val="20"/>
                <w:szCs w:val="20"/>
                <w:color w:val="auto"/>
              </w:rPr>
            </w:pPr>
            <w:r>
              <w:rPr>
                <w:rFonts w:ascii="Arial" w:cs="Arial" w:eastAsia="Arial" w:hAnsi="Arial"/>
                <w:sz w:val="10"/>
                <w:szCs w:val="10"/>
                <w:b w:val="1"/>
                <w:bCs w:val="1"/>
                <w:color w:val="auto"/>
              </w:rPr>
              <w:t>March 31, 2020</w:t>
            </w: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Deferred revenue</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gridSpan w:val="3"/>
            <w:shd w:val="clear" w:color="auto" w:fill="CCEEFF"/>
          </w:tcPr>
          <w:p>
            <w:pPr>
              <w:ind w:left="140"/>
              <w:spacing w:after="0" w:line="133" w:lineRule="exact"/>
              <w:rPr>
                <w:sz w:val="20"/>
                <w:szCs w:val="20"/>
                <w:color w:val="auto"/>
              </w:rPr>
            </w:pPr>
            <w:r>
              <w:rPr>
                <w:rFonts w:ascii="Arial" w:cs="Arial" w:eastAsia="Arial" w:hAnsi="Arial"/>
                <w:sz w:val="12"/>
                <w:szCs w:val="12"/>
                <w:color w:val="auto"/>
                <w:w w:val="86"/>
              </w:rPr>
              <w:t>5,918</w:t>
            </w: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3,621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Income tax payable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207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1,497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2"/>
                <w:szCs w:val="12"/>
                <w:color w:val="auto"/>
                <w:w w:val="86"/>
              </w:rPr>
              <w:t>3,037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20" w:type="dxa"/>
            <w:vAlign w:val="bottom"/>
          </w:tcPr>
          <w:p>
            <w:pPr>
              <w:ind w:left="240"/>
              <w:spacing w:after="0"/>
              <w:rPr>
                <w:sz w:val="20"/>
                <w:szCs w:val="20"/>
                <w:color w:val="auto"/>
              </w:rPr>
            </w:pPr>
            <w:r>
              <w:rPr>
                <w:rFonts w:ascii="Arial" w:cs="Arial" w:eastAsia="Arial" w:hAnsi="Arial"/>
                <w:sz w:val="12"/>
                <w:szCs w:val="12"/>
                <w:color w:val="auto"/>
              </w:rPr>
              <w:t>Total other current liabilities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480" w:type="dxa"/>
            <w:vAlign w:val="bottom"/>
            <w:gridSpan w:val="4"/>
          </w:tcPr>
          <w:p>
            <w:pPr>
              <w:ind w:left="140"/>
              <w:spacing w:after="0"/>
              <w:rPr>
                <w:sz w:val="20"/>
                <w:szCs w:val="20"/>
                <w:color w:val="auto"/>
              </w:rPr>
            </w:pPr>
            <w:r>
              <w:rPr>
                <w:rFonts w:ascii="Arial" w:cs="Arial" w:eastAsia="Arial" w:hAnsi="Arial"/>
                <w:sz w:val="12"/>
                <w:szCs w:val="12"/>
                <w:color w:val="auto"/>
              </w:rPr>
              <w:t>9,162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5,352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69"/>
        </w:trPr>
        <w:tc>
          <w:tcPr>
            <w:tcW w:w="4500" w:type="dxa"/>
            <w:vAlign w:val="bottom"/>
            <w:gridSpan w:val="3"/>
          </w:tcPr>
          <w:p>
            <w:pPr>
              <w:spacing w:after="0"/>
              <w:rPr>
                <w:sz w:val="20"/>
                <w:szCs w:val="20"/>
                <w:color w:val="auto"/>
              </w:rPr>
            </w:pPr>
            <w:r>
              <w:rPr>
                <w:rFonts w:ascii="Arial" w:cs="Arial" w:eastAsia="Arial" w:hAnsi="Arial"/>
                <w:sz w:val="12"/>
                <w:szCs w:val="12"/>
                <w:b w:val="1"/>
                <w:bCs w:val="1"/>
                <w:color w:val="auto"/>
              </w:rPr>
              <w:t>Note 8—Long-Term Debt</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2"/>
                <w:szCs w:val="12"/>
                <w:b w:val="1"/>
                <w:bCs w:val="1"/>
                <w:color w:val="auto"/>
              </w:rPr>
              <w:t>(A) Long-Term 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2"/>
                <w:szCs w:val="12"/>
                <w:color w:val="auto"/>
              </w:rPr>
              <w:t>Long-term debt, net consists of the following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6"/>
          </w:tcPr>
          <w:p>
            <w:pPr>
              <w:ind w:left="100"/>
              <w:spacing w:after="0"/>
              <w:rPr>
                <w:sz w:val="20"/>
                <w:szCs w:val="20"/>
                <w:color w:val="auto"/>
              </w:rPr>
            </w:pPr>
            <w:r>
              <w:rPr>
                <w:rFonts w:ascii="Arial" w:cs="Arial" w:eastAsia="Arial" w:hAnsi="Arial"/>
                <w:sz w:val="10"/>
                <w:szCs w:val="10"/>
                <w:b w:val="1"/>
                <w:bCs w:val="1"/>
                <w:color w:val="auto"/>
              </w:rPr>
              <w:t>March 31, 2021</w:t>
            </w:r>
          </w:p>
        </w:tc>
        <w:tc>
          <w:tcPr>
            <w:tcW w:w="160" w:type="dxa"/>
            <w:vAlign w:val="bottom"/>
          </w:tcPr>
          <w:p>
            <w:pPr>
              <w:spacing w:after="0"/>
              <w:rPr>
                <w:sz w:val="23"/>
                <w:szCs w:val="23"/>
                <w:color w:val="auto"/>
              </w:rPr>
            </w:pPr>
          </w:p>
        </w:tc>
        <w:tc>
          <w:tcPr>
            <w:tcW w:w="820" w:type="dxa"/>
            <w:vAlign w:val="bottom"/>
            <w:gridSpan w:val="5"/>
          </w:tcPr>
          <w:p>
            <w:pPr>
              <w:ind w:left="100"/>
              <w:spacing w:after="0"/>
              <w:rPr>
                <w:sz w:val="20"/>
                <w:szCs w:val="20"/>
                <w:color w:val="auto"/>
              </w:rPr>
            </w:pPr>
            <w:r>
              <w:rPr>
                <w:rFonts w:ascii="Arial" w:cs="Arial" w:eastAsia="Arial" w:hAnsi="Arial"/>
                <w:sz w:val="10"/>
                <w:szCs w:val="10"/>
                <w:b w:val="1"/>
                <w:bCs w:val="1"/>
                <w:color w:val="auto"/>
                <w:w w:val="98"/>
              </w:rPr>
              <w:t>March 31, 2020</w:t>
            </w:r>
          </w:p>
        </w:tc>
      </w:tr>
      <w:tr>
        <w:trPr>
          <w:trHeight w:val="133"/>
        </w:trPr>
        <w:tc>
          <w:tcPr>
            <w:tcW w:w="580" w:type="dxa"/>
            <w:vAlign w:val="bottom"/>
          </w:tcPr>
          <w:p>
            <w:pPr>
              <w:spacing w:after="0"/>
              <w:rPr>
                <w:sz w:val="11"/>
                <w:szCs w:val="11"/>
                <w:color w:val="auto"/>
              </w:rPr>
            </w:pPr>
          </w:p>
        </w:tc>
        <w:tc>
          <w:tcPr>
            <w:tcW w:w="39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Principal amount</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171,490</w:t>
            </w: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110,490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80" w:type="dxa"/>
            <w:vAlign w:val="bottom"/>
          </w:tcPr>
          <w:p>
            <w:pPr>
              <w:spacing w:after="0"/>
              <w:rPr>
                <w:sz w:val="12"/>
                <w:szCs w:val="12"/>
                <w:color w:val="auto"/>
              </w:rPr>
            </w:pPr>
          </w:p>
        </w:tc>
        <w:tc>
          <w:tcPr>
            <w:tcW w:w="3920" w:type="dxa"/>
            <w:vAlign w:val="bottom"/>
            <w:gridSpan w:val="2"/>
          </w:tcPr>
          <w:p>
            <w:pPr>
              <w:spacing w:after="0"/>
              <w:rPr>
                <w:sz w:val="20"/>
                <w:szCs w:val="20"/>
                <w:color w:val="auto"/>
              </w:rPr>
            </w:pPr>
            <w:r>
              <w:rPr>
                <w:rFonts w:ascii="Arial" w:cs="Arial" w:eastAsia="Arial" w:hAnsi="Arial"/>
                <w:sz w:val="12"/>
                <w:szCs w:val="12"/>
                <w:color w:val="auto"/>
              </w:rPr>
              <w:t>Less: unamortized debt discount and issuance costs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2"/>
                <w:szCs w:val="12"/>
                <w:color w:val="auto"/>
              </w:rPr>
              <w:t>(1,210)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(1,898)</w:t>
            </w:r>
          </w:p>
        </w:tc>
      </w:tr>
      <w:tr>
        <w:trPr>
          <w:trHeight w:val="142"/>
        </w:trPr>
        <w:tc>
          <w:tcPr>
            <w:tcW w:w="580" w:type="dxa"/>
            <w:vAlign w:val="bottom"/>
          </w:tcPr>
          <w:p>
            <w:pPr>
              <w:spacing w:after="0"/>
              <w:rPr>
                <w:sz w:val="12"/>
                <w:szCs w:val="12"/>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debt, net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170,280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108,592</w:t>
            </w:r>
          </w:p>
        </w:tc>
        <w:tc>
          <w:tcPr>
            <w:tcW w:w="8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3920" w:type="dxa"/>
            <w:vAlign w:val="bottom"/>
            <w:gridSpan w:val="2"/>
          </w:tcPr>
          <w:p>
            <w:pPr>
              <w:spacing w:after="0"/>
              <w:rPr>
                <w:sz w:val="20"/>
                <w:szCs w:val="20"/>
                <w:color w:val="auto"/>
              </w:rPr>
            </w:pPr>
            <w:r>
              <w:rPr>
                <w:rFonts w:ascii="Arial" w:cs="Arial" w:eastAsia="Arial" w:hAnsi="Arial"/>
                <w:sz w:val="12"/>
                <w:szCs w:val="12"/>
                <w:color w:val="auto"/>
              </w:rPr>
              <w:t>Less: current portion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long-term debt, net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170,280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108,592</w:t>
            </w:r>
          </w:p>
        </w:tc>
        <w:tc>
          <w:tcPr>
            <w:tcW w:w="80" w:type="dxa"/>
            <w:vAlign w:val="bottom"/>
            <w:shd w:val="clear" w:color="auto" w:fill="CCEEFF"/>
          </w:tcPr>
          <w:p>
            <w:pPr>
              <w:spacing w:after="0"/>
              <w:rPr>
                <w:sz w:val="12"/>
                <w:szCs w:val="12"/>
                <w:color w:val="auto"/>
              </w:rPr>
            </w:pPr>
          </w:p>
        </w:tc>
      </w:tr>
      <w:tr>
        <w:trPr>
          <w:trHeight w:val="27"/>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Dermavant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May 2019, Dermavant and certain of its subsidiaries entered into a loan and security agreement (the “Hercules Loan Agreement”) with Hercules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Capital, Inc. (“Hercules”), pursuant to which Dermavant borrowed an aggregate of $20.0 million which bears interest at a variable per annum rate at the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greater of (i) 9.95% or (ii) the prime rate plus 4.45%. Dermavant is obligated to pay an end of term charge of $1.4 million with the debt maturing 36</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months from closing, subject to extension with the achievement of a clinical milestone. Dermavant is obligated to make monthly payments of accrued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interest for the first 15 months after closing (the “Interest-only Period”), followed by monthly installments of principal and interest through the maturity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date, subject to extension upon certain milestone achievements. In January 2020, the Interest-only Period was extended through June 2021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Dermavant’s receipt of net proceeds from equity or debt financings, capital contributions, and proceeds from business development or similar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transaction of at least $110.0 million. In July 2020, the clinical milestone was achieved and the term loan maturity was extended to June 1, 2023 and the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Interest-only Period was further extended through December 2021. As of March 31, 2021 and March 31, 2020, an aggregate principal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$20.0 million and end of term charge of $1.4 million remained outstanding. In May 2021, Dermavant repaid all amounts outstanding under the Hercules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Loan Agreement using the proceeds from the $40.0 million Credit Facility entered into by Dermavant and certain of its subsidiaries in May 2021. Refer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Note 19, “Subsequent Events” for additional detail.</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0159"/>
          </w:cols>
          <w:pgMar w:left="300" w:top="372" w:right="1440" w:bottom="1440" w:gutter="0" w:footer="0" w:header="0"/>
        </w:sectPr>
      </w:pPr>
    </w:p>
    <w:bookmarkStart w:id="355" w:name="page356"/>
    <w:bookmarkEnd w:id="3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In connection with Dermavant’s acquisition of tapinarof from GSK, Dermavant and NovaQuest Co-Investment Fund VIII, L.P. (“NovaQuest”) entered into a funding agreement (the “NovaQuest Agreement”). Pursuant to the NovaQuest Agreement, Dermavant borrowed $100.0 million in August 2018 and $17.5 million in October 2018 in exchange for an obligation to make certain variable future payments calculated as a function of the achievement of regulatory and commercial milestones or events of termination. The aggregate maximum amount of regulatory milestone payments that Dermavant could be required to make under the NovaQuest Agreement is $440.6 million, and the maximum aggregate amount of commercial milestone payments is $141.0 million. In some circumstances, Dermavant may be able to offset certain of the regulatory milestone payments with up to $88.1 million of the commercial milestone payments. At issuance, the Company concluded that certain features of the long-term debt would be considered derivatives that would require bifurcation. In lieu of bifurcating various features in the agreement, the Company has elected the fair value option for this financial instrument and will record the changes in the fair value within the statements of operations at the end of each reporting period. Direct costs and fees related to the debt issued under the NovaQuest Agreement were recognized in earnings. As of March 31, 2021 and 2020, the fair value of the debt was $150.1 million and $89.1 million, respectively. Refer to Note 15, “Fair Value Measurements” for additional details regarding the fair value measurement.</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Debt Maturities</w:t>
      </w:r>
    </w:p>
    <w:p>
      <w:pPr>
        <w:spacing w:after="0" w:line="82" w:lineRule="exact"/>
        <w:rPr>
          <w:sz w:val="20"/>
          <w:szCs w:val="20"/>
          <w:color w:val="auto"/>
        </w:rPr>
      </w:pPr>
    </w:p>
    <w:p>
      <w:pPr>
        <w:ind w:left="1980" w:right="1059"/>
        <w:spacing w:after="0" w:line="323" w:lineRule="auto"/>
        <w:rPr>
          <w:sz w:val="20"/>
          <w:szCs w:val="20"/>
          <w:color w:val="auto"/>
        </w:rPr>
      </w:pPr>
      <w:r>
        <w:rPr>
          <w:rFonts w:ascii="Arial" w:cs="Arial" w:eastAsia="Arial" w:hAnsi="Arial"/>
          <w:sz w:val="11"/>
          <w:szCs w:val="11"/>
          <w:color w:val="auto"/>
        </w:rPr>
        <w:t>Annual maturities, including the end of term charge, of debt outstanding as of March 31, 2021 are as follows (in thousands). Long-term debt held by Dermavant for which the fair value option has been elected is excluded from the below as the repayment terms are variable.</w:t>
      </w:r>
    </w:p>
    <w:p>
      <w:pPr>
        <w:spacing w:after="0" w:line="10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5"/>
              </w:rPr>
              <w:t>Years Ending March 31,</w:t>
            </w: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9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2022</w:t>
            </w:r>
          </w:p>
        </w:tc>
        <w:tc>
          <w:tcPr>
            <w:tcW w:w="36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3,129</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2023</w:t>
            </w: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13,306</w:t>
            </w:r>
          </w:p>
        </w:tc>
      </w:tr>
      <w:tr>
        <w:trPr>
          <w:trHeight w:val="144"/>
        </w:trPr>
        <w:tc>
          <w:tcPr>
            <w:tcW w:w="98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4,955</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2025</w:t>
            </w: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r>
      <w:tr>
        <w:trPr>
          <w:trHeight w:val="144"/>
        </w:trPr>
        <w:tc>
          <w:tcPr>
            <w:tcW w:w="98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Thereafter</w:t>
            </w:r>
          </w:p>
        </w:tc>
        <w:tc>
          <w:tcPr>
            <w:tcW w:w="3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2"/>
        </w:trPr>
        <w:tc>
          <w:tcPr>
            <w:tcW w:w="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21,390</w:t>
            </w:r>
          </w:p>
        </w:tc>
      </w:tr>
      <w:tr>
        <w:trPr>
          <w:trHeight w:val="27"/>
        </w:trPr>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9—Related Party Transactions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Transition Services Agreement and Strategic Cooperation Agreement with Sumitomo</w:t>
      </w:r>
    </w:p>
    <w:p>
      <w:pPr>
        <w:spacing w:after="0" w:line="82"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Concurrently with the Sumitomo Transaction Agreement, (i) RSL, Sumitomo and Sumitovant entered into a transition services agreement, whereby each of the parties thereto agreed to provide certain services to one another at cost for a period of time following the Sumitomo Closing Date and (ii) RSL and Sumitomo entered into a strategic cooperation agreement relating to certain ongoing technology-related collaborations between the parties. Pursuant to the terms of the transition services agreement and strategic cooperation agreement, RSL billed Sumitovant $1.4 million and $0.2 million, net of amounts billed by Sumitovant to RSL, respectively, during the years ended March 31, 2021 and 2020 for costs incurred on behalf of Sumitovant, which were recorded as offsets to the general and administrative expenses initially charged. Additionally, during the years ended March 31, 2021 and 2020, the Company paid Sumitomo a $1.0 million access fee pursuant to the strategic cooperation agreement.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10—Shareholders’ Equity and Redeemable Noncontrolling Interest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Sumitomo Transaction Agreement and Roivant Equity Repurchase</w:t>
      </w:r>
    </w:p>
    <w:p>
      <w:pPr>
        <w:spacing w:after="0" w:line="82"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In December 2019, RSL and Sumitomo completed the transactions contemplated by the Sumitomo Transaction Agreement; see Note 5, “Sumitomo Transaction Agreement.” Pursuant to the Sumitomo Transaction Agreement,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0159"/>
          </w:cols>
          <w:pgMar w:left="300" w:top="372" w:right="1440" w:bottom="1440" w:gutter="0" w:footer="0" w:header="0"/>
        </w:sectPr>
      </w:pPr>
    </w:p>
    <w:bookmarkStart w:id="356" w:name="page357"/>
    <w:bookmarkEnd w:id="3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RSL issued 26,952,143 common shares to Sumitomo at closing at a price per share of $37.10 for allocated net proceeds of approximately</w:t>
      </w:r>
    </w:p>
    <w:p>
      <w:pPr>
        <w:spacing w:after="0" w:line="15"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$999.2 million, after offering expenses incurred. In connection with the Sumitomo Closing Date, RSL’s board of directors approved a repurchase of up to $1.0 billion of the Company’s equity securities using the proceeds received from Sumitomo.</w:t>
      </w:r>
    </w:p>
    <w:p>
      <w:pPr>
        <w:spacing w:after="0" w:line="124"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February 2020, the Company launched one-time offers to purchase up to $1.0 billion of issued and outstanding equity securities of the Company (the “Roivant Equity Repurchase”). The offers included (i) an offer to repurchase up to approximately 11.23% of the common stock held by each holder (and its affiliates) of the Company’s common stock as of December 26, 2019, at a price per share of $37.10 representing fair value of the common stock, (ii) an offer to purchase vested stock options whose fair market value (as determined as of December 27, 2019) was less than or equal to the fair market value of approximately 11.23% of the earliest-granted of such holder’s outstanding vested and unvested stock options, at a purchase price equal to such vested option’s fair market value, and (iii) an offer to holders of performance restricted stock units (“pRSUs”) to surrender 100% of their existing pRSUs in exchange for newly issued performance stock options and capped value appreciation rights. The offer to the holders of pRSUs included an offer by the Company to immediately purchase approximately 11.23% of the newly issued performance stock options and capped value appreciation rights for cash. The Company additionally entered into an agreement with the Company’s Founder to repurchase a portion of his common stock held and exchange his pRSUs for performance stock options and capped value appreciation rights. A summary of payments made during the year ended March 31, 2020 relating to the purchase of equity securities by the Company is as follows (in thousands):</w:t>
      </w:r>
    </w:p>
    <w:p>
      <w:pPr>
        <w:spacing w:after="0" w:line="13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89"/>
              </w:rPr>
              <w:t>Cash Payment</w:t>
            </w:r>
          </w:p>
        </w:tc>
      </w:tr>
      <w:tr>
        <w:trPr>
          <w:trHeight w:val="133"/>
        </w:trPr>
        <w:tc>
          <w:tcPr>
            <w:tcW w:w="4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Common stock</w:t>
            </w: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950,722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340" w:type="dxa"/>
            <w:vAlign w:val="bottom"/>
          </w:tcPr>
          <w:p>
            <w:pPr>
              <w:spacing w:after="0"/>
              <w:rPr>
                <w:sz w:val="20"/>
                <w:szCs w:val="20"/>
                <w:color w:val="auto"/>
              </w:rPr>
            </w:pPr>
            <w:r>
              <w:rPr>
                <w:rFonts w:ascii="Arial" w:cs="Arial" w:eastAsia="Arial" w:hAnsi="Arial"/>
                <w:sz w:val="12"/>
                <w:szCs w:val="12"/>
                <w:color w:val="auto"/>
              </w:rPr>
              <w:t>Other equity instruments</w:t>
            </w:r>
          </w:p>
        </w:tc>
        <w:tc>
          <w:tcPr>
            <w:tcW w:w="1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39,292</w:t>
            </w:r>
          </w:p>
        </w:tc>
      </w:tr>
      <w:tr>
        <w:trPr>
          <w:trHeight w:val="20"/>
        </w:trPr>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Total cash paid</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990,014</w:t>
            </w:r>
          </w:p>
        </w:tc>
      </w:tr>
      <w:tr>
        <w:trPr>
          <w:trHeight w:val="27"/>
        </w:trPr>
        <w:tc>
          <w:tcPr>
            <w:tcW w:w="4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Consolidated Vant Equity Transactions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Cytovant Sciences HK Limited</w:t>
      </w:r>
    </w:p>
    <w:p>
      <w:pPr>
        <w:spacing w:after="0" w:line="78"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March 2020, Cytovant Sciences HK Limited (“Cytovant”), a subsidiary of the Company, issued and sold 20,085,301 Series A-1 preference shares at a purchase price of $1.17 per share to third party investors for aggregate net proceeds of $22.5 million after deducting offering costs. The preferred stock is convertible into ordinary shares of Cytovant at any time at the option of the investor, or automatically upon a qualified initial public offering (“Qualified IPO”) as defined in the subscription agreement. If a Qualified IPO is not completed within five years of the initial investment, Series A preference shareholders can force a sale or liquidation of Cytovant. The Series A-1 preference shares are classified as redeemable noncontrolling interest in the accompanying consolidated balance sheets and consolidated statements of shareholders’ equity and redeemable noncontrolling interest as the Company can be obligated to repurchase the Series A-1 preference shares upon the occurrence of certain contingent events outside the Company’s control. No dividends shall accrue or be payable on the convertible and redeemable preferred stock unless otherwise determined by the board of directors of Cytovant. The Company did not accrete changes in the redemption value as of March 31, 2021 as the Company considers the events leading to a redemption of the convertible and redeemable preferred stock as not probable.</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Immunovant</w:t>
      </w:r>
    </w:p>
    <w:p>
      <w:pPr>
        <w:spacing w:after="0" w:line="78"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In September 2019, Immunovant Sciences Ltd. (“ISL”) entered into a share exchange agreement (the “Share Exchange Agreement”) with Health Sciences Acquisitions Corporation (“HSAC”), and in December 2019, ISL and HSAC completed the transactions contemplated by the Share Exchange Agreement (the “Business Combination”). At closing, HSAC acquired 100% of the issued and outstanding common shares of ISL in exchange for 42,080,376 shares of HSAC’s common stock issued to HSAC, ISL, and the shareholders of ISL (together, the “Sellers”) and 10,000 shares of HSAC Series A preferred shares issued to RSL. Additionally, as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72" w:right="1440" w:bottom="1440" w:gutter="0" w:footer="0" w:header="0"/>
        </w:sectPr>
      </w:pPr>
    </w:p>
    <w:bookmarkStart w:id="357" w:name="page358"/>
    <w:bookmarkEnd w:id="3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part of its initial public offering in May 2019, HSAC issued common stock warrants, which are classified in equity. Upon completion of the Business Combination, 11,500,000 warrants were outstanding for the purchase of one-half of one share of common stock (an aggregate of 5,750,000 common shares) at a price of $11.50 per whole share. Upon closing, ISL became a wholly owned subsidiary of HSAC and HSAC was renamed “Immunovant, Inc.” The Business Combination was accounted for as a reverse recapitalization and HSAC was treated as the “acquired” company for accounting purposes. Accordingly, for accounting purposes, the Business Combination was treated as the equivalent of ISL issuing equity for the net assets of HSAC, accompanied by a recapitalization. Immunovant, Inc. received $111.0 million in cash as a result of the Business Combination, consisting of the funds held in HSAC’s trust account. The proceeds included $5.1 million related to common shares purchased by RSL.</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sellers were entitled to receive an additional 20,000,000 shares of Immunovant, Inc.’s common stock (the “Earnout Shares”) if the volume-weighted average price of Immunovant, Inc.’s shares equaled or exceeded the following prices for any 20 trading days within any 30 trading-day period (the “Trading Period”) following the closing of the Business Combination:</w:t>
      </w:r>
    </w:p>
    <w:p>
      <w:pPr>
        <w:spacing w:after="0" w:line="50" w:lineRule="exact"/>
        <w:rPr>
          <w:sz w:val="20"/>
          <w:szCs w:val="20"/>
          <w:color w:val="auto"/>
        </w:rPr>
      </w:pPr>
    </w:p>
    <w:p>
      <w:pPr>
        <w:ind w:left="2260" w:right="859" w:firstLine="6"/>
        <w:spacing w:after="0" w:line="276" w:lineRule="auto"/>
        <w:tabs>
          <w:tab w:leader="none" w:pos="2403" w:val="left"/>
        </w:tabs>
        <w:numPr>
          <w:ilvl w:val="0"/>
          <w:numId w:val="188"/>
        </w:numPr>
        <w:rPr>
          <w:rFonts w:ascii="Arial" w:cs="Arial" w:eastAsia="Arial" w:hAnsi="Arial"/>
          <w:sz w:val="12"/>
          <w:szCs w:val="12"/>
          <w:color w:val="auto"/>
        </w:rPr>
      </w:pPr>
      <w:r>
        <w:rPr>
          <w:rFonts w:ascii="Arial" w:cs="Arial" w:eastAsia="Arial" w:hAnsi="Arial"/>
          <w:sz w:val="12"/>
          <w:szCs w:val="12"/>
          <w:color w:val="auto"/>
        </w:rPr>
        <w:t>during any Trading Period prior to March 31, 2023, 10,000,000 Earnout Shares upon the achievement of a volume-weighted average price of at least $17.50 per share; and</w:t>
      </w:r>
    </w:p>
    <w:p>
      <w:pPr>
        <w:spacing w:after="0" w:line="42" w:lineRule="exact"/>
        <w:rPr>
          <w:rFonts w:ascii="Arial" w:cs="Arial" w:eastAsia="Arial" w:hAnsi="Arial"/>
          <w:sz w:val="12"/>
          <w:szCs w:val="12"/>
          <w:color w:val="auto"/>
        </w:rPr>
      </w:pPr>
    </w:p>
    <w:p>
      <w:pPr>
        <w:ind w:left="2260" w:right="939" w:firstLine="6"/>
        <w:spacing w:after="0" w:line="276" w:lineRule="auto"/>
        <w:tabs>
          <w:tab w:leader="none" w:pos="2437" w:val="left"/>
        </w:tabs>
        <w:numPr>
          <w:ilvl w:val="0"/>
          <w:numId w:val="188"/>
        </w:numPr>
        <w:rPr>
          <w:rFonts w:ascii="Arial" w:cs="Arial" w:eastAsia="Arial" w:hAnsi="Arial"/>
          <w:sz w:val="12"/>
          <w:szCs w:val="12"/>
          <w:color w:val="auto"/>
        </w:rPr>
      </w:pPr>
      <w:r>
        <w:rPr>
          <w:rFonts w:ascii="Arial" w:cs="Arial" w:eastAsia="Arial" w:hAnsi="Arial"/>
          <w:sz w:val="12"/>
          <w:szCs w:val="12"/>
          <w:color w:val="auto"/>
        </w:rPr>
        <w:t>during any Trading Period prior to March 31, 2025, 10,000,000 Earnout Shares upon the achievement of a volume-weighted average price of at least $31.50 per share.</w:t>
      </w:r>
    </w:p>
    <w:p>
      <w:pPr>
        <w:spacing w:after="0" w:line="115"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May 2020 and September 2020, Immunovant, Inc. achieved the first earnout milestone and second earnout milestone, respectively, under the Share Exchange Agreement and, as a result, all of the 20,000,000 earnout shares of Immunovant, Inc.’s common stock were issued to former stockholders of ISL, including 17,547,938 shares of common stock issued to RSL. In addition, upon the achievement of the first earnout milestone and second earnout milestone and pursuant to the restricted stock agreement entered into between HSAC and Health Sciences Holdings, LLC (the “Sponsor”), all of the 1,800,000 shares of the Sponsor’s restricted shares vested and are no longer subject to forfeiture.</w:t>
      </w:r>
    </w:p>
    <w:p>
      <w:pPr>
        <w:spacing w:after="0" w:line="113"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Immediately prior to the closing of the Business Combination, as described above, ISL’s convertible promissory notes were automatically converted into an aggregate of 7,156,495 common shares of ISL, which were then exchanged for an aggregate of 3,499,995 shares of Immunovant, Inc. common stock upon the closing of transactions contemplated by the Share Exchange Agreement. The conversion of ISL’s convertible promissory notes resulted in an increase to equity by $35.6 million, the carrying amount of the convertible promissory notes. The conversion included a convertible promissory note held by RSL for $2.5 million.</w:t>
      </w:r>
    </w:p>
    <w:p>
      <w:pPr>
        <w:spacing w:after="0" w:line="128"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April 2020, Immunovant, Inc. completed an underwritten public offering of 9,613,365 shares of its common stock, including 1,034,483 shares of common stock purchased by RSL, at a price of $14.50 per share for net proceeds to Immunovant, Inc. of approximately $131.0 million, after deducting underwriting discounts and commissions and offering expenses. The proceeds included $15.0 million received from RSL.</w:t>
      </w:r>
    </w:p>
    <w:p>
      <w:pPr>
        <w:spacing w:after="0" w:line="105"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In May 2020, Immunovant, Inc.’s 11,500,000 outstanding warrants became exercisable for an aggregate of 5,750,000 shares of Immunovant, Inc.’s common stock at a price of $11.50 per share. An aggregate of 11,438,290 outstanding warrants were exercised for an aggregate of 5,719,145 shares of Immunovant, Inc.’s common stock at a price of $11.50 per share, for net proceeds of approximately $65.8 million. The remaining 61,710 warrants were cancelled.</w:t>
      </w:r>
    </w:p>
    <w:p>
      <w:pPr>
        <w:spacing w:after="0" w:line="124" w:lineRule="exact"/>
        <w:rPr>
          <w:sz w:val="20"/>
          <w:szCs w:val="20"/>
          <w:color w:val="auto"/>
        </w:rPr>
      </w:pPr>
    </w:p>
    <w:p>
      <w:pPr>
        <w:jc w:val="both"/>
        <w:ind w:left="1980" w:right="919"/>
        <w:spacing w:after="0" w:line="298" w:lineRule="auto"/>
        <w:rPr>
          <w:sz w:val="20"/>
          <w:szCs w:val="20"/>
          <w:color w:val="auto"/>
        </w:rPr>
      </w:pPr>
      <w:r>
        <w:rPr>
          <w:rFonts w:ascii="Arial" w:cs="Arial" w:eastAsia="Arial" w:hAnsi="Arial"/>
          <w:sz w:val="11"/>
          <w:szCs w:val="11"/>
          <w:color w:val="auto"/>
        </w:rPr>
        <w:t>In September 2020, Immunovant, Inc. completed an underwritten public offering of 6,060,606 shares of its common stock, including 380,000 shares of common stock purchased by RSL, at a price of $33.00 per share for net proceeds to Immunovant, Inc. of approximately $188.1 million, after deducting underwriting discounts and commissions and offering expenses. The proceeds included $12.5 million received from RSL.</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72" w:right="1440" w:bottom="1440" w:gutter="0" w:footer="0" w:header="0"/>
        </w:sectPr>
      </w:pPr>
    </w:p>
    <w:bookmarkStart w:id="358" w:name="page359"/>
    <w:bookmarkEnd w:id="3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Sinovant</w:t>
      </w:r>
    </w:p>
    <w:p>
      <w:pPr>
        <w:spacing w:after="0" w:line="78"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Sinovant, a subsidiary of the Company, previously issued and sold preferred stock convertible into ordinary shares of Sinovant at any time at the option of the investors or automatically upon a qualified initial public offering (“Qualified IPO”) as defined in the subscription agreement relating to the sale of the preferred stock. The convertible preferred stock was redeemable at the option of the investor if a Qualified IPO was not completed within five years of the initial investment and was payable in cash equal to the investment amount plus an annualized return of 12%. As such events are not within the control of the Company, the preferred stock was previously classified as redeemable noncontrolling interest in the accompanying consolidated balance sheets and consolidated statements of shareholders’ equity and redeemable noncontrolling interest. No dividends accrued or were payable on the convertible preferred stock. In January 2020, Sinovant’s parent company, Roivant China Holdings Ltd. (“RCHL”), purchased all preferred stock of Sinovant held by third parties at a purchase price of $12.26 per preferred share for an aggregate purchase price of $132.9 million. Consideration paid in excess of the carrying value for the repurchase of redeemable noncontrolling interest of $77.8 million is considered a deemed dividend. See Note 18, “Earnings per Common Share” for resulting impact to earnings per share.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11—Share-Based Compensation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RSL 2015 Equity Incentive Plan</w:t>
      </w:r>
    </w:p>
    <w:p>
      <w:pPr>
        <w:spacing w:after="0" w:line="82" w:lineRule="exact"/>
        <w:rPr>
          <w:sz w:val="20"/>
          <w:szCs w:val="20"/>
          <w:color w:val="auto"/>
        </w:rPr>
      </w:pPr>
    </w:p>
    <w:p>
      <w:pPr>
        <w:jc w:val="both"/>
        <w:ind w:left="1980" w:right="1019"/>
        <w:spacing w:after="0" w:line="289" w:lineRule="auto"/>
        <w:rPr>
          <w:sz w:val="20"/>
          <w:szCs w:val="20"/>
          <w:color w:val="auto"/>
        </w:rPr>
      </w:pPr>
      <w:r>
        <w:rPr>
          <w:rFonts w:ascii="Arial" w:cs="Arial" w:eastAsia="Arial" w:hAnsi="Arial"/>
          <w:sz w:val="11"/>
          <w:szCs w:val="11"/>
          <w:color w:val="auto"/>
        </w:rPr>
        <w:t>As of March 31, 2021, 22,800,000 of the Company’s common shares (the “Share Reserve”) are reserved for issuance under the RSL Amended and Restated 2015 Equity Incentive Plan (the “RSL 2015 EIP”). At March 31, 2021, a total of 10,296,392 common shares are available for future grants under the RSL 2015 EIP. The Company’s employees, directors, and consultants are eligible to receive nonstatutory and incentive stock options, stock appreciation rights, restricted stock awards, restricted stock unit awards, and other stock awards under the RSL 2015 EIP.</w:t>
      </w:r>
    </w:p>
    <w:p>
      <w:pPr>
        <w:spacing w:after="0" w:line="111" w:lineRule="exact"/>
        <w:rPr>
          <w:sz w:val="20"/>
          <w:szCs w:val="20"/>
          <w:color w:val="auto"/>
        </w:rPr>
      </w:pPr>
    </w:p>
    <w:p>
      <w:pPr>
        <w:ind w:left="1980" w:right="899"/>
        <w:spacing w:after="0" w:line="298" w:lineRule="auto"/>
        <w:rPr>
          <w:sz w:val="20"/>
          <w:szCs w:val="20"/>
          <w:color w:val="auto"/>
        </w:rPr>
      </w:pPr>
      <w:r>
        <w:rPr>
          <w:rFonts w:ascii="Arial" w:cs="Arial" w:eastAsia="Arial" w:hAnsi="Arial"/>
          <w:sz w:val="11"/>
          <w:szCs w:val="11"/>
          <w:color w:val="auto"/>
        </w:rPr>
        <w:t>As of March 31, 2021, an aggregate of 26,558,238 of the Company’s common shares (the “Special Reserve”) were reserved for the granting under RSL 2015 EIP of performance stock options (“Performance Options”) and capped value appreciation rights (“CVARs”) to the Company’s employees, directors and consultants. At March 31, 2021, there are no common shares available for future grant under the Special Reserve.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78" w:lineRule="exact"/>
        <w:rPr>
          <w:sz w:val="20"/>
          <w:szCs w:val="20"/>
          <w:color w:val="auto"/>
        </w:rPr>
      </w:pPr>
    </w:p>
    <w:p>
      <w:pPr>
        <w:jc w:val="both"/>
        <w:ind w:left="1980" w:right="879"/>
        <w:spacing w:after="0" w:line="298" w:lineRule="auto"/>
        <w:rPr>
          <w:sz w:val="20"/>
          <w:szCs w:val="20"/>
          <w:color w:val="auto"/>
        </w:rPr>
      </w:pPr>
      <w:r>
        <w:rPr>
          <w:rFonts w:ascii="Arial" w:cs="Arial" w:eastAsia="Arial" w:hAnsi="Arial"/>
          <w:sz w:val="11"/>
          <w:szCs w:val="11"/>
          <w:color w:val="auto"/>
        </w:rPr>
        <w:t>For the years ended March 31, 2021 and 2020, the Company recorded share-based compensation expense related to stock options issued under the RSL 2015 EIP to employees and directors of approximately $32.3 million and $31.8 million, respectively, and was included in research and development and general and administrative expenses in the accompanying consolidated statements of operations.</w:t>
      </w:r>
    </w:p>
    <w:p>
      <w:pPr>
        <w:spacing w:after="0" w:line="105" w:lineRule="exact"/>
        <w:rPr>
          <w:sz w:val="20"/>
          <w:szCs w:val="20"/>
          <w:color w:val="auto"/>
        </w:rPr>
      </w:pPr>
    </w:p>
    <w:p>
      <w:pPr>
        <w:jc w:val="both"/>
        <w:ind w:left="1980" w:right="859"/>
        <w:spacing w:after="0" w:line="276" w:lineRule="auto"/>
        <w:rPr>
          <w:sz w:val="20"/>
          <w:szCs w:val="20"/>
          <w:color w:val="auto"/>
        </w:rPr>
      </w:pPr>
      <w:r>
        <w:rPr>
          <w:rFonts w:ascii="Arial" w:cs="Arial" w:eastAsia="Arial" w:hAnsi="Arial"/>
          <w:sz w:val="12"/>
          <w:szCs w:val="12"/>
          <w:color w:val="auto"/>
        </w:rPr>
        <w:t>At March 31, 2021, total unrecognized compensation expense related to non-vested stock options was approximately $70.8 million and is expected to be recognized over the remaining weighted-average service period of 2.96 years.</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estimated the fair value of each stock option on the date of grant using the Black-Scholes closed form option-pricing model applying the weighted average assumptions in the following table.</w:t>
      </w:r>
    </w:p>
    <w:p>
      <w:pPr>
        <w:sectPr>
          <w:pgSz w:w="11900" w:h="16838" w:orient="portrait"/>
          <w:cols w:equalWidth="0" w:num="1">
            <w:col w:w="10159"/>
          </w:cols>
          <w:pgMar w:left="300" w:top="372" w:right="1440" w:bottom="1440" w:gutter="0" w:footer="0" w:header="0"/>
        </w:sectPr>
      </w:pPr>
    </w:p>
    <w:p>
      <w:pPr>
        <w:spacing w:after="0" w:line="237" w:lineRule="exact"/>
        <w:rPr>
          <w:sz w:val="20"/>
          <w:szCs w:val="20"/>
          <w:color w:val="auto"/>
        </w:rPr>
      </w:pPr>
    </w:p>
    <w:p>
      <w:pPr>
        <w:ind w:left="2860"/>
        <w:spacing w:after="0"/>
        <w:rPr>
          <w:sz w:val="20"/>
          <w:szCs w:val="20"/>
          <w:color w:val="auto"/>
        </w:rPr>
      </w:pPr>
      <w:r>
        <w:rPr>
          <w:rFonts w:ascii="Arial" w:cs="Arial" w:eastAsia="Arial" w:hAnsi="Arial"/>
          <w:sz w:val="12"/>
          <w:szCs w:val="12"/>
          <w:b w:val="1"/>
          <w:bCs w:val="1"/>
          <w:color w:val="auto"/>
        </w:rPr>
        <w:t>Assumptions</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-81280</wp:posOffset>
            </wp:positionV>
            <wp:extent cx="3543300" cy="971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543300" cy="97155"/>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2"/>
          <w:szCs w:val="12"/>
          <w:color w:val="auto"/>
        </w:rPr>
        <w:t>Expected risk 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9525</wp:posOffset>
            </wp:positionV>
            <wp:extent cx="3543300" cy="914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2"/>
          <w:szCs w:val="12"/>
          <w:color w:val="auto"/>
        </w:rPr>
        <w:t>Expected term, in years</w:t>
      </w:r>
    </w:p>
    <w:p>
      <w:pPr>
        <w:spacing w:after="0" w:line="6"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Expected dividend yield</w:t>
      </w:r>
    </w:p>
    <w:p>
      <w:pPr>
        <w:spacing w:after="0" w:line="96" w:lineRule="exact"/>
        <w:rPr>
          <w:sz w:val="20"/>
          <w:szCs w:val="20"/>
          <w:color w:val="auto"/>
        </w:rPr>
      </w:pPr>
    </w:p>
    <w:p>
      <w:pPr>
        <w:jc w:val="right"/>
        <w:ind w:right="500"/>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84010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40105" cy="571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2021</w:t>
            </w:r>
          </w:p>
        </w:tc>
        <w:tc>
          <w:tcPr>
            <w:tcW w:w="580" w:type="dxa"/>
            <w:vAlign w:val="bottom"/>
          </w:tcPr>
          <w:p>
            <w:pPr>
              <w:spacing w:after="0"/>
              <w:rPr>
                <w:sz w:val="10"/>
                <w:szCs w:val="10"/>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r>
      <w:tr>
        <w:trPr>
          <w:trHeight w:val="124"/>
        </w:trPr>
        <w:tc>
          <w:tcPr>
            <w:tcW w:w="940" w:type="dxa"/>
            <w:vAlign w:val="bottom"/>
            <w:gridSpan w:val="2"/>
          </w:tcPr>
          <w:p>
            <w:pPr>
              <w:jc w:val="right"/>
              <w:ind w:right="480"/>
              <w:spacing w:after="0" w:line="124" w:lineRule="exact"/>
              <w:rPr>
                <w:sz w:val="20"/>
                <w:szCs w:val="20"/>
                <w:color w:val="auto"/>
              </w:rPr>
            </w:pPr>
            <w:r>
              <w:rPr>
                <w:rFonts w:ascii="Arial" w:cs="Arial" w:eastAsia="Arial" w:hAnsi="Arial"/>
                <w:sz w:val="12"/>
                <w:szCs w:val="12"/>
                <w:color w:val="auto"/>
              </w:rPr>
              <w:t>74.84%</w:t>
            </w:r>
          </w:p>
        </w:tc>
        <w:tc>
          <w:tcPr>
            <w:tcW w:w="4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66.47%</w:t>
            </w:r>
          </w:p>
        </w:tc>
      </w:tr>
      <w:tr>
        <w:trPr>
          <w:trHeight w:val="144"/>
        </w:trPr>
        <w:tc>
          <w:tcPr>
            <w:tcW w:w="940" w:type="dxa"/>
            <w:vAlign w:val="bottom"/>
            <w:gridSpan w:val="2"/>
          </w:tcPr>
          <w:p>
            <w:pPr>
              <w:jc w:val="right"/>
              <w:ind w:right="480"/>
              <w:spacing w:after="0"/>
              <w:rPr>
                <w:sz w:val="20"/>
                <w:szCs w:val="20"/>
                <w:color w:val="auto"/>
              </w:rPr>
            </w:pPr>
            <w:r>
              <w:rPr>
                <w:rFonts w:ascii="Arial" w:cs="Arial" w:eastAsia="Arial" w:hAnsi="Arial"/>
                <w:sz w:val="12"/>
                <w:szCs w:val="12"/>
                <w:color w:val="auto"/>
              </w:rPr>
              <w:t>0.43%</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2.27%</w:t>
            </w:r>
          </w:p>
        </w:tc>
      </w:tr>
      <w:tr>
        <w:trPr>
          <w:trHeight w:val="144"/>
        </w:trPr>
        <w:tc>
          <w:tcPr>
            <w:tcW w:w="940" w:type="dxa"/>
            <w:vAlign w:val="bottom"/>
            <w:gridSpan w:val="2"/>
          </w:tcPr>
          <w:p>
            <w:pPr>
              <w:jc w:val="right"/>
              <w:ind w:right="580"/>
              <w:spacing w:after="0"/>
              <w:rPr>
                <w:sz w:val="20"/>
                <w:szCs w:val="20"/>
                <w:color w:val="auto"/>
              </w:rPr>
            </w:pPr>
            <w:r>
              <w:rPr>
                <w:rFonts w:ascii="Arial" w:cs="Arial" w:eastAsia="Arial" w:hAnsi="Arial"/>
                <w:sz w:val="12"/>
                <w:szCs w:val="12"/>
                <w:color w:val="auto"/>
              </w:rPr>
              <w:t>6.25</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6.72</w:t>
            </w:r>
          </w:p>
        </w:tc>
      </w:tr>
      <w:tr>
        <w:trPr>
          <w:trHeight w:val="153"/>
        </w:trPr>
        <w:tc>
          <w:tcPr>
            <w:tcW w:w="940" w:type="dxa"/>
            <w:vAlign w:val="bottom"/>
            <w:gridSpan w:val="2"/>
          </w:tcPr>
          <w:p>
            <w:pPr>
              <w:jc w:val="right"/>
              <w:ind w:right="480"/>
              <w:spacing w:after="0"/>
              <w:rPr>
                <w:sz w:val="20"/>
                <w:szCs w:val="20"/>
                <w:color w:val="auto"/>
              </w:rPr>
            </w:pPr>
            <w:r>
              <w:rPr>
                <w:rFonts w:ascii="Arial" w:cs="Arial" w:eastAsia="Arial" w:hAnsi="Arial"/>
                <w:sz w:val="12"/>
                <w:szCs w:val="12"/>
                <w:color w:val="auto"/>
              </w:rPr>
              <w:t>— %</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 %</w:t>
            </w:r>
          </w:p>
        </w:tc>
      </w:tr>
    </w:tbl>
    <w:p>
      <w:pPr>
        <w:sectPr>
          <w:pgSz w:w="11900" w:h="16838" w:orient="portrait"/>
          <w:cols w:equalWidth="0" w:num="2">
            <w:col w:w="6260" w:space="720"/>
            <w:col w:w="3179"/>
          </w:cols>
          <w:pgMar w:left="300" w:top="372" w:right="1440" w:bottom="1440" w:gutter="0" w:footer="0" w:header="0"/>
          <w:type w:val="continuous"/>
        </w:sectPr>
      </w:pPr>
    </w:p>
    <w:bookmarkStart w:id="359" w:name="page360"/>
    <w:bookmarkEnd w:id="3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summary of stock option activity and data under the RSL 2015 EIP for the year ended March 31, 2021 is as follows: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Weighted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8"/>
              </w:rPr>
              <w:t>Weighted</w:t>
            </w: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98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7"/>
              </w:rPr>
              <w:t>Number of</w:t>
            </w:r>
          </w:p>
        </w:tc>
        <w:tc>
          <w:tcPr>
            <w:tcW w:w="820" w:type="dxa"/>
            <w:vAlign w:val="bottom"/>
            <w:gridSpan w:val="3"/>
          </w:tcPr>
          <w:p>
            <w:pPr>
              <w:jc w:val="center"/>
              <w:ind w:right="420"/>
              <w:spacing w:after="0" w:line="99" w:lineRule="exact"/>
              <w:rPr>
                <w:sz w:val="20"/>
                <w:szCs w:val="20"/>
                <w:color w:val="auto"/>
              </w:rPr>
            </w:pPr>
            <w:r>
              <w:rPr>
                <w:rFonts w:ascii="Arial" w:cs="Arial" w:eastAsia="Arial" w:hAnsi="Arial"/>
                <w:sz w:val="10"/>
                <w:szCs w:val="10"/>
                <w:b w:val="1"/>
                <w:bCs w:val="1"/>
                <w:color w:val="auto"/>
                <w:w w:val="80"/>
              </w:rPr>
              <w:t>Average</w:t>
            </w:r>
          </w:p>
        </w:tc>
        <w:tc>
          <w:tcPr>
            <w:tcW w:w="100" w:type="dxa"/>
            <w:vAlign w:val="bottom"/>
          </w:tcPr>
          <w:p>
            <w:pPr>
              <w:spacing w:after="0"/>
              <w:rPr>
                <w:sz w:val="8"/>
                <w:szCs w:val="8"/>
                <w:color w:val="auto"/>
              </w:rPr>
            </w:pPr>
          </w:p>
        </w:tc>
        <w:tc>
          <w:tcPr>
            <w:tcW w:w="96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Weighted</w:t>
            </w:r>
          </w:p>
        </w:tc>
        <w:tc>
          <w:tcPr>
            <w:tcW w:w="74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98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7"/>
              </w:rPr>
              <w:t>Stock</w:t>
            </w:r>
          </w:p>
        </w:tc>
        <w:tc>
          <w:tcPr>
            <w:tcW w:w="820" w:type="dxa"/>
            <w:vAlign w:val="bottom"/>
            <w:gridSpan w:val="3"/>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Exercise</w:t>
            </w:r>
          </w:p>
        </w:tc>
        <w:tc>
          <w:tcPr>
            <w:tcW w:w="10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Average Grant</w:t>
            </w:r>
          </w:p>
        </w:tc>
        <w:tc>
          <w:tcPr>
            <w:tcW w:w="74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5"/>
              </w:rPr>
              <w:t>Remaining</w:t>
            </w: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980" w:type="dxa"/>
            <w:vAlign w:val="bottom"/>
            <w:gridSpan w:val="2"/>
          </w:tcPr>
          <w:p>
            <w:pPr>
              <w:jc w:val="center"/>
              <w:ind w:right="460"/>
              <w:spacing w:after="0" w:line="114" w:lineRule="exact"/>
              <w:rPr>
                <w:sz w:val="20"/>
                <w:szCs w:val="20"/>
                <w:color w:val="auto"/>
              </w:rPr>
            </w:pPr>
            <w:r>
              <w:rPr>
                <w:rFonts w:ascii="Arial" w:cs="Arial" w:eastAsia="Arial" w:hAnsi="Arial"/>
                <w:sz w:val="10"/>
                <w:szCs w:val="10"/>
                <w:b w:val="1"/>
                <w:bCs w:val="1"/>
                <w:color w:val="auto"/>
                <w:w w:val="84"/>
              </w:rPr>
              <w:t>Options</w:t>
            </w:r>
          </w:p>
        </w:tc>
        <w:tc>
          <w:tcPr>
            <w:tcW w:w="80" w:type="dxa"/>
            <w:vAlign w:val="bottom"/>
          </w:tcPr>
          <w:p>
            <w:pPr>
              <w:spacing w:after="0"/>
              <w:rPr>
                <w:sz w:val="9"/>
                <w:szCs w:val="9"/>
                <w:color w:val="auto"/>
              </w:rPr>
            </w:pPr>
          </w:p>
        </w:tc>
        <w:tc>
          <w:tcPr>
            <w:tcW w:w="740" w:type="dxa"/>
            <w:vAlign w:val="bottom"/>
            <w:gridSpan w:val="2"/>
          </w:tcPr>
          <w:p>
            <w:pPr>
              <w:jc w:val="center"/>
              <w:ind w:right="500"/>
              <w:spacing w:after="0" w:line="114" w:lineRule="exact"/>
              <w:rPr>
                <w:sz w:val="20"/>
                <w:szCs w:val="20"/>
                <w:color w:val="auto"/>
              </w:rPr>
            </w:pPr>
            <w:r>
              <w:rPr>
                <w:rFonts w:ascii="Arial" w:cs="Arial" w:eastAsia="Arial" w:hAnsi="Arial"/>
                <w:sz w:val="10"/>
                <w:szCs w:val="10"/>
                <w:b w:val="1"/>
                <w:bCs w:val="1"/>
                <w:color w:val="auto"/>
                <w:w w:val="81"/>
              </w:rPr>
              <w:t>Price</w:t>
            </w:r>
          </w:p>
        </w:tc>
        <w:tc>
          <w:tcPr>
            <w:tcW w:w="10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Date Fair Value</w:t>
            </w: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9"/>
              </w:rPr>
              <w:t>Contractual Life</w:t>
            </w:r>
          </w:p>
        </w:tc>
        <w:tc>
          <w:tcPr>
            <w:tcW w:w="0" w:type="dxa"/>
            <w:vAlign w:val="bottom"/>
          </w:tcPr>
          <w:p>
            <w:pPr>
              <w:spacing w:after="0"/>
              <w:rPr>
                <w:sz w:val="1"/>
                <w:szCs w:val="1"/>
                <w:color w:val="auto"/>
              </w:rPr>
            </w:pPr>
          </w:p>
        </w:tc>
      </w:tr>
      <w:tr>
        <w:trPr>
          <w:trHeight w:val="133"/>
        </w:trPr>
        <w:tc>
          <w:tcPr>
            <w:tcW w:w="31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Stock options outstanding at March 31, 2020</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8,176,814</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24.52</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ind w:left="280"/>
              <w:spacing w:after="0" w:line="133" w:lineRule="exact"/>
              <w:rPr>
                <w:sz w:val="20"/>
                <w:szCs w:val="20"/>
                <w:color w:val="auto"/>
              </w:rPr>
            </w:pPr>
            <w:r>
              <w:rPr>
                <w:rFonts w:ascii="Arial" w:cs="Arial" w:eastAsia="Arial" w:hAnsi="Arial"/>
                <w:sz w:val="12"/>
                <w:szCs w:val="12"/>
                <w:color w:val="auto"/>
                <w:w w:val="79"/>
              </w:rPr>
              <w:t>16.53</w:t>
            </w:r>
          </w:p>
        </w:tc>
        <w:tc>
          <w:tcPr>
            <w:tcW w:w="4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Granted</w:t>
            </w:r>
          </w:p>
        </w:tc>
        <w:tc>
          <w:tcPr>
            <w:tcW w:w="980" w:type="dxa"/>
            <w:vAlign w:val="bottom"/>
            <w:gridSpan w:val="2"/>
          </w:tcPr>
          <w:p>
            <w:pPr>
              <w:jc w:val="right"/>
              <w:ind w:right="460"/>
              <w:spacing w:after="0"/>
              <w:rPr>
                <w:sz w:val="20"/>
                <w:szCs w:val="20"/>
                <w:color w:val="auto"/>
              </w:rPr>
            </w:pPr>
            <w:r>
              <w:rPr>
                <w:rFonts w:ascii="Arial" w:cs="Arial" w:eastAsia="Arial" w:hAnsi="Arial"/>
                <w:sz w:val="12"/>
                <w:szCs w:val="12"/>
                <w:color w:val="auto"/>
                <w:w w:val="93"/>
              </w:rPr>
              <w:t>1,482,604</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420"/>
              <w:spacing w:after="0"/>
              <w:rPr>
                <w:sz w:val="20"/>
                <w:szCs w:val="20"/>
                <w:color w:val="auto"/>
              </w:rPr>
            </w:pPr>
            <w:r>
              <w:rPr>
                <w:rFonts w:ascii="Arial" w:cs="Arial" w:eastAsia="Arial" w:hAnsi="Arial"/>
                <w:sz w:val="12"/>
                <w:szCs w:val="12"/>
                <w:color w:val="auto"/>
                <w:w w:val="99"/>
              </w:rPr>
              <w:t>38.71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280"/>
              <w:spacing w:after="0"/>
              <w:rPr>
                <w:sz w:val="20"/>
                <w:szCs w:val="20"/>
                <w:color w:val="auto"/>
              </w:rPr>
            </w:pPr>
            <w:r>
              <w:rPr>
                <w:rFonts w:ascii="Arial" w:cs="Arial" w:eastAsia="Arial" w:hAnsi="Arial"/>
                <w:sz w:val="12"/>
                <w:szCs w:val="12"/>
                <w:color w:val="auto"/>
              </w:rPr>
              <w:t>25.37</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Forfeited/Canceled</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(270,047)</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99"/>
              </w:rPr>
              <w:t>29.89</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19.85</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2"/>
                <w:szCs w:val="12"/>
                <w:color w:val="auto"/>
              </w:rPr>
              <w:t>Stock options outstanding at March 31, 2021</w:t>
            </w: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2"/>
                <w:szCs w:val="12"/>
                <w:color w:val="auto"/>
                <w:w w:val="99"/>
              </w:rPr>
              <w:t>26.61</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ind w:left="280"/>
              <w:spacing w:after="0"/>
              <w:rPr>
                <w:sz w:val="20"/>
                <w:szCs w:val="20"/>
                <w:color w:val="auto"/>
              </w:rPr>
            </w:pPr>
            <w:r>
              <w:rPr>
                <w:rFonts w:ascii="Arial" w:cs="Arial" w:eastAsia="Arial" w:hAnsi="Arial"/>
                <w:sz w:val="12"/>
                <w:szCs w:val="12"/>
                <w:color w:val="auto"/>
              </w:rPr>
              <w:t>17.90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7.26</w:t>
            </w:r>
          </w:p>
        </w:tc>
        <w:tc>
          <w:tcPr>
            <w:tcW w:w="0" w:type="dxa"/>
            <w:vAlign w:val="bottom"/>
          </w:tcPr>
          <w:p>
            <w:pPr>
              <w:spacing w:after="0" w:line="20" w:lineRule="exact"/>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color w:val="auto"/>
                <w:w w:val="93"/>
              </w:rPr>
              <w:t>9,389,371</w:t>
            </w: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Stock options exercisable at March 31, 2021</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w w:val="93"/>
              </w:rPr>
              <w:t>5,533,848</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99"/>
              </w:rPr>
              <w:t>21.52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14.95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At March 31, 2021 and 2020, there were 5,533,848 and 4,123,953 vested stock options, respectively. Additional information regarding stock options is set forth below (in thousands, except per share data).</w:t>
      </w:r>
    </w:p>
    <w:p>
      <w:pPr>
        <w:spacing w:after="0" w:line="13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ind w:left="20"/>
              <w:spacing w:after="0"/>
              <w:rPr>
                <w:sz w:val="20"/>
                <w:szCs w:val="20"/>
                <w:color w:val="auto"/>
              </w:rPr>
            </w:pPr>
            <w:r>
              <w:rPr>
                <w:rFonts w:ascii="Arial" w:cs="Arial" w:eastAsia="Arial" w:hAnsi="Arial"/>
                <w:sz w:val="10"/>
                <w:szCs w:val="10"/>
                <w:b w:val="1"/>
                <w:bCs w:val="1"/>
                <w:color w:val="auto"/>
                <w:w w:val="98"/>
              </w:rPr>
              <w:t>Years Ended March 31,</w:t>
            </w:r>
          </w:p>
        </w:tc>
      </w:tr>
      <w:tr>
        <w:trPr>
          <w:trHeight w:val="97"/>
        </w:trPr>
        <w:tc>
          <w:tcPr>
            <w:tcW w:w="4260" w:type="dxa"/>
            <w:vAlign w:val="bottom"/>
            <w:tcBorders>
              <w:bottom w:val="single" w:sz="8" w:color="CCEEFF"/>
            </w:tcBorders>
          </w:tcPr>
          <w:p>
            <w:pPr>
              <w:spacing w:after="0"/>
              <w:rPr>
                <w:sz w:val="8"/>
                <w:szCs w:val="8"/>
                <w:color w:val="auto"/>
              </w:rPr>
            </w:pPr>
          </w:p>
        </w:tc>
        <w:tc>
          <w:tcPr>
            <w:tcW w:w="7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66"/>
              <w:spacing w:after="0" w:line="97" w:lineRule="exact"/>
              <w:rPr>
                <w:sz w:val="20"/>
                <w:szCs w:val="20"/>
                <w:color w:val="auto"/>
              </w:rPr>
            </w:pPr>
            <w:r>
              <w:rPr>
                <w:rFonts w:ascii="Arial" w:cs="Arial" w:eastAsia="Arial" w:hAnsi="Arial"/>
                <w:sz w:val="10"/>
                <w:szCs w:val="10"/>
                <w:b w:val="1"/>
                <w:bCs w:val="1"/>
                <w:color w:val="auto"/>
                <w:w w:val="98"/>
              </w:rPr>
              <w:t>2021</w:t>
            </w:r>
          </w:p>
        </w:tc>
        <w:tc>
          <w:tcPr>
            <w:tcW w:w="28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84"/>
              <w:spacing w:after="0" w:line="97"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CCEEFF"/>
            </w:tcBorders>
          </w:tcPr>
          <w:p>
            <w:pPr>
              <w:spacing w:after="0"/>
              <w:rPr>
                <w:sz w:val="8"/>
                <w:szCs w:val="8"/>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Grant date fair value of stock options vested</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25,711</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33,789</w:t>
            </w:r>
          </w:p>
        </w:tc>
        <w:tc>
          <w:tcPr>
            <w:tcW w:w="40" w:type="dxa"/>
            <w:vAlign w:val="bottom"/>
            <w:shd w:val="clear" w:color="auto" w:fill="CCEEFF"/>
          </w:tcPr>
          <w:p>
            <w:pPr>
              <w:spacing w:after="0"/>
              <w:rPr>
                <w:sz w:val="11"/>
                <w:szCs w:val="11"/>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Weighted-average grant date fair value per share of stock options granted</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25.37</w:t>
            </w:r>
          </w:p>
        </w:tc>
        <w:tc>
          <w:tcPr>
            <w:tcW w:w="360" w:type="dxa"/>
            <w:vAlign w:val="bottom"/>
            <w:gridSpan w:val="2"/>
          </w:tcPr>
          <w:p>
            <w:pPr>
              <w:jc w:val="right"/>
              <w:ind w:right="16"/>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20.63</w:t>
            </w:r>
          </w:p>
        </w:tc>
        <w:tc>
          <w:tcPr>
            <w:tcW w:w="40" w:type="dxa"/>
            <w:vAlign w:val="bottom"/>
          </w:tcPr>
          <w:p>
            <w:pPr>
              <w:spacing w:after="0"/>
              <w:rPr>
                <w:sz w:val="13"/>
                <w:szCs w:val="13"/>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78"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Restricted stock units will vest upon the achievement of both time-based service requirements and liquidity requirements on or before the grant expiration date. Restricted stock units expire eight years after the date of grant. During the year ended March 31, 2021, the Company recorded no share-based compensation expense related to these restricted stock units as the liquidity event requirement had not been met and was deemed not probable of being met. At March 31, 2021, there was approximately $83.8 million of unrecognized compensation expense related to non-vested restricted stock units. The Company will recognize the expense upon achievement of both the time-based service requirement and liquidity requirements through the requisite service period.</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summary of restricted stock units under the RSL 2015 EIP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87"/>
              </w:rPr>
              <w:t>Number of</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w w:val="87"/>
              </w:rPr>
              <w:t>Weighted Average</w:t>
            </w:r>
          </w:p>
        </w:tc>
      </w:tr>
      <w:tr>
        <w:trPr>
          <w:trHeight w:val="99"/>
        </w:trPr>
        <w:tc>
          <w:tcPr>
            <w:tcW w:w="3460" w:type="dxa"/>
            <w:vAlign w:val="bottom"/>
          </w:tcPr>
          <w:p>
            <w:pPr>
              <w:spacing w:after="0"/>
              <w:rPr>
                <w:sz w:val="8"/>
                <w:szCs w:val="8"/>
                <w:color w:val="auto"/>
              </w:rPr>
            </w:pPr>
          </w:p>
        </w:tc>
        <w:tc>
          <w:tcPr>
            <w:tcW w:w="1340" w:type="dxa"/>
            <w:vAlign w:val="bottom"/>
            <w:gridSpan w:val="3"/>
          </w:tcPr>
          <w:p>
            <w:pPr>
              <w:jc w:val="center"/>
              <w:ind w:right="660"/>
              <w:spacing w:after="0" w:line="99" w:lineRule="exact"/>
              <w:rPr>
                <w:sz w:val="20"/>
                <w:szCs w:val="20"/>
                <w:color w:val="auto"/>
              </w:rPr>
            </w:pPr>
            <w:r>
              <w:rPr>
                <w:rFonts w:ascii="Arial" w:cs="Arial" w:eastAsia="Arial" w:hAnsi="Arial"/>
                <w:sz w:val="10"/>
                <w:szCs w:val="10"/>
                <w:b w:val="1"/>
                <w:bCs w:val="1"/>
                <w:color w:val="auto"/>
                <w:w w:val="86"/>
              </w:rPr>
              <w:t>Restricted Stock</w:t>
            </w:r>
          </w:p>
        </w:tc>
        <w:tc>
          <w:tcPr>
            <w:tcW w:w="78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Grant Date Fair</w:t>
            </w:r>
          </w:p>
        </w:tc>
      </w:tr>
      <w:tr>
        <w:trPr>
          <w:trHeight w:val="113"/>
        </w:trPr>
        <w:tc>
          <w:tcPr>
            <w:tcW w:w="3460" w:type="dxa"/>
            <w:vAlign w:val="bottom"/>
          </w:tcPr>
          <w:p>
            <w:pPr>
              <w:spacing w:after="0"/>
              <w:rPr>
                <w:sz w:val="9"/>
                <w:szCs w:val="9"/>
                <w:color w:val="auto"/>
              </w:rPr>
            </w:pPr>
          </w:p>
        </w:tc>
        <w:tc>
          <w:tcPr>
            <w:tcW w:w="1340" w:type="dxa"/>
            <w:vAlign w:val="bottom"/>
            <w:gridSpan w:val="3"/>
          </w:tcPr>
          <w:p>
            <w:pPr>
              <w:jc w:val="center"/>
              <w:ind w:right="680"/>
              <w:spacing w:after="0" w:line="114" w:lineRule="exact"/>
              <w:rPr>
                <w:sz w:val="20"/>
                <w:szCs w:val="20"/>
                <w:color w:val="auto"/>
              </w:rPr>
            </w:pPr>
            <w:r>
              <w:rPr>
                <w:rFonts w:ascii="Arial" w:cs="Arial" w:eastAsia="Arial" w:hAnsi="Arial"/>
                <w:sz w:val="10"/>
                <w:szCs w:val="10"/>
                <w:b w:val="1"/>
                <w:bCs w:val="1"/>
                <w:color w:val="auto"/>
                <w:w w:val="87"/>
              </w:rPr>
              <w:t>Units</w:t>
            </w:r>
          </w:p>
        </w:tc>
        <w:tc>
          <w:tcPr>
            <w:tcW w:w="1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Value</w:t>
            </w:r>
          </w:p>
        </w:tc>
      </w:tr>
      <w:tr>
        <w:trPr>
          <w:trHeight w:val="133"/>
        </w:trPr>
        <w:tc>
          <w:tcPr>
            <w:tcW w:w="34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2020</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1,008,175</w:t>
            </w: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32.50</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460" w:type="dxa"/>
            <w:vAlign w:val="bottom"/>
          </w:tcPr>
          <w:p>
            <w:pPr>
              <w:spacing w:after="0"/>
              <w:rPr>
                <w:sz w:val="20"/>
                <w:szCs w:val="20"/>
                <w:color w:val="auto"/>
              </w:rPr>
            </w:pPr>
            <w:r>
              <w:rPr>
                <w:rFonts w:ascii="Arial" w:cs="Arial" w:eastAsia="Arial" w:hAnsi="Arial"/>
                <w:sz w:val="12"/>
                <w:szCs w:val="12"/>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1,454,199</w:t>
            </w:r>
          </w:p>
        </w:tc>
        <w:tc>
          <w:tcPr>
            <w:tcW w:w="6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39.19</w:t>
            </w:r>
          </w:p>
        </w:tc>
      </w:tr>
      <w:tr>
        <w:trPr>
          <w:trHeight w:val="144"/>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(169,636)</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36.36</w:t>
            </w:r>
          </w:p>
        </w:tc>
      </w:tr>
      <w:tr>
        <w:trPr>
          <w:trHeight w:val="149"/>
        </w:trPr>
        <w:tc>
          <w:tcPr>
            <w:tcW w:w="3460" w:type="dxa"/>
            <w:vAlign w:val="bottom"/>
          </w:tcPr>
          <w:p>
            <w:pPr>
              <w:spacing w:after="0"/>
              <w:rPr>
                <w:sz w:val="20"/>
                <w:szCs w:val="20"/>
                <w:color w:val="auto"/>
              </w:rPr>
            </w:pPr>
            <w:r>
              <w:rPr>
                <w:rFonts w:ascii="Arial" w:cs="Arial" w:eastAsia="Arial" w:hAnsi="Arial"/>
                <w:sz w:val="12"/>
                <w:szCs w:val="12"/>
                <w:color w:val="auto"/>
              </w:rPr>
              <w:t>Non-vested balance at March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2,292,738</w:t>
            </w:r>
          </w:p>
        </w:tc>
        <w:tc>
          <w:tcPr>
            <w:tcW w:w="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36.53</w:t>
            </w: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 Options</w:t>
      </w:r>
    </w:p>
    <w:p>
      <w:pPr>
        <w:spacing w:after="0" w:line="78"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Performance Options will vest upon the achievement of both time-based service requirements and liquidity requirements on or before the grant expiration date of March 31, 2026. During the year ended March 31, 2021, the Company recorded no share-based compensation expense related to these Performance Options as the liquidity event requirement had not been met and was deemed not probable of being met. At March 31, 2021, there was approximately $337.8 million of unrecognized compensation expense related to non-vested</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72" w:right="1440" w:bottom="1440" w:gutter="0" w:footer="0" w:header="0"/>
        </w:sectPr>
      </w:pPr>
    </w:p>
    <w:bookmarkStart w:id="360" w:name="page361"/>
    <w:bookmarkEnd w:id="3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Performance Options. The Company will recognize the expense upon achievement of both the time-based service requirement and liquidity requirements through the requisite service period.</w:t>
      </w:r>
    </w:p>
    <w:p>
      <w:pPr>
        <w:spacing w:after="0" w:line="115"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Company estimated the fair value of each Performance Option on the date of grant using the Black-Scholes closed form option-pricing model applying the weighted average assumptions in the following table.</w:t>
      </w:r>
    </w:p>
    <w:p>
      <w:pPr>
        <w:sectPr>
          <w:pgSz w:w="11900" w:h="16838" w:orient="portrait"/>
          <w:cols w:equalWidth="0" w:num="1">
            <w:col w:w="10159"/>
          </w:cols>
          <w:pgMar w:left="300" w:top="372" w:right="1440" w:bottom="1440" w:gutter="0" w:footer="0" w:header="0"/>
        </w:sectPr>
      </w:pP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2"/>
          <w:szCs w:val="12"/>
          <w:b w:val="1"/>
          <w:bCs w:val="1"/>
          <w:color w:val="auto"/>
        </w:rPr>
        <w:t>Assumptions</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11"/>
          <w:szCs w:val="11"/>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-74295</wp:posOffset>
            </wp:positionV>
            <wp:extent cx="3166110" cy="971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166110" cy="971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0"/>
          <w:szCs w:val="10"/>
          <w:color w:val="auto"/>
        </w:rPr>
        <w:t>Expected risk 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24130</wp:posOffset>
            </wp:positionV>
            <wp:extent cx="3166110" cy="914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Expected term</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Expected dividend yield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2159"/>
        <w:spacing w:after="0"/>
        <w:rPr>
          <w:sz w:val="20"/>
          <w:szCs w:val="20"/>
          <w:color w:val="auto"/>
        </w:rPr>
      </w:pPr>
      <w:r>
        <w:rPr>
          <w:rFonts w:ascii="Arial" w:cs="Arial" w:eastAsia="Arial" w:hAnsi="Arial"/>
          <w:sz w:val="8"/>
          <w:szCs w:val="8"/>
          <w:b w:val="1"/>
          <w:bCs w:val="1"/>
          <w:u w:val="single" w:color="auto"/>
          <w:color w:val="auto"/>
        </w:rPr>
        <w:t>Year Ended March 31,</w:t>
      </w:r>
    </w:p>
    <w:p>
      <w:pPr>
        <w:spacing w:after="0" w:line="61" w:lineRule="exact"/>
        <w:rPr>
          <w:sz w:val="20"/>
          <w:szCs w:val="20"/>
          <w:color w:val="auto"/>
        </w:rPr>
      </w:pPr>
    </w:p>
    <w:p>
      <w:pPr>
        <w:jc w:val="center"/>
        <w:ind w:right="2159"/>
        <w:spacing w:after="0"/>
        <w:rPr>
          <w:sz w:val="20"/>
          <w:szCs w:val="20"/>
          <w:color w:val="auto"/>
        </w:rPr>
      </w:pPr>
      <w:r>
        <w:rPr>
          <w:rFonts w:ascii="Arial" w:cs="Arial" w:eastAsia="Arial" w:hAnsi="Arial"/>
          <w:sz w:val="10"/>
          <w:szCs w:val="10"/>
          <w:b w:val="1"/>
          <w:bCs w:val="1"/>
          <w:color w:val="auto"/>
        </w:rPr>
        <w:t>2020</w:t>
      </w:r>
    </w:p>
    <w:p>
      <w:pPr>
        <w:spacing w:after="0" w:line="8"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73.60%</w:t>
      </w:r>
    </w:p>
    <w:p>
      <w:pPr>
        <w:spacing w:after="0" w:line="5"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0.62%</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6 years</w:t>
      </w:r>
    </w:p>
    <w:p>
      <w:pPr>
        <w:spacing w:after="0" w:line="6"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 %</w:t>
      </w:r>
    </w:p>
    <w:p>
      <w:pPr>
        <w:spacing w:after="0" w:line="141" w:lineRule="exact"/>
        <w:rPr>
          <w:sz w:val="20"/>
          <w:szCs w:val="20"/>
          <w:color w:val="auto"/>
        </w:rPr>
      </w:pPr>
    </w:p>
    <w:p>
      <w:pPr>
        <w:sectPr>
          <w:pgSz w:w="11900" w:h="16838" w:orient="portrait"/>
          <w:cols w:equalWidth="0" w:num="2">
            <w:col w:w="6360" w:space="720"/>
            <w:col w:w="3079"/>
          </w:cols>
          <w:pgMar w:left="300" w:top="372" w:right="1440" w:bottom="1440" w:gutter="0" w:footer="0" w:header="0"/>
          <w:type w:val="continuous"/>
        </w:sectPr>
      </w:pPr>
    </w:p>
    <w:p>
      <w:pPr>
        <w:jc w:val="center"/>
        <w:ind w:right="119"/>
        <w:spacing w:after="0"/>
        <w:rPr>
          <w:sz w:val="20"/>
          <w:szCs w:val="20"/>
          <w:color w:val="auto"/>
        </w:rPr>
      </w:pPr>
      <w:r>
        <w:rPr>
          <w:rFonts w:ascii="Arial" w:cs="Arial" w:eastAsia="Arial" w:hAnsi="Arial"/>
          <w:sz w:val="10"/>
          <w:szCs w:val="10"/>
          <w:color w:val="auto"/>
        </w:rPr>
        <w:t>A summary of Performance Option activity and data under the RSL 2015 EIP for the year ended March 31, 2021 is as follows:</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8"/>
              </w:rPr>
              <w:t>Weighted</w:t>
            </w:r>
          </w:p>
        </w:tc>
        <w:tc>
          <w:tcPr>
            <w:tcW w:w="100" w:type="dxa"/>
            <w:vAlign w:val="bottom"/>
          </w:tcPr>
          <w:p>
            <w:pPr>
              <w:spacing w:after="0"/>
              <w:rPr>
                <w:sz w:val="8"/>
                <w:szCs w:val="8"/>
                <w:color w:val="auto"/>
              </w:rPr>
            </w:pPr>
          </w:p>
        </w:tc>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8"/>
              </w:rPr>
              <w:t>Weighted</w:t>
            </w:r>
          </w:p>
        </w:tc>
        <w:tc>
          <w:tcPr>
            <w:tcW w:w="74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3520" w:type="dxa"/>
            <w:vAlign w:val="bottom"/>
          </w:tcPr>
          <w:p>
            <w:pPr>
              <w:spacing w:after="0"/>
              <w:rPr>
                <w:sz w:val="8"/>
                <w:szCs w:val="8"/>
                <w:color w:val="auto"/>
              </w:rPr>
            </w:pPr>
          </w:p>
        </w:tc>
        <w:tc>
          <w:tcPr>
            <w:tcW w:w="820" w:type="dxa"/>
            <w:vAlign w:val="bottom"/>
            <w:gridSpan w:val="3"/>
          </w:tcPr>
          <w:p>
            <w:pPr>
              <w:jc w:val="right"/>
              <w:ind w:right="320"/>
              <w:spacing w:after="0" w:line="99" w:lineRule="exact"/>
              <w:rPr>
                <w:sz w:val="20"/>
                <w:szCs w:val="20"/>
                <w:color w:val="auto"/>
              </w:rPr>
            </w:pPr>
            <w:r>
              <w:rPr>
                <w:rFonts w:ascii="Arial" w:cs="Arial" w:eastAsia="Arial" w:hAnsi="Arial"/>
                <w:sz w:val="10"/>
                <w:szCs w:val="10"/>
                <w:b w:val="1"/>
                <w:bCs w:val="1"/>
                <w:color w:val="auto"/>
                <w:w w:val="95"/>
              </w:rPr>
              <w:t>Number of</w:t>
            </w:r>
          </w:p>
        </w:tc>
        <w:tc>
          <w:tcPr>
            <w:tcW w:w="8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0"/>
              </w:rPr>
              <w:t>Average</w:t>
            </w:r>
          </w:p>
        </w:tc>
        <w:tc>
          <w:tcPr>
            <w:tcW w:w="8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Average Grant</w:t>
            </w:r>
          </w:p>
        </w:tc>
        <w:tc>
          <w:tcPr>
            <w:tcW w:w="74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5"/>
              </w:rPr>
              <w:t>Remaining</w:t>
            </w:r>
          </w:p>
        </w:tc>
      </w:tr>
      <w:tr>
        <w:trPr>
          <w:trHeight w:val="113"/>
        </w:trPr>
        <w:tc>
          <w:tcPr>
            <w:tcW w:w="3520" w:type="dxa"/>
            <w:vAlign w:val="bottom"/>
          </w:tcPr>
          <w:p>
            <w:pPr>
              <w:spacing w:after="0"/>
              <w:rPr>
                <w:sz w:val="9"/>
                <w:szCs w:val="9"/>
                <w:color w:val="auto"/>
              </w:rPr>
            </w:pPr>
          </w:p>
        </w:tc>
        <w:tc>
          <w:tcPr>
            <w:tcW w:w="820" w:type="dxa"/>
            <w:vAlign w:val="bottom"/>
            <w:gridSpan w:val="3"/>
          </w:tcPr>
          <w:p>
            <w:pPr>
              <w:jc w:val="right"/>
              <w:ind w:right="380"/>
              <w:spacing w:after="0" w:line="114" w:lineRule="exact"/>
              <w:rPr>
                <w:sz w:val="20"/>
                <w:szCs w:val="20"/>
                <w:color w:val="auto"/>
              </w:rPr>
            </w:pPr>
            <w:r>
              <w:rPr>
                <w:rFonts w:ascii="Arial" w:cs="Arial" w:eastAsia="Arial" w:hAnsi="Arial"/>
                <w:sz w:val="10"/>
                <w:szCs w:val="10"/>
                <w:b w:val="1"/>
                <w:bCs w:val="1"/>
                <w:color w:val="auto"/>
              </w:rPr>
              <w:t>Options</w:t>
            </w:r>
          </w:p>
        </w:tc>
        <w:tc>
          <w:tcPr>
            <w:tcW w:w="8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Exercise Price</w:t>
            </w:r>
          </w:p>
        </w:tc>
        <w:tc>
          <w:tcPr>
            <w:tcW w:w="8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Date Fair Value</w:t>
            </w:r>
          </w:p>
        </w:tc>
        <w:tc>
          <w:tcPr>
            <w:tcW w:w="74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9"/>
              </w:rPr>
              <w:t>Contractual Life</w:t>
            </w:r>
          </w:p>
        </w:tc>
      </w:tr>
      <w:tr>
        <w:trPr>
          <w:trHeight w:val="133"/>
        </w:trPr>
        <w:tc>
          <w:tcPr>
            <w:tcW w:w="35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Performance Options outstanding at March 31, 2020</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14,518,870</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38.97</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23.78</w:t>
            </w: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6.00</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2"/>
                <w:szCs w:val="12"/>
                <w:color w:val="auto"/>
              </w:rPr>
              <w:t>Granted</w:t>
            </w:r>
          </w:p>
        </w:tc>
        <w:tc>
          <w:tcPr>
            <w:tcW w:w="8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(93,207)</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46.38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22.18</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520" w:type="dxa"/>
            <w:vAlign w:val="bottom"/>
          </w:tcPr>
          <w:p>
            <w:pPr>
              <w:spacing w:after="0"/>
              <w:rPr>
                <w:sz w:val="20"/>
                <w:szCs w:val="20"/>
                <w:color w:val="auto"/>
              </w:rPr>
            </w:pPr>
            <w:r>
              <w:rPr>
                <w:rFonts w:ascii="Arial" w:cs="Arial" w:eastAsia="Arial" w:hAnsi="Arial"/>
                <w:sz w:val="12"/>
                <w:szCs w:val="12"/>
                <w:color w:val="auto"/>
              </w:rPr>
              <w:t>Performance Options outstanding at March 31,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14,425,663</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38.93</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23.42</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5.00</w:t>
            </w: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 Performance Options were exercisable at March 31, 2021.</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CVARs</w:t>
      </w:r>
    </w:p>
    <w:p>
      <w:pPr>
        <w:spacing w:after="0" w:line="78" w:lineRule="exact"/>
        <w:rPr>
          <w:sz w:val="20"/>
          <w:szCs w:val="20"/>
          <w:color w:val="auto"/>
        </w:rPr>
      </w:pPr>
    </w:p>
    <w:p>
      <w:pPr>
        <w:ind w:left="1980" w:right="959"/>
        <w:spacing w:after="0" w:line="281" w:lineRule="auto"/>
        <w:rPr>
          <w:sz w:val="20"/>
          <w:szCs w:val="20"/>
          <w:color w:val="auto"/>
        </w:rPr>
      </w:pPr>
      <w:r>
        <w:rPr>
          <w:rFonts w:ascii="Arial" w:cs="Arial" w:eastAsia="Arial" w:hAnsi="Arial"/>
          <w:sz w:val="11"/>
          <w:szCs w:val="11"/>
          <w:color w:val="auto"/>
        </w:rPr>
        <w:t>CVARs will vest upon the achievement of both time-based service requirements and liquidity requirements on or before the grant expiration date of March 31, 2026. At settlement, each CVAR pays in common shares the excess of (a) the lesser of (i) the fair market value of a common share as of the settlement date or (ii) the cap of $37.10, over (b) the hurdle price of either $18.70 or $33.63, as applicable to each grant. During the year ended March 31, 2021, the Company recorded no share-based compensation expense related to these CVARs as the liquidity event requirement had not been met and was deemed not probable of being met. At March 31, 2021, there was approximately $23.0 million of unrecognized compensation expense related to non-vested CVARs. The Company will recognize the expense upon achievement of both the time-based service requirement and liquidity requirements through the requisite service period.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summary of CVARs under the RSL 2015 EIP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w w:val="87"/>
              </w:rPr>
              <w:t>Weighted Average</w:t>
            </w:r>
          </w:p>
        </w:tc>
      </w:tr>
      <w:tr>
        <w:trPr>
          <w:trHeight w:val="99"/>
        </w:trPr>
        <w:tc>
          <w:tcPr>
            <w:tcW w:w="2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Grant Date Fair</w:t>
            </w:r>
          </w:p>
        </w:tc>
      </w:tr>
      <w:tr>
        <w:trPr>
          <w:trHeight w:val="113"/>
        </w:trPr>
        <w:tc>
          <w:tcPr>
            <w:tcW w:w="2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40" w:type="dxa"/>
            <w:vAlign w:val="bottom"/>
            <w:gridSpan w:val="2"/>
          </w:tcPr>
          <w:p>
            <w:pPr>
              <w:jc w:val="right"/>
              <w:ind w:right="660"/>
              <w:spacing w:after="0" w:line="114" w:lineRule="exact"/>
              <w:rPr>
                <w:sz w:val="20"/>
                <w:szCs w:val="20"/>
                <w:color w:val="auto"/>
              </w:rPr>
            </w:pPr>
            <w:r>
              <w:rPr>
                <w:rFonts w:ascii="Arial" w:cs="Arial" w:eastAsia="Arial" w:hAnsi="Arial"/>
                <w:sz w:val="10"/>
                <w:szCs w:val="10"/>
                <w:b w:val="1"/>
                <w:bCs w:val="1"/>
                <w:color w:val="auto"/>
                <w:w w:val="87"/>
              </w:rPr>
              <w:t>Number of CVARs</w:t>
            </w:r>
          </w:p>
        </w:tc>
        <w:tc>
          <w:tcPr>
            <w:tcW w:w="1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Value</w:t>
            </w: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2020</w:t>
            </w:r>
          </w:p>
        </w:tc>
        <w:tc>
          <w:tcPr>
            <w:tcW w:w="1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11,088,658</w:t>
            </w: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center"/>
              <w:ind w:left="302"/>
              <w:spacing w:after="0" w:line="133" w:lineRule="exact"/>
              <w:rPr>
                <w:sz w:val="20"/>
                <w:szCs w:val="20"/>
                <w:color w:val="auto"/>
              </w:rPr>
            </w:pPr>
            <w:r>
              <w:rPr>
                <w:rFonts w:ascii="Arial" w:cs="Arial" w:eastAsia="Arial" w:hAnsi="Arial"/>
                <w:sz w:val="12"/>
                <w:szCs w:val="12"/>
                <w:color w:val="auto"/>
                <w:w w:val="93"/>
              </w:rPr>
              <w:t>2.07</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Granted</w:t>
            </w:r>
          </w:p>
        </w:tc>
        <w:tc>
          <w:tcPr>
            <w:tcW w:w="1100" w:type="dxa"/>
            <w:vAlign w:val="bottom"/>
          </w:tcPr>
          <w:p>
            <w:pPr>
              <w:spacing w:after="0"/>
              <w:rPr>
                <w:sz w:val="12"/>
                <w:szCs w:val="12"/>
                <w:color w:val="auto"/>
              </w:rPr>
            </w:pPr>
          </w:p>
        </w:tc>
        <w:tc>
          <w:tcPr>
            <w:tcW w:w="144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42"/>
              <w:spacing w:after="0"/>
              <w:rPr>
                <w:sz w:val="20"/>
                <w:szCs w:val="20"/>
                <w:color w:val="auto"/>
              </w:rPr>
            </w:pPr>
            <w:r>
              <w:rPr>
                <w:rFonts w:ascii="Arial" w:cs="Arial" w:eastAsia="Arial" w:hAnsi="Arial"/>
                <w:sz w:val="12"/>
                <w:szCs w:val="12"/>
                <w:color w:val="auto"/>
                <w:w w:val="99"/>
              </w:rPr>
              <w:t>—</w:t>
            </w: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r>
      <w:tr>
        <w:trPr>
          <w:trHeight w:val="151"/>
        </w:trPr>
        <w:tc>
          <w:tcPr>
            <w:tcW w:w="2260" w:type="dxa"/>
            <w:vAlign w:val="bottom"/>
          </w:tcPr>
          <w:p>
            <w:pPr>
              <w:spacing w:after="0"/>
              <w:rPr>
                <w:sz w:val="20"/>
                <w:szCs w:val="20"/>
                <w:color w:val="auto"/>
              </w:rPr>
            </w:pPr>
            <w:r>
              <w:rPr>
                <w:rFonts w:ascii="Arial" w:cs="Arial" w:eastAsia="Arial" w:hAnsi="Arial"/>
                <w:sz w:val="12"/>
                <w:szCs w:val="12"/>
                <w:color w:val="auto"/>
              </w:rPr>
              <w:t>Non-vested balance at March 31, 2021</w:t>
            </w:r>
          </w:p>
        </w:tc>
        <w:tc>
          <w:tcPr>
            <w:tcW w:w="1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11,088,658</w:t>
            </w:r>
          </w:p>
        </w:tc>
        <w:tc>
          <w:tcPr>
            <w:tcW w:w="6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62"/>
              <w:spacing w:after="0"/>
              <w:rPr>
                <w:sz w:val="20"/>
                <w:szCs w:val="20"/>
                <w:color w:val="auto"/>
              </w:rPr>
            </w:pPr>
            <w:r>
              <w:rPr>
                <w:rFonts w:ascii="Arial" w:cs="Arial" w:eastAsia="Arial" w:hAnsi="Arial"/>
                <w:sz w:val="12"/>
                <w:szCs w:val="12"/>
                <w:color w:val="auto"/>
                <w:w w:val="93"/>
              </w:rPr>
              <w:t>2.07</w:t>
            </w:r>
          </w:p>
        </w:tc>
      </w:tr>
      <w:tr>
        <w:trPr>
          <w:trHeight w:val="250"/>
        </w:trPr>
        <w:tc>
          <w:tcPr>
            <w:tcW w:w="2260" w:type="dxa"/>
            <w:vAlign w:val="bottom"/>
          </w:tcPr>
          <w:p>
            <w:pPr>
              <w:spacing w:after="0"/>
              <w:rPr>
                <w:sz w:val="21"/>
                <w:szCs w:val="21"/>
                <w:color w:val="auto"/>
              </w:rPr>
            </w:pPr>
          </w:p>
        </w:tc>
        <w:tc>
          <w:tcPr>
            <w:tcW w:w="2540" w:type="dxa"/>
            <w:vAlign w:val="bottom"/>
            <w:gridSpan w:val="3"/>
          </w:tcPr>
          <w:p>
            <w:pPr>
              <w:ind w:left="420"/>
              <w:spacing w:after="0"/>
              <w:rPr>
                <w:sz w:val="20"/>
                <w:szCs w:val="20"/>
                <w:color w:val="auto"/>
              </w:rPr>
            </w:pPr>
            <w:r>
              <w:rPr>
                <w:rFonts w:ascii="Arial" w:cs="Arial" w:eastAsia="Arial" w:hAnsi="Arial"/>
                <w:sz w:val="12"/>
                <w:szCs w:val="12"/>
                <w:color w:val="auto"/>
              </w:rPr>
              <w:t>F-31</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type w:val="continuous"/>
        </w:sectPr>
      </w:pPr>
    </w:p>
    <w:bookmarkStart w:id="361" w:name="page362"/>
    <w:bookmarkEnd w:id="3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RSL 2015 Restricted Stock Unit Plan</w:t>
      </w:r>
    </w:p>
    <w:p>
      <w:pPr>
        <w:spacing w:after="0" w:line="82" w:lineRule="exact"/>
        <w:rPr>
          <w:sz w:val="20"/>
          <w:szCs w:val="20"/>
          <w:color w:val="auto"/>
        </w:rPr>
      </w:pPr>
    </w:p>
    <w:p>
      <w:pPr>
        <w:jc w:val="both"/>
        <w:ind w:left="1980" w:right="959"/>
        <w:spacing w:after="0" w:line="259" w:lineRule="auto"/>
        <w:rPr>
          <w:sz w:val="20"/>
          <w:szCs w:val="20"/>
          <w:color w:val="auto"/>
        </w:rPr>
      </w:pPr>
      <w:r>
        <w:rPr>
          <w:rFonts w:ascii="Arial" w:cs="Arial" w:eastAsia="Arial" w:hAnsi="Arial"/>
          <w:sz w:val="12"/>
          <w:szCs w:val="12"/>
          <w:color w:val="auto"/>
        </w:rPr>
        <w:t>Under the Amended and Restated RSL 2015 Restricted Stock Unit Plan (the “pRSU Plan”), as of March 31, 2021, there are 200,000 of the Company’s common shares reserved for issuance in connection with pRSUs that may be granted to employees, officers, directors and consultants of the Company under the pRSU Plan. The pRSUs expire eight years after the date of grant. At March 31, 2021, none of the Company’s common shares were reserved for future grants under this plan.</w:t>
      </w:r>
    </w:p>
    <w:p>
      <w:pPr>
        <w:spacing w:after="0" w:line="124" w:lineRule="exact"/>
        <w:rPr>
          <w:sz w:val="20"/>
          <w:szCs w:val="20"/>
          <w:color w:val="auto"/>
        </w:rPr>
      </w:pPr>
    </w:p>
    <w:p>
      <w:pPr>
        <w:jc w:val="both"/>
        <w:ind w:left="1980" w:right="1099"/>
        <w:spacing w:after="0" w:line="259" w:lineRule="auto"/>
        <w:rPr>
          <w:sz w:val="20"/>
          <w:szCs w:val="20"/>
          <w:color w:val="auto"/>
        </w:rPr>
      </w:pPr>
      <w:r>
        <w:rPr>
          <w:rFonts w:ascii="Arial" w:cs="Arial" w:eastAsia="Arial" w:hAnsi="Arial"/>
          <w:sz w:val="12"/>
          <w:szCs w:val="12"/>
          <w:color w:val="auto"/>
        </w:rPr>
        <w:t>As part of the Roivant Equity Repurchase, 17,044,465 existing pRSUs were surrendered and exchanged for newly issued Performance Options and CVARs issued under an amended and restated RSL 2015 EIP (see above), of which approximately 11.23% were then immediately purchased by the Company, during the year ended March 31, 2020. Refer to Note 10, “Shareholders’ Equity and Redeemable Noncontrolling Interest” for additional detail regarding the Roivant Equity Repurchase.</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summary of pRSU activity under the pRSU Plan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w w:val="87"/>
              </w:rPr>
              <w:t>Weighted Average</w:t>
            </w:r>
          </w:p>
        </w:tc>
      </w:tr>
      <w:tr>
        <w:trPr>
          <w:trHeight w:val="99"/>
        </w:trPr>
        <w:tc>
          <w:tcPr>
            <w:tcW w:w="3760" w:type="dxa"/>
            <w:vAlign w:val="bottom"/>
          </w:tcPr>
          <w:p>
            <w:pPr>
              <w:spacing w:after="0"/>
              <w:rPr>
                <w:sz w:val="8"/>
                <w:szCs w:val="8"/>
                <w:color w:val="auto"/>
              </w:rPr>
            </w:pPr>
          </w:p>
        </w:tc>
        <w:tc>
          <w:tcPr>
            <w:tcW w:w="1040" w:type="dxa"/>
            <w:vAlign w:val="bottom"/>
            <w:gridSpan w:val="3"/>
          </w:tcPr>
          <w:p>
            <w:pPr>
              <w:jc w:val="right"/>
              <w:ind w:right="600"/>
              <w:spacing w:after="0" w:line="99" w:lineRule="exact"/>
              <w:rPr>
                <w:sz w:val="20"/>
                <w:szCs w:val="20"/>
                <w:color w:val="auto"/>
              </w:rPr>
            </w:pPr>
            <w:r>
              <w:rPr>
                <w:rFonts w:ascii="Arial" w:cs="Arial" w:eastAsia="Arial" w:hAnsi="Arial"/>
                <w:sz w:val="10"/>
                <w:szCs w:val="10"/>
                <w:b w:val="1"/>
                <w:bCs w:val="1"/>
                <w:color w:val="auto"/>
                <w:w w:val="83"/>
              </w:rPr>
              <w:t>Number of</w:t>
            </w:r>
          </w:p>
        </w:tc>
        <w:tc>
          <w:tcPr>
            <w:tcW w:w="78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Grant Date Fair</w:t>
            </w:r>
          </w:p>
        </w:tc>
      </w:tr>
      <w:tr>
        <w:trPr>
          <w:trHeight w:val="113"/>
        </w:trPr>
        <w:tc>
          <w:tcPr>
            <w:tcW w:w="3760" w:type="dxa"/>
            <w:vAlign w:val="bottom"/>
          </w:tcPr>
          <w:p>
            <w:pPr>
              <w:spacing w:after="0"/>
              <w:rPr>
                <w:sz w:val="9"/>
                <w:szCs w:val="9"/>
                <w:color w:val="auto"/>
              </w:rPr>
            </w:pPr>
          </w:p>
        </w:tc>
        <w:tc>
          <w:tcPr>
            <w:tcW w:w="1040" w:type="dxa"/>
            <w:vAlign w:val="bottom"/>
            <w:gridSpan w:val="3"/>
          </w:tcPr>
          <w:p>
            <w:pPr>
              <w:jc w:val="right"/>
              <w:ind w:right="680"/>
              <w:spacing w:after="0" w:line="114" w:lineRule="exact"/>
              <w:rPr>
                <w:sz w:val="20"/>
                <w:szCs w:val="20"/>
                <w:color w:val="auto"/>
              </w:rPr>
            </w:pPr>
            <w:r>
              <w:rPr>
                <w:rFonts w:ascii="Arial" w:cs="Arial" w:eastAsia="Arial" w:hAnsi="Arial"/>
                <w:sz w:val="10"/>
                <w:szCs w:val="10"/>
                <w:b w:val="1"/>
                <w:bCs w:val="1"/>
                <w:color w:val="auto"/>
              </w:rPr>
              <w:t>pRSUs</w:t>
            </w:r>
          </w:p>
        </w:tc>
        <w:tc>
          <w:tcPr>
            <w:tcW w:w="1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Value</w:t>
            </w:r>
          </w:p>
        </w:tc>
      </w:tr>
      <w:tr>
        <w:trPr>
          <w:trHeight w:val="133"/>
        </w:trPr>
        <w:tc>
          <w:tcPr>
            <w:tcW w:w="37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2020</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266,845</w:t>
            </w:r>
          </w:p>
        </w:tc>
        <w:tc>
          <w:tcPr>
            <w:tcW w:w="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center"/>
              <w:ind w:left="242"/>
              <w:spacing w:after="0" w:line="133" w:lineRule="exact"/>
              <w:rPr>
                <w:sz w:val="20"/>
                <w:szCs w:val="20"/>
                <w:color w:val="auto"/>
              </w:rPr>
            </w:pPr>
            <w:r>
              <w:rPr>
                <w:rFonts w:ascii="Arial" w:cs="Arial" w:eastAsia="Arial" w:hAnsi="Arial"/>
                <w:sz w:val="12"/>
                <w:szCs w:val="12"/>
                <w:color w:val="auto"/>
                <w:w w:val="93"/>
              </w:rPr>
              <w:t>13.92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Granted</w:t>
            </w:r>
          </w:p>
        </w:tc>
        <w:tc>
          <w:tcPr>
            <w:tcW w:w="1040" w:type="dxa"/>
            <w:vAlign w:val="bottom"/>
            <w:gridSpan w:val="3"/>
          </w:tcPr>
          <w:p>
            <w:pPr>
              <w:jc w:val="right"/>
              <w:ind w:right="6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42"/>
              <w:spacing w:after="0"/>
              <w:rPr>
                <w:sz w:val="20"/>
                <w:szCs w:val="20"/>
                <w:color w:val="auto"/>
              </w:rPr>
            </w:pPr>
            <w:r>
              <w:rPr>
                <w:rFonts w:ascii="Arial" w:cs="Arial" w:eastAsia="Arial" w:hAnsi="Arial"/>
                <w:sz w:val="12"/>
                <w:szCs w:val="12"/>
                <w:color w:val="auto"/>
                <w:w w:val="99"/>
              </w:rPr>
              <w:t>—</w:t>
            </w:r>
          </w:p>
        </w:tc>
      </w:tr>
      <w:tr>
        <w:trPr>
          <w:trHeight w:val="144"/>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(66,845)</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center"/>
              <w:ind w:left="202"/>
              <w:spacing w:after="0"/>
              <w:rPr>
                <w:sz w:val="20"/>
                <w:szCs w:val="20"/>
                <w:color w:val="auto"/>
              </w:rPr>
            </w:pPr>
            <w:r>
              <w:rPr>
                <w:rFonts w:ascii="Arial" w:cs="Arial" w:eastAsia="Arial" w:hAnsi="Arial"/>
                <w:sz w:val="12"/>
                <w:szCs w:val="12"/>
                <w:color w:val="auto"/>
                <w:w w:val="93"/>
              </w:rPr>
              <w:t>13.92</w:t>
            </w:r>
          </w:p>
        </w:tc>
      </w:tr>
      <w:tr>
        <w:trPr>
          <w:trHeight w:val="149"/>
        </w:trPr>
        <w:tc>
          <w:tcPr>
            <w:tcW w:w="3760" w:type="dxa"/>
            <w:vAlign w:val="bottom"/>
          </w:tcPr>
          <w:p>
            <w:pPr>
              <w:spacing w:after="0"/>
              <w:rPr>
                <w:sz w:val="20"/>
                <w:szCs w:val="20"/>
                <w:color w:val="auto"/>
              </w:rPr>
            </w:pPr>
            <w:r>
              <w:rPr>
                <w:rFonts w:ascii="Arial" w:cs="Arial" w:eastAsia="Arial" w:hAnsi="Arial"/>
                <w:sz w:val="12"/>
                <w:szCs w:val="12"/>
                <w:color w:val="auto"/>
              </w:rPr>
              <w:t>Non-vested balance at March 31, 2021</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200,000</w:t>
            </w:r>
          </w:p>
        </w:tc>
        <w:tc>
          <w:tcPr>
            <w:tcW w:w="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02"/>
              <w:spacing w:after="0"/>
              <w:rPr>
                <w:sz w:val="20"/>
                <w:szCs w:val="20"/>
                <w:color w:val="auto"/>
              </w:rPr>
            </w:pPr>
            <w:r>
              <w:rPr>
                <w:rFonts w:ascii="Arial" w:cs="Arial" w:eastAsia="Arial" w:hAnsi="Arial"/>
                <w:sz w:val="12"/>
                <w:szCs w:val="12"/>
                <w:color w:val="auto"/>
                <w:w w:val="93"/>
              </w:rPr>
              <w:t>13.92</w:t>
            </w:r>
          </w:p>
        </w:tc>
      </w:tr>
    </w:tbl>
    <w:p>
      <w:pPr>
        <w:spacing w:after="0" w:line="144"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These pRSUs will vest to the extent certain performance criteria are achieved and certain liquidity conditions are satisfied within specified years of the grant date, provided that the recipient has provided continued service through such date. As of March 31, 2021, the performance conditions had not been met and were deemed not probable of being met. During the year ended March 31, 2021, the Company recorded no share-based compensation expense related to these pRSUs. During the year ended March 31, 2020, the Company recorded $12.3 million of share-based compensation expense relating to cash payments made for the purchase of a portion of the Performance Options and CVARs issued in replacement of pRSUs. At March 31, 2021, there was approximately $2.8 million of unrecognized compensation expense related to non-vested pRSUs. The Company will recognize the expense upon achievement of the performance and liquidity conditions through the requisite service period.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RSL Restricted Common Stock</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summary of RSL restricted common stock activity as of March 31, 2021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7"/>
              </w:rPr>
              <w:t>Number of</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3800" w:type="dxa"/>
            <w:vAlign w:val="bottom"/>
          </w:tcPr>
          <w:p>
            <w:pPr>
              <w:spacing w:after="0"/>
              <w:rPr>
                <w:sz w:val="8"/>
                <w:szCs w:val="8"/>
                <w:color w:val="auto"/>
              </w:rPr>
            </w:pPr>
          </w:p>
        </w:tc>
        <w:tc>
          <w:tcPr>
            <w:tcW w:w="1000" w:type="dxa"/>
            <w:vAlign w:val="bottom"/>
            <w:gridSpan w:val="2"/>
          </w:tcPr>
          <w:p>
            <w:pPr>
              <w:jc w:val="center"/>
              <w:ind w:right="580"/>
              <w:spacing w:after="0" w:line="99" w:lineRule="exact"/>
              <w:rPr>
                <w:sz w:val="20"/>
                <w:szCs w:val="20"/>
                <w:color w:val="auto"/>
              </w:rPr>
            </w:pPr>
            <w:r>
              <w:rPr>
                <w:rFonts w:ascii="Arial" w:cs="Arial" w:eastAsia="Arial" w:hAnsi="Arial"/>
                <w:sz w:val="10"/>
                <w:szCs w:val="10"/>
                <w:b w:val="1"/>
                <w:bCs w:val="1"/>
                <w:color w:val="auto"/>
                <w:w w:val="85"/>
              </w:rPr>
              <w:t>Restricted</w:t>
            </w:r>
          </w:p>
        </w:tc>
        <w:tc>
          <w:tcPr>
            <w:tcW w:w="7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87"/>
              </w:rPr>
              <w:t>Weighted Average</w:t>
            </w:r>
          </w:p>
        </w:tc>
      </w:tr>
      <w:tr>
        <w:trPr>
          <w:trHeight w:val="99"/>
        </w:trPr>
        <w:tc>
          <w:tcPr>
            <w:tcW w:w="3800" w:type="dxa"/>
            <w:vAlign w:val="bottom"/>
          </w:tcPr>
          <w:p>
            <w:pPr>
              <w:spacing w:after="0"/>
              <w:rPr>
                <w:sz w:val="8"/>
                <w:szCs w:val="8"/>
                <w:color w:val="auto"/>
              </w:rPr>
            </w:pPr>
          </w:p>
        </w:tc>
        <w:tc>
          <w:tcPr>
            <w:tcW w:w="1000" w:type="dxa"/>
            <w:vAlign w:val="bottom"/>
            <w:gridSpan w:val="2"/>
          </w:tcPr>
          <w:p>
            <w:pPr>
              <w:jc w:val="center"/>
              <w:ind w:right="580"/>
              <w:spacing w:after="0" w:line="99" w:lineRule="exact"/>
              <w:rPr>
                <w:sz w:val="20"/>
                <w:szCs w:val="20"/>
                <w:color w:val="auto"/>
              </w:rPr>
            </w:pPr>
            <w:r>
              <w:rPr>
                <w:rFonts w:ascii="Arial" w:cs="Arial" w:eastAsia="Arial" w:hAnsi="Arial"/>
                <w:sz w:val="10"/>
                <w:szCs w:val="10"/>
                <w:b w:val="1"/>
                <w:bCs w:val="1"/>
                <w:color w:val="auto"/>
                <w:w w:val="87"/>
              </w:rPr>
              <w:t>Common</w:t>
            </w:r>
          </w:p>
        </w:tc>
        <w:tc>
          <w:tcPr>
            <w:tcW w:w="78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Grant Date Fair</w:t>
            </w:r>
          </w:p>
        </w:tc>
      </w:tr>
      <w:tr>
        <w:trPr>
          <w:trHeight w:val="113"/>
        </w:trPr>
        <w:tc>
          <w:tcPr>
            <w:tcW w:w="3800" w:type="dxa"/>
            <w:vAlign w:val="bottom"/>
          </w:tcPr>
          <w:p>
            <w:pPr>
              <w:spacing w:after="0"/>
              <w:rPr>
                <w:sz w:val="9"/>
                <w:szCs w:val="9"/>
                <w:color w:val="auto"/>
              </w:rPr>
            </w:pPr>
          </w:p>
        </w:tc>
        <w:tc>
          <w:tcPr>
            <w:tcW w:w="1000" w:type="dxa"/>
            <w:vAlign w:val="bottom"/>
            <w:gridSpan w:val="2"/>
          </w:tcPr>
          <w:p>
            <w:pPr>
              <w:jc w:val="center"/>
              <w:ind w:right="560"/>
              <w:spacing w:after="0" w:line="114" w:lineRule="exact"/>
              <w:rPr>
                <w:sz w:val="20"/>
                <w:szCs w:val="20"/>
                <w:color w:val="auto"/>
              </w:rPr>
            </w:pPr>
            <w:r>
              <w:rPr>
                <w:rFonts w:ascii="Arial" w:cs="Arial" w:eastAsia="Arial" w:hAnsi="Arial"/>
                <w:sz w:val="10"/>
                <w:szCs w:val="10"/>
                <w:b w:val="1"/>
                <w:bCs w:val="1"/>
                <w:color w:val="auto"/>
                <w:w w:val="87"/>
              </w:rPr>
              <w:t>Stock</w:t>
            </w:r>
          </w:p>
        </w:tc>
        <w:tc>
          <w:tcPr>
            <w:tcW w:w="1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Value</w:t>
            </w:r>
          </w:p>
        </w:tc>
      </w:tr>
      <w:tr>
        <w:trPr>
          <w:trHeight w:val="133"/>
        </w:trPr>
        <w:tc>
          <w:tcPr>
            <w:tcW w:w="38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2020</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center"/>
              <w:ind w:left="282"/>
              <w:spacing w:after="0" w:line="133" w:lineRule="exact"/>
              <w:rPr>
                <w:sz w:val="20"/>
                <w:szCs w:val="20"/>
                <w:color w:val="auto"/>
              </w:rPr>
            </w:pPr>
            <w:r>
              <w:rPr>
                <w:rFonts w:ascii="Arial" w:cs="Arial" w:eastAsia="Arial" w:hAnsi="Arial"/>
                <w:sz w:val="12"/>
                <w:szCs w:val="12"/>
                <w:color w:val="auto"/>
                <w:w w:val="99"/>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Granted</w:t>
            </w: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w w:val="96"/>
              </w:rPr>
              <w:t>587,824</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02"/>
              <w:spacing w:after="0"/>
              <w:rPr>
                <w:sz w:val="20"/>
                <w:szCs w:val="20"/>
                <w:color w:val="auto"/>
              </w:rPr>
            </w:pPr>
            <w:r>
              <w:rPr>
                <w:rFonts w:ascii="Arial" w:cs="Arial" w:eastAsia="Arial" w:hAnsi="Arial"/>
                <w:sz w:val="12"/>
                <w:szCs w:val="12"/>
                <w:color w:val="auto"/>
                <w:w w:val="93"/>
              </w:rPr>
              <w:t>38.50</w:t>
            </w:r>
          </w:p>
        </w:tc>
      </w:tr>
      <w:tr>
        <w:trPr>
          <w:trHeight w:val="144"/>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Forfeited</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left="242"/>
              <w:spacing w:after="0"/>
              <w:rPr>
                <w:sz w:val="20"/>
                <w:szCs w:val="20"/>
                <w:color w:val="auto"/>
              </w:rPr>
            </w:pPr>
            <w:r>
              <w:rPr>
                <w:rFonts w:ascii="Arial" w:cs="Arial" w:eastAsia="Arial" w:hAnsi="Arial"/>
                <w:sz w:val="12"/>
                <w:szCs w:val="12"/>
                <w:color w:val="auto"/>
                <w:w w:val="99"/>
              </w:rPr>
              <w:t>—</w:t>
            </w:r>
          </w:p>
        </w:tc>
      </w:tr>
      <w:tr>
        <w:trPr>
          <w:trHeight w:val="142"/>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Non-vested balance at March 31, 2021</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w w:val="96"/>
              </w:rPr>
              <w:t>587,824</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center"/>
              <w:ind w:left="202"/>
              <w:spacing w:after="0"/>
              <w:rPr>
                <w:sz w:val="20"/>
                <w:szCs w:val="20"/>
                <w:color w:val="auto"/>
              </w:rPr>
            </w:pPr>
            <w:r>
              <w:rPr>
                <w:rFonts w:ascii="Arial" w:cs="Arial" w:eastAsia="Arial" w:hAnsi="Arial"/>
                <w:sz w:val="12"/>
                <w:szCs w:val="12"/>
                <w:color w:val="auto"/>
                <w:w w:val="93"/>
              </w:rPr>
              <w:t>38.50</w:t>
            </w:r>
          </w:p>
        </w:tc>
      </w:tr>
      <w:tr>
        <w:trPr>
          <w:trHeight w:val="27"/>
        </w:trPr>
        <w:tc>
          <w:tcPr>
            <w:tcW w:w="3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For the year ended March 31, 2021, the Company recorded share-based compensation expense of $0.1 million in relation to the RSL restricted common stock. At March 31, 2021, total unrecognized compensation expense related to non-vested restricted common stock was approximately $6.9 million and is expected to be recognized over the remaining weighted-average service period of 3.39 years. $15.6 million of the fair value associated with these restricted common stock was attributed to precombination service. Refer to Note 4, “Asset Acquisitions and License Agreements.”</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72" w:right="1440" w:bottom="1440" w:gutter="0" w:footer="0" w:header="0"/>
        </w:sectPr>
      </w:pPr>
    </w:p>
    <w:bookmarkStart w:id="362" w:name="page363"/>
    <w:bookmarkEnd w:id="3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Subsidiary Equity Incentive Plans</w:t>
      </w:r>
    </w:p>
    <w:p>
      <w:pPr>
        <w:spacing w:after="0" w:line="82"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Standard option grants have time-based vesting requirements, generally vesting over a period of four years with a contractual term of ten years. Such time-based stock options use the Black-Scholes option pricing model. The grant date fair value of awards subject to market conditions is estimated using a Monte Carlo valuation model. For the years ended March 31, 2021 and 2020, the Company recorded share-based compensation expense of $29.1 million and $22.1 million, respectively, in relation to subsidiary EIPs.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 Share-Based Compensation Expense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Share-based compensation expense from continuing operations was as follows (in thousands):</w:t>
      </w:r>
    </w:p>
    <w:p>
      <w:pPr>
        <w:spacing w:after="0" w:line="156" w:lineRule="exact"/>
        <w:rPr>
          <w:sz w:val="20"/>
          <w:szCs w:val="20"/>
          <w:color w:val="auto"/>
        </w:rPr>
      </w:pPr>
    </w:p>
    <w:p>
      <w:pPr>
        <w:jc w:val="center"/>
        <w:ind w:left="4360"/>
        <w:spacing w:after="0"/>
        <w:rPr>
          <w:sz w:val="20"/>
          <w:szCs w:val="20"/>
          <w:color w:val="auto"/>
        </w:rPr>
      </w:pPr>
      <w:r>
        <w:rPr>
          <w:rFonts w:ascii="Arial" w:cs="Arial" w:eastAsia="Arial" w:hAnsi="Arial"/>
          <w:sz w:val="10"/>
          <w:szCs w:val="10"/>
          <w:b w:val="1"/>
          <w:bCs w:val="1"/>
          <w:color w:val="auto"/>
        </w:rPr>
        <w:t>Years Ended</w:t>
      </w:r>
    </w:p>
    <w:p>
      <w:pPr>
        <w:jc w:val="center"/>
        <w:ind w:left="4360"/>
        <w:spacing w:after="0" w:line="215" w:lineRule="auto"/>
        <w:rPr>
          <w:sz w:val="20"/>
          <w:szCs w:val="20"/>
          <w:color w:val="auto"/>
        </w:rPr>
      </w:pPr>
      <w:r>
        <w:rPr>
          <w:rFonts w:ascii="Arial" w:cs="Arial" w:eastAsia="Arial" w:hAnsi="Arial"/>
          <w:sz w:val="10"/>
          <w:szCs w:val="10"/>
          <w:b w:val="1"/>
          <w:bCs w:val="1"/>
          <w:color w:val="auto"/>
        </w:rPr>
        <w:t>March 31,</w:t>
      </w:r>
    </w:p>
    <w:tbl>
      <w:tblPr>
        <w:tblLayout w:type="fixed"/>
        <w:tblInd w:w="2860" w:type="dxa"/>
        <w:tblCellMar>
          <w:top w:w="0" w:type="dxa"/>
          <w:left w:w="0" w:type="dxa"/>
          <w:bottom w:w="0" w:type="dxa"/>
          <w:right w:w="0" w:type="dxa"/>
        </w:tblCellMar>
      </w:tblPr>
      <w:tr>
        <w:trPr>
          <w:trHeight w:val="97"/>
        </w:trPr>
        <w:tc>
          <w:tcPr>
            <w:tcW w:w="4400" w:type="dxa"/>
            <w:vAlign w:val="bottom"/>
            <w:tcBorders>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43"/>
              <w:spacing w:after="0" w:line="97"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3"/>
              <w:spacing w:after="0" w:line="97" w:lineRule="exact"/>
              <w:rPr>
                <w:sz w:val="20"/>
                <w:szCs w:val="20"/>
                <w:color w:val="auto"/>
              </w:rPr>
            </w:pPr>
            <w:r>
              <w:rPr>
                <w:rFonts w:ascii="Arial" w:cs="Arial" w:eastAsia="Arial" w:hAnsi="Arial"/>
                <w:sz w:val="10"/>
                <w:szCs w:val="10"/>
                <w:b w:val="1"/>
                <w:bCs w:val="1"/>
                <w:color w:val="auto"/>
                <w:w w:val="98"/>
              </w:rPr>
              <w:t>2020</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Share-based compensation expense recognized as:</w:t>
            </w: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R&amp;D expenses</w:t>
            </w:r>
          </w:p>
        </w:tc>
        <w:tc>
          <w:tcPr>
            <w:tcW w:w="400" w:type="dxa"/>
            <w:vAlign w:val="bottom"/>
          </w:tcPr>
          <w:p>
            <w:pPr>
              <w:jc w:val="right"/>
              <w:spacing w:after="0"/>
              <w:rPr>
                <w:sz w:val="20"/>
                <w:szCs w:val="20"/>
                <w:color w:val="auto"/>
              </w:rPr>
            </w:pPr>
            <w:r>
              <w:rPr>
                <w:rFonts w:ascii="Arial" w:cs="Arial" w:eastAsia="Arial" w:hAnsi="Arial"/>
                <w:sz w:val="12"/>
                <w:szCs w:val="12"/>
                <w:color w:val="auto"/>
                <w:w w:val="81"/>
              </w:rPr>
              <w:t>$ 22,637</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7,738</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G&amp;A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62,321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60,013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u w:val="single" w:color="auto"/>
                <w:color w:val="auto"/>
                <w:w w:val="81"/>
              </w:rPr>
              <w:t>$</w:t>
            </w:r>
            <w:r>
              <w:rPr>
                <w:rFonts w:ascii="Arial" w:cs="Arial" w:eastAsia="Arial" w:hAnsi="Arial"/>
                <w:sz w:val="12"/>
                <w:szCs w:val="12"/>
                <w:color w:val="auto"/>
                <w:w w:val="81"/>
              </w:rPr>
              <w:t xml:space="preserve"> 84,958</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67,751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classification of share-based compensation expense between R&amp;D and G&amp;A expenses in the accompanying consolidated statements of operations is consistent with the classification of grantee’s salary expense.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12—Income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loss before income taxes and the related expense/(benefit) are as follows (in thousands):</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Years Ended March 31,</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40" w:type="dxa"/>
            <w:vAlign w:val="bottom"/>
            <w:tcBorders>
              <w:bottom w:val="single" w:sz="8" w:color="CCEEFF"/>
            </w:tcBorders>
          </w:tcPr>
          <w:p>
            <w:pPr>
              <w:spacing w:after="0"/>
              <w:rPr>
                <w:sz w:val="8"/>
                <w:szCs w:val="8"/>
                <w:color w:val="auto"/>
              </w:rPr>
            </w:pPr>
          </w:p>
        </w:tc>
        <w:tc>
          <w:tcPr>
            <w:tcW w:w="182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06"/>
              <w:spacing w:after="0" w:line="97" w:lineRule="exact"/>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8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before income taxes:</w:t>
            </w:r>
          </w:p>
        </w:tc>
        <w:tc>
          <w:tcPr>
            <w:tcW w:w="1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2660" w:type="dxa"/>
            <w:vAlign w:val="bottom"/>
            <w:gridSpan w:val="3"/>
          </w:tcPr>
          <w:p>
            <w:pPr>
              <w:jc w:val="right"/>
              <w:ind w:right="300"/>
              <w:spacing w:after="0"/>
              <w:rPr>
                <w:sz w:val="20"/>
                <w:szCs w:val="20"/>
                <w:color w:val="auto"/>
              </w:rPr>
            </w:pPr>
            <w:r>
              <w:rPr>
                <w:rFonts w:ascii="Arial" w:cs="Arial" w:eastAsia="Arial" w:hAnsi="Arial"/>
                <w:sz w:val="12"/>
                <w:szCs w:val="12"/>
                <w:color w:val="auto"/>
              </w:rPr>
              <w:t>$(212,921)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(69,264)</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Switzerland</w:t>
            </w:r>
          </w:p>
        </w:tc>
        <w:tc>
          <w:tcPr>
            <w:tcW w:w="26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(424,494)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(355,422)</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tcPr>
          <w:p>
            <w:pPr>
              <w:ind w:left="240"/>
              <w:spacing w:after="0"/>
              <w:rPr>
                <w:sz w:val="20"/>
                <w:szCs w:val="20"/>
                <w:color w:val="auto"/>
              </w:rPr>
            </w:pPr>
            <w:r>
              <w:rPr>
                <w:rFonts w:ascii="Arial" w:cs="Arial" w:eastAsia="Arial" w:hAnsi="Arial"/>
                <w:sz w:val="12"/>
                <w:szCs w:val="12"/>
                <w:color w:val="auto"/>
              </w:rPr>
              <w:t>Bermuda</w:t>
            </w:r>
          </w:p>
        </w:tc>
        <w:tc>
          <w:tcPr>
            <w:tcW w:w="2660" w:type="dxa"/>
            <w:vAlign w:val="bottom"/>
            <w:gridSpan w:val="3"/>
          </w:tcPr>
          <w:p>
            <w:pPr>
              <w:jc w:val="right"/>
              <w:ind w:right="300"/>
              <w:spacing w:after="0"/>
              <w:rPr>
                <w:sz w:val="20"/>
                <w:szCs w:val="20"/>
                <w:color w:val="auto"/>
              </w:rPr>
            </w:pPr>
            <w:r>
              <w:rPr>
                <w:rFonts w:ascii="Arial" w:cs="Arial" w:eastAsia="Arial" w:hAnsi="Arial"/>
                <w:sz w:val="12"/>
                <w:szCs w:val="12"/>
                <w:color w:val="auto"/>
              </w:rPr>
              <w:t>(227,471)</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(105,604)</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shd w:val="clear" w:color="auto" w:fill="CCEEFF"/>
          </w:tcPr>
          <w:p>
            <w:pPr>
              <w:ind w:left="240"/>
              <w:spacing w:after="0" w:line="144" w:lineRule="exact"/>
              <w:rPr>
                <w:sz w:val="20"/>
                <w:szCs w:val="20"/>
                <w:color w:val="auto"/>
              </w:rPr>
            </w:pPr>
            <w:r>
              <w:rPr>
                <w:rFonts w:ascii="Arial" w:cs="Arial" w:eastAsia="Arial" w:hAnsi="Arial"/>
                <w:sz w:val="12"/>
                <w:szCs w:val="12"/>
                <w:color w:val="auto"/>
              </w:rPr>
              <w:t>Other</w:t>
            </w:r>
            <w:r>
              <w:rPr>
                <w:rFonts w:ascii="Arial" w:cs="Arial" w:eastAsia="Arial" w:hAnsi="Arial"/>
                <w:sz w:val="16"/>
                <w:szCs w:val="16"/>
                <w:color w:val="auto"/>
                <w:vertAlign w:val="superscript"/>
              </w:rPr>
              <w:t>(1)</w:t>
            </w:r>
          </w:p>
        </w:tc>
        <w:tc>
          <w:tcPr>
            <w:tcW w:w="18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(33,661)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(30,696)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vMerge w:val="restart"/>
          </w:tcPr>
          <w:p>
            <w:pPr>
              <w:ind w:left="480"/>
              <w:spacing w:after="0"/>
              <w:rPr>
                <w:sz w:val="20"/>
                <w:szCs w:val="20"/>
                <w:color w:val="auto"/>
              </w:rPr>
            </w:pPr>
            <w:r>
              <w:rPr>
                <w:rFonts w:ascii="Arial" w:cs="Arial" w:eastAsia="Arial" w:hAnsi="Arial"/>
                <w:sz w:val="12"/>
                <w:szCs w:val="12"/>
                <w:color w:val="auto"/>
              </w:rPr>
              <w:t>Total loss before income taxes</w:t>
            </w:r>
          </w:p>
        </w:tc>
        <w:tc>
          <w:tcPr>
            <w:tcW w:w="1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(898,547)</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(560,986)</w:t>
            </w:r>
          </w:p>
        </w:tc>
        <w:tc>
          <w:tcPr>
            <w:tcW w:w="0" w:type="dxa"/>
            <w:vAlign w:val="bottom"/>
          </w:tcPr>
          <w:p>
            <w:pPr>
              <w:spacing w:after="0"/>
              <w:rPr>
                <w:sz w:val="1"/>
                <w:szCs w:val="1"/>
                <w:color w:val="auto"/>
              </w:rPr>
            </w:pPr>
          </w:p>
        </w:tc>
      </w:tr>
      <w:tr>
        <w:trPr>
          <w:trHeight w:val="315"/>
        </w:trPr>
        <w:tc>
          <w:tcPr>
            <w:tcW w:w="180" w:type="dxa"/>
            <w:vAlign w:val="bottom"/>
          </w:tcPr>
          <w:p>
            <w:pPr>
              <w:jc w:val="right"/>
              <w:ind w:right="38"/>
              <w:spacing w:after="0"/>
              <w:rPr>
                <w:sz w:val="20"/>
                <w:szCs w:val="20"/>
                <w:color w:val="auto"/>
              </w:rPr>
            </w:pPr>
            <w:r>
              <w:rPr>
                <w:rFonts w:ascii="Arial" w:cs="Arial" w:eastAsia="Arial" w:hAnsi="Arial"/>
                <w:sz w:val="8"/>
                <w:szCs w:val="8"/>
                <w:color w:val="auto"/>
                <w:w w:val="81"/>
              </w:rPr>
              <w:t>(1)</w:t>
            </w:r>
          </w:p>
        </w:tc>
        <w:tc>
          <w:tcPr>
            <w:tcW w:w="3040" w:type="dxa"/>
            <w:vAlign w:val="bottom"/>
            <w:gridSpan w:val="2"/>
          </w:tcPr>
          <w:p>
            <w:pPr>
              <w:ind w:left="100"/>
              <w:spacing w:after="0"/>
              <w:rPr>
                <w:sz w:val="20"/>
                <w:szCs w:val="20"/>
                <w:color w:val="auto"/>
              </w:rPr>
            </w:pPr>
            <w:r>
              <w:rPr>
                <w:rFonts w:ascii="Arial" w:cs="Arial" w:eastAsia="Arial" w:hAnsi="Arial"/>
                <w:sz w:val="12"/>
                <w:szCs w:val="12"/>
                <w:color w:val="auto"/>
              </w:rPr>
              <w:t>Primarily Greater China and United Kingdom activity</w:t>
            </w:r>
          </w:p>
        </w:tc>
        <w:tc>
          <w:tcPr>
            <w:tcW w:w="18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60" w:type="dxa"/>
            <w:vAlign w:val="bottom"/>
            <w:gridSpan w:val="3"/>
          </w:tcPr>
          <w:p>
            <w:pPr>
              <w:jc w:val="right"/>
              <w:ind w:right="2100"/>
              <w:spacing w:after="0"/>
              <w:rPr>
                <w:sz w:val="20"/>
                <w:szCs w:val="20"/>
                <w:color w:val="auto"/>
              </w:rPr>
            </w:pPr>
            <w:r>
              <w:rPr>
                <w:rFonts w:ascii="Arial" w:cs="Arial" w:eastAsia="Arial" w:hAnsi="Arial"/>
                <w:sz w:val="12"/>
                <w:szCs w:val="12"/>
                <w:color w:val="auto"/>
              </w:rPr>
              <w:t>F-33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sectPr>
      </w:pPr>
    </w:p>
    <w:bookmarkStart w:id="363" w:name="page364"/>
    <w:bookmarkEnd w:id="3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ind w:left="60"/>
              <w:spacing w:after="0"/>
              <w:rPr>
                <w:sz w:val="20"/>
                <w:szCs w:val="20"/>
                <w:color w:val="auto"/>
              </w:rPr>
            </w:pPr>
            <w:r>
              <w:rPr>
                <w:rFonts w:ascii="Arial" w:cs="Arial" w:eastAsia="Arial" w:hAnsi="Arial"/>
                <w:sz w:val="10"/>
                <w:szCs w:val="10"/>
                <w:b w:val="1"/>
                <w:bCs w:val="1"/>
                <w:color w:val="auto"/>
              </w:rPr>
              <w:t>Years Ended March 31,</w:t>
            </w:r>
          </w:p>
        </w:tc>
        <w:tc>
          <w:tcPr>
            <w:tcW w:w="0" w:type="dxa"/>
            <w:vAlign w:val="bottom"/>
          </w:tcPr>
          <w:p>
            <w:pPr>
              <w:spacing w:after="0"/>
              <w:rPr>
                <w:sz w:val="1"/>
                <w:szCs w:val="1"/>
                <w:color w:val="auto"/>
              </w:rPr>
            </w:pPr>
          </w:p>
        </w:tc>
      </w:tr>
      <w:tr>
        <w:trPr>
          <w:trHeight w:val="97"/>
        </w:trPr>
        <w:tc>
          <w:tcPr>
            <w:tcW w:w="42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20"/>
              <w:spacing w:after="0" w:line="97"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ind w:left="40"/>
              <w:spacing w:after="0" w:line="97"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Current taxes:</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60"/>
              <w:spacing w:after="0"/>
              <w:rPr>
                <w:sz w:val="20"/>
                <w:szCs w:val="20"/>
                <w:color w:val="auto"/>
              </w:rPr>
            </w:pPr>
            <w:r>
              <w:rPr>
                <w:rFonts w:ascii="Arial" w:cs="Arial" w:eastAsia="Arial" w:hAnsi="Arial"/>
                <w:sz w:val="12"/>
                <w:szCs w:val="12"/>
                <w:color w:val="auto"/>
              </w:rPr>
              <w:t>1,365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ind w:left="80"/>
              <w:spacing w:after="0"/>
              <w:rPr>
                <w:sz w:val="20"/>
                <w:szCs w:val="20"/>
                <w:color w:val="auto"/>
              </w:rPr>
            </w:pPr>
            <w:r>
              <w:rPr>
                <w:rFonts w:ascii="Arial" w:cs="Arial" w:eastAsia="Arial" w:hAnsi="Arial"/>
                <w:sz w:val="12"/>
                <w:szCs w:val="12"/>
                <w:color w:val="auto"/>
                <w:w w:val="99"/>
              </w:rPr>
              <w:t>6,327</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Switzerland</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tcPr>
          <w:p>
            <w:pPr>
              <w:ind w:left="240"/>
              <w:spacing w:after="0"/>
              <w:rPr>
                <w:sz w:val="20"/>
                <w:szCs w:val="20"/>
                <w:color w:val="auto"/>
              </w:rPr>
            </w:pPr>
            <w:r>
              <w:rPr>
                <w:rFonts w:ascii="Arial" w:cs="Arial" w:eastAsia="Arial" w:hAnsi="Arial"/>
                <w:sz w:val="12"/>
                <w:szCs w:val="12"/>
                <w:color w:val="auto"/>
              </w:rPr>
              <w:t>Bermuda</w:t>
            </w:r>
          </w:p>
        </w:tc>
        <w:tc>
          <w:tcPr>
            <w:tcW w:w="100" w:type="dxa"/>
            <w:vAlign w:val="bottom"/>
          </w:tcPr>
          <w:p>
            <w:pPr>
              <w:spacing w:after="0"/>
              <w:rPr>
                <w:sz w:val="12"/>
                <w:szCs w:val="12"/>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line="144" w:lineRule="exact"/>
              <w:rPr>
                <w:sz w:val="20"/>
                <w:szCs w:val="20"/>
                <w:color w:val="auto"/>
              </w:rPr>
            </w:pPr>
            <w:r>
              <w:rPr>
                <w:rFonts w:ascii="Arial" w:cs="Arial" w:eastAsia="Arial" w:hAnsi="Arial"/>
                <w:sz w:val="12"/>
                <w:szCs w:val="12"/>
                <w:color w:val="auto"/>
              </w:rPr>
              <w:t>Other</w:t>
            </w:r>
            <w:r>
              <w:rPr>
                <w:rFonts w:ascii="Arial" w:cs="Arial" w:eastAsia="Arial" w:hAnsi="Arial"/>
                <w:sz w:val="16"/>
                <w:szCs w:val="16"/>
                <w:color w:val="auto"/>
                <w:vertAlign w:val="superscript"/>
              </w:rPr>
              <w:t>(1)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w w:val="99"/>
              </w:rPr>
              <w:t>797</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480"/>
              <w:spacing w:after="0"/>
              <w:rPr>
                <w:sz w:val="20"/>
                <w:szCs w:val="20"/>
                <w:color w:val="auto"/>
              </w:rPr>
            </w:pPr>
            <w:r>
              <w:rPr>
                <w:rFonts w:ascii="Arial" w:cs="Arial" w:eastAsia="Arial" w:hAnsi="Arial"/>
                <w:sz w:val="12"/>
                <w:szCs w:val="12"/>
                <w:color w:val="auto"/>
              </w:rPr>
              <w:t>Total current tax expense</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60"/>
              <w:spacing w:after="0"/>
              <w:rPr>
                <w:sz w:val="20"/>
                <w:szCs w:val="20"/>
                <w:color w:val="auto"/>
              </w:rPr>
            </w:pPr>
            <w:r>
              <w:rPr>
                <w:rFonts w:ascii="Arial" w:cs="Arial" w:eastAsia="Arial" w:hAnsi="Arial"/>
                <w:sz w:val="12"/>
                <w:szCs w:val="12"/>
                <w:color w:val="auto"/>
              </w:rPr>
              <w:t>1,686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ind w:left="80"/>
              <w:spacing w:after="0"/>
              <w:rPr>
                <w:sz w:val="20"/>
                <w:szCs w:val="20"/>
                <w:color w:val="auto"/>
              </w:rPr>
            </w:pPr>
            <w:r>
              <w:rPr>
                <w:rFonts w:ascii="Arial" w:cs="Arial" w:eastAsia="Arial" w:hAnsi="Arial"/>
                <w:sz w:val="12"/>
                <w:szCs w:val="12"/>
                <w:color w:val="auto"/>
                <w:w w:val="99"/>
              </w:rPr>
              <w:t>7,124</w:t>
            </w:r>
          </w:p>
        </w:tc>
        <w:tc>
          <w:tcPr>
            <w:tcW w:w="0" w:type="dxa"/>
            <w:vAlign w:val="bottom"/>
          </w:tcPr>
          <w:p>
            <w:pPr>
              <w:spacing w:after="0"/>
              <w:rPr>
                <w:sz w:val="1"/>
                <w:szCs w:val="1"/>
                <w:color w:val="auto"/>
              </w:rPr>
            </w:pPr>
          </w:p>
        </w:tc>
      </w:tr>
      <w:tr>
        <w:trPr>
          <w:trHeight w:val="72"/>
        </w:trPr>
        <w:tc>
          <w:tcPr>
            <w:tcW w:w="4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Switzerland</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tcPr>
          <w:p>
            <w:pPr>
              <w:ind w:left="240"/>
              <w:spacing w:after="0"/>
              <w:rPr>
                <w:sz w:val="20"/>
                <w:szCs w:val="20"/>
                <w:color w:val="auto"/>
              </w:rPr>
            </w:pPr>
            <w:r>
              <w:rPr>
                <w:rFonts w:ascii="Arial" w:cs="Arial" w:eastAsia="Arial" w:hAnsi="Arial"/>
                <w:sz w:val="12"/>
                <w:szCs w:val="12"/>
                <w:color w:val="auto"/>
              </w:rPr>
              <w:t>Bermuda</w:t>
            </w:r>
          </w:p>
        </w:tc>
        <w:tc>
          <w:tcPr>
            <w:tcW w:w="100" w:type="dxa"/>
            <w:vAlign w:val="bottom"/>
          </w:tcPr>
          <w:p>
            <w:pPr>
              <w:spacing w:after="0"/>
              <w:rPr>
                <w:sz w:val="12"/>
                <w:szCs w:val="12"/>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40"/>
              <w:spacing w:after="0" w:line="144" w:lineRule="exact"/>
              <w:rPr>
                <w:sz w:val="20"/>
                <w:szCs w:val="20"/>
                <w:color w:val="auto"/>
              </w:rPr>
            </w:pPr>
            <w:r>
              <w:rPr>
                <w:rFonts w:ascii="Arial" w:cs="Arial" w:eastAsia="Arial" w:hAnsi="Arial"/>
                <w:sz w:val="12"/>
                <w:szCs w:val="12"/>
                <w:color w:val="auto"/>
              </w:rPr>
              <w:t>Other</w:t>
            </w:r>
            <w:r>
              <w:rPr>
                <w:rFonts w:ascii="Arial" w:cs="Arial" w:eastAsia="Arial" w:hAnsi="Arial"/>
                <w:sz w:val="16"/>
                <w:szCs w:val="16"/>
                <w:color w:val="auto"/>
                <w:vertAlign w:val="superscript"/>
              </w:rPr>
              <w:t>(1)</w:t>
            </w: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480"/>
              <w:spacing w:after="0"/>
              <w:rPr>
                <w:sz w:val="20"/>
                <w:szCs w:val="20"/>
                <w:color w:val="auto"/>
              </w:rPr>
            </w:pPr>
            <w:r>
              <w:rPr>
                <w:rFonts w:ascii="Arial" w:cs="Arial" w:eastAsia="Arial" w:hAnsi="Arial"/>
                <w:sz w:val="12"/>
                <w:szCs w:val="12"/>
                <w:color w:val="auto"/>
              </w:rPr>
              <w:t>Total deferred tax benefit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1,686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w w:val="99"/>
              </w:rPr>
              <w:t>7,124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2260" w:hanging="288"/>
        <w:spacing w:after="0"/>
        <w:tabs>
          <w:tab w:leader="none" w:pos="2260" w:val="left"/>
        </w:tabs>
        <w:numPr>
          <w:ilvl w:val="0"/>
          <w:numId w:val="189"/>
        </w:numPr>
        <w:rPr>
          <w:rFonts w:ascii="Arial" w:cs="Arial" w:eastAsia="Arial" w:hAnsi="Arial"/>
          <w:sz w:val="17"/>
          <w:szCs w:val="17"/>
          <w:color w:val="auto"/>
          <w:vertAlign w:val="superscript"/>
        </w:rPr>
      </w:pPr>
      <w:r>
        <w:rPr>
          <w:rFonts w:ascii="Arial" w:cs="Arial" w:eastAsia="Arial" w:hAnsi="Arial"/>
          <w:sz w:val="12"/>
          <w:szCs w:val="12"/>
          <w:color w:val="auto"/>
        </w:rPr>
        <w:t>Primarily Greater China, United States state and local and United Kingdom activity</w:t>
      </w:r>
    </w:p>
    <w:p>
      <w:pPr>
        <w:spacing w:after="0" w:line="13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 reconciliation of income tax provision/(benefit) computed at the Bermuda statutory rate to income tax expense reflected in the consolidated financial statements is as follows (in thousands, except percentages):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88"/>
              </w:rPr>
              <w:t>Year Ended March 31,</w:t>
            </w:r>
          </w:p>
        </w:tc>
        <w:tc>
          <w:tcPr>
            <w:tcW w:w="6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3"/>
        </w:trPr>
        <w:tc>
          <w:tcPr>
            <w:tcW w:w="3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ind w:right="121"/>
              <w:spacing w:after="0" w:line="114" w:lineRule="exact"/>
              <w:rPr>
                <w:sz w:val="20"/>
                <w:szCs w:val="20"/>
                <w:color w:val="auto"/>
              </w:rPr>
            </w:pPr>
            <w:r>
              <w:rPr>
                <w:rFonts w:ascii="Arial" w:cs="Arial" w:eastAsia="Arial" w:hAnsi="Arial"/>
                <w:sz w:val="10"/>
                <w:szCs w:val="10"/>
                <w:b w:val="1"/>
                <w:bCs w:val="1"/>
                <w:color w:val="auto"/>
                <w:w w:val="80"/>
              </w:rPr>
              <w:t>2021</w:t>
            </w: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4"/>
          </w:tcPr>
          <w:p>
            <w:pPr>
              <w:jc w:val="right"/>
              <w:ind w:right="400"/>
              <w:spacing w:after="0" w:line="114" w:lineRule="exact"/>
              <w:rPr>
                <w:sz w:val="20"/>
                <w:szCs w:val="20"/>
                <w:color w:val="auto"/>
              </w:rPr>
            </w:pPr>
            <w:r>
              <w:rPr>
                <w:rFonts w:ascii="Arial" w:cs="Arial" w:eastAsia="Arial" w:hAnsi="Arial"/>
                <w:sz w:val="10"/>
                <w:szCs w:val="10"/>
                <w:b w:val="1"/>
                <w:bCs w:val="1"/>
                <w:color w:val="auto"/>
              </w:rPr>
              <w:t>March 31, 2020</w:t>
            </w:r>
          </w:p>
        </w:tc>
      </w:tr>
      <w:tr>
        <w:trPr>
          <w:trHeight w:val="133"/>
        </w:trPr>
        <w:tc>
          <w:tcPr>
            <w:tcW w:w="3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Income tax benefit at Bermuda statutory rate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2"/>
                <w:szCs w:val="12"/>
                <w:color w:val="auto"/>
              </w:rPr>
              <w:t>Foreign rate differential</w:t>
            </w:r>
            <w:r>
              <w:rPr>
                <w:rFonts w:ascii="Arial" w:cs="Arial" w:eastAsia="Arial" w:hAnsi="Arial"/>
                <w:sz w:val="16"/>
                <w:szCs w:val="16"/>
                <w:color w:val="auto"/>
                <w:vertAlign w:val="superscript"/>
              </w:rPr>
              <w:t>(1)</w:t>
            </w: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85"/>
              </w:rPr>
              <w:t>(150,778)</w:t>
            </w:r>
          </w:p>
        </w:tc>
        <w:tc>
          <w:tcPr>
            <w:tcW w:w="1180" w:type="dxa"/>
            <w:vAlign w:val="bottom"/>
            <w:gridSpan w:val="3"/>
          </w:tcPr>
          <w:p>
            <w:pPr>
              <w:jc w:val="right"/>
              <w:ind w:right="280"/>
              <w:spacing w:after="0"/>
              <w:rPr>
                <w:sz w:val="20"/>
                <w:szCs w:val="20"/>
                <w:color w:val="auto"/>
              </w:rPr>
            </w:pPr>
            <w:r>
              <w:rPr>
                <w:rFonts w:ascii="Arial" w:cs="Arial" w:eastAsia="Arial" w:hAnsi="Arial"/>
                <w:sz w:val="12"/>
                <w:szCs w:val="12"/>
                <w:color w:val="auto"/>
              </w:rPr>
              <w:t>16.78%</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w w:val="89"/>
              </w:rPr>
              <w:t>(74,922)</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13.36%</w:t>
            </w:r>
          </w:p>
        </w:tc>
      </w:tr>
      <w:tr>
        <w:trPr>
          <w:trHeight w:val="144"/>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Permanent disallowed IPR&amp;D</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2"/>
              </w:rPr>
              <w:t>111,432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(12.40)%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w:t>
            </w:r>
          </w:p>
        </w:tc>
      </w:tr>
      <w:tr>
        <w:trPr>
          <w:trHeight w:val="135"/>
        </w:trPr>
        <w:tc>
          <w:tcPr>
            <w:tcW w:w="3680" w:type="dxa"/>
            <w:vAlign w:val="bottom"/>
          </w:tcPr>
          <w:p>
            <w:pPr>
              <w:spacing w:after="0" w:line="135" w:lineRule="exact"/>
              <w:rPr>
                <w:sz w:val="20"/>
                <w:szCs w:val="20"/>
                <w:color w:val="auto"/>
              </w:rPr>
            </w:pPr>
            <w:r>
              <w:rPr>
                <w:rFonts w:ascii="Arial" w:cs="Arial" w:eastAsia="Arial" w:hAnsi="Arial"/>
                <w:sz w:val="12"/>
                <w:szCs w:val="12"/>
                <w:color w:val="auto"/>
              </w:rPr>
              <w:t>Nondeductible changes in the fair value of investments and loss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3"/>
        </w:trPr>
        <w:tc>
          <w:tcPr>
            <w:tcW w:w="3680" w:type="dxa"/>
            <w:vAlign w:val="bottom"/>
          </w:tcPr>
          <w:p>
            <w:pPr>
              <w:ind w:left="120"/>
              <w:spacing w:after="0"/>
              <w:rPr>
                <w:sz w:val="20"/>
                <w:szCs w:val="20"/>
                <w:color w:val="auto"/>
              </w:rPr>
            </w:pPr>
            <w:r>
              <w:rPr>
                <w:rFonts w:ascii="Arial" w:cs="Arial" w:eastAsia="Arial" w:hAnsi="Arial"/>
                <w:sz w:val="12"/>
                <w:szCs w:val="12"/>
                <w:color w:val="auto"/>
              </w:rPr>
              <w:t>from equity method investment</w:t>
            </w:r>
          </w:p>
        </w:tc>
        <w:tc>
          <w:tcPr>
            <w:tcW w:w="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8"/>
              </w:rPr>
              <w:t>(22,472)</w:t>
            </w:r>
          </w:p>
        </w:tc>
        <w:tc>
          <w:tcPr>
            <w:tcW w:w="1180" w:type="dxa"/>
            <w:vAlign w:val="bottom"/>
            <w:gridSpan w:val="3"/>
          </w:tcPr>
          <w:p>
            <w:pPr>
              <w:jc w:val="right"/>
              <w:ind w:right="280"/>
              <w:spacing w:after="0"/>
              <w:rPr>
                <w:sz w:val="20"/>
                <w:szCs w:val="20"/>
                <w:color w:val="auto"/>
              </w:rPr>
            </w:pPr>
            <w:r>
              <w:rPr>
                <w:rFonts w:ascii="Arial" w:cs="Arial" w:eastAsia="Arial" w:hAnsi="Arial"/>
                <w:sz w:val="12"/>
                <w:szCs w:val="12"/>
                <w:color w:val="auto"/>
              </w:rPr>
              <w:t>2.50%</w:t>
            </w:r>
          </w:p>
        </w:tc>
        <w:tc>
          <w:tcPr>
            <w:tcW w:w="6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2"/>
                <w:szCs w:val="12"/>
                <w:color w:val="auto"/>
                <w:w w:val="97"/>
              </w:rPr>
              <w:t>20,840</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(3.72)%</w:t>
            </w:r>
          </w:p>
        </w:tc>
      </w:tr>
      <w:tr>
        <w:trPr>
          <w:trHeight w:val="144"/>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Nontaxable (loss) gain on deconsolidation of business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8"/>
              </w:rPr>
              <w:t>(16,438)</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1.83%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97"/>
              </w:rPr>
              <w:t>29,041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(5.18)%</w:t>
            </w: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Permanent adjustments</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2,923</w:t>
            </w:r>
          </w:p>
        </w:tc>
        <w:tc>
          <w:tcPr>
            <w:tcW w:w="1180" w:type="dxa"/>
            <w:vAlign w:val="bottom"/>
            <w:gridSpan w:val="3"/>
          </w:tcPr>
          <w:p>
            <w:pPr>
              <w:jc w:val="right"/>
              <w:ind w:right="240"/>
              <w:spacing w:after="0"/>
              <w:rPr>
                <w:sz w:val="20"/>
                <w:szCs w:val="20"/>
                <w:color w:val="auto"/>
              </w:rPr>
            </w:pPr>
            <w:r>
              <w:rPr>
                <w:rFonts w:ascii="Arial" w:cs="Arial" w:eastAsia="Arial" w:hAnsi="Arial"/>
                <w:sz w:val="12"/>
                <w:szCs w:val="12"/>
                <w:color w:val="auto"/>
              </w:rPr>
              <w:t>(0.33)%</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w w:val="89"/>
              </w:rPr>
              <w:t>(20,395)</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3.64%</w:t>
            </w:r>
          </w:p>
        </w:tc>
      </w:tr>
      <w:tr>
        <w:trPr>
          <w:trHeight w:val="144"/>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R&amp;D tax credits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8"/>
              </w:rPr>
              <w:t>(10,555)</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(5,990)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1.07%</w:t>
            </w: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Rate changes</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2,443</w:t>
            </w:r>
          </w:p>
        </w:tc>
        <w:tc>
          <w:tcPr>
            <w:tcW w:w="1180" w:type="dxa"/>
            <w:vAlign w:val="bottom"/>
            <w:gridSpan w:val="3"/>
          </w:tcPr>
          <w:p>
            <w:pPr>
              <w:jc w:val="right"/>
              <w:ind w:right="240"/>
              <w:spacing w:after="0"/>
              <w:rPr>
                <w:sz w:val="20"/>
                <w:szCs w:val="20"/>
                <w:color w:val="auto"/>
              </w:rPr>
            </w:pPr>
            <w:r>
              <w:rPr>
                <w:rFonts w:ascii="Arial" w:cs="Arial" w:eastAsia="Arial" w:hAnsi="Arial"/>
                <w:sz w:val="12"/>
                <w:szCs w:val="12"/>
                <w:color w:val="auto"/>
              </w:rPr>
              <w:t>(0.27)%</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w w:val="89"/>
              </w:rPr>
              <w:t>(29,238)</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5.21%</w:t>
            </w:r>
          </w:p>
        </w:tc>
      </w:tr>
      <w:tr>
        <w:trPr>
          <w:trHeight w:val="144"/>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85,046</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(9.46)%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97"/>
              </w:rPr>
              <w:t>87,677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4"/>
              </w:rPr>
              <w:t>(15.63)%</w:t>
            </w: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Other</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85</w:t>
            </w:r>
          </w:p>
        </w:tc>
        <w:tc>
          <w:tcPr>
            <w:tcW w:w="1180" w:type="dxa"/>
            <w:vAlign w:val="bottom"/>
            <w:gridSpan w:val="3"/>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tcPr>
          <w:p>
            <w:pPr>
              <w:spacing w:after="0"/>
              <w:rPr>
                <w:sz w:val="12"/>
                <w:szCs w:val="12"/>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2"/>
                <w:szCs w:val="12"/>
                <w:color w:val="auto"/>
              </w:rPr>
              <w:t>111</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(0.02)%</w:t>
            </w:r>
          </w:p>
        </w:tc>
      </w:tr>
      <w:tr>
        <w:trPr>
          <w:trHeight w:val="20"/>
        </w:trPr>
        <w:tc>
          <w:tcPr>
            <w:tcW w:w="3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Total income tax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1,686</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7,124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w:t>
            </w:r>
          </w:p>
        </w:tc>
      </w:tr>
      <w:tr>
        <w:trPr>
          <w:trHeight w:val="27"/>
        </w:trPr>
        <w:tc>
          <w:tcPr>
            <w:tcW w:w="3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62" w:lineRule="exact"/>
        <w:rPr>
          <w:sz w:val="20"/>
          <w:szCs w:val="20"/>
          <w:color w:val="auto"/>
        </w:rPr>
      </w:pPr>
    </w:p>
    <w:p>
      <w:pPr>
        <w:ind w:left="2260" w:right="1079" w:hanging="288"/>
        <w:spacing w:after="0" w:line="213" w:lineRule="auto"/>
        <w:tabs>
          <w:tab w:leader="none" w:pos="2260" w:val="left"/>
        </w:tabs>
        <w:numPr>
          <w:ilvl w:val="0"/>
          <w:numId w:val="190"/>
        </w:numPr>
        <w:rPr>
          <w:rFonts w:ascii="Arial" w:cs="Arial" w:eastAsia="Arial" w:hAnsi="Arial"/>
          <w:sz w:val="17"/>
          <w:szCs w:val="17"/>
          <w:color w:val="auto"/>
          <w:vertAlign w:val="superscript"/>
        </w:rPr>
      </w:pPr>
      <w:r>
        <w:rPr>
          <w:rFonts w:ascii="Arial" w:cs="Arial" w:eastAsia="Arial" w:hAnsi="Arial"/>
          <w:sz w:val="12"/>
          <w:szCs w:val="12"/>
          <w:color w:val="auto"/>
        </w:rPr>
        <w:t>Primarily related to operations in Switzerland, the United Kingdom, and other jurisdictions with statutory tax rates different than the Bermuda rate.</w:t>
      </w:r>
    </w:p>
    <w:p>
      <w:pPr>
        <w:spacing w:after="0" w:line="136" w:lineRule="exact"/>
        <w:rPr>
          <w:sz w:val="20"/>
          <w:szCs w:val="20"/>
          <w:color w:val="auto"/>
        </w:rPr>
      </w:pPr>
    </w:p>
    <w:p>
      <w:pPr>
        <w:ind w:left="1980" w:right="1119"/>
        <w:spacing w:after="0" w:line="323" w:lineRule="auto"/>
        <w:rPr>
          <w:sz w:val="20"/>
          <w:szCs w:val="20"/>
          <w:color w:val="auto"/>
        </w:rPr>
      </w:pPr>
      <w:r>
        <w:rPr>
          <w:rFonts w:ascii="Arial" w:cs="Arial" w:eastAsia="Arial" w:hAnsi="Arial"/>
          <w:sz w:val="11"/>
          <w:szCs w:val="11"/>
          <w:color w:val="auto"/>
        </w:rPr>
        <w:t>The Company’s effective tax rates were (0.19)% and (1.27)% for the years ended March 31, 2021 and 2020, respectively, driven by the Company’s jurisdictional earnings by location and a valuation allowance that eliminates the Company’s global net deferred tax assets.</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72" w:right="1440" w:bottom="1440" w:gutter="0" w:footer="0" w:header="0"/>
        </w:sectPr>
      </w:pPr>
    </w:p>
    <w:bookmarkStart w:id="364" w:name="page365"/>
    <w:bookmarkEnd w:id="3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2021 and 2020 are as follows (in thousands):</w:t>
      </w:r>
    </w:p>
    <w:p>
      <w:pPr>
        <w:spacing w:after="0" w:line="14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0"/>
                <w:szCs w:val="10"/>
                <w:b w:val="1"/>
                <w:bCs w:val="1"/>
                <w:color w:val="auto"/>
              </w:rPr>
              <w:t>March 31, 2021</w:t>
            </w: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133"/>
        </w:trPr>
        <w:tc>
          <w:tcPr>
            <w:tcW w:w="35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Deferred tax assets</w:t>
            </w: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40"/>
              <w:spacing w:after="0"/>
              <w:rPr>
                <w:sz w:val="20"/>
                <w:szCs w:val="20"/>
                <w:color w:val="auto"/>
              </w:rPr>
            </w:pPr>
            <w:r>
              <w:rPr>
                <w:rFonts w:ascii="Arial" w:cs="Arial" w:eastAsia="Arial" w:hAnsi="Arial"/>
                <w:sz w:val="12"/>
                <w:szCs w:val="12"/>
                <w:color w:val="auto"/>
              </w:rPr>
              <w:t>Research tax credits</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2"/>
                <w:szCs w:val="12"/>
                <w:color w:val="auto"/>
              </w:rPr>
              <w:t>19,063</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6,303</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Intangible assets</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50,564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43,626</w:t>
            </w:r>
          </w:p>
        </w:tc>
        <w:tc>
          <w:tcPr>
            <w:tcW w:w="0" w:type="dxa"/>
            <w:vAlign w:val="bottom"/>
          </w:tcPr>
          <w:p>
            <w:pPr>
              <w:spacing w:after="0"/>
              <w:rPr>
                <w:sz w:val="1"/>
                <w:szCs w:val="1"/>
                <w:color w:val="auto"/>
              </w:rPr>
            </w:pPr>
          </w:p>
        </w:tc>
      </w:tr>
      <w:tr>
        <w:trPr>
          <w:trHeight w:val="144"/>
        </w:trPr>
        <w:tc>
          <w:tcPr>
            <w:tcW w:w="3580" w:type="dxa"/>
            <w:vAlign w:val="bottom"/>
          </w:tcPr>
          <w:p>
            <w:pPr>
              <w:ind w:left="240"/>
              <w:spacing w:after="0"/>
              <w:rPr>
                <w:sz w:val="20"/>
                <w:szCs w:val="20"/>
                <w:color w:val="auto"/>
              </w:rPr>
            </w:pPr>
            <w:r>
              <w:rPr>
                <w:rFonts w:ascii="Arial" w:cs="Arial" w:eastAsia="Arial" w:hAnsi="Arial"/>
                <w:sz w:val="12"/>
                <w:szCs w:val="12"/>
                <w:color w:val="auto"/>
              </w:rPr>
              <w:t>Net operating loss</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2"/>
                <w:szCs w:val="12"/>
                <w:color w:val="auto"/>
              </w:rPr>
              <w:t>202,906</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116,619</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26,623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18,413</w:t>
            </w:r>
          </w:p>
        </w:tc>
        <w:tc>
          <w:tcPr>
            <w:tcW w:w="0" w:type="dxa"/>
            <w:vAlign w:val="bottom"/>
          </w:tcPr>
          <w:p>
            <w:pPr>
              <w:spacing w:after="0"/>
              <w:rPr>
                <w:sz w:val="1"/>
                <w:szCs w:val="1"/>
                <w:color w:val="auto"/>
              </w:rPr>
            </w:pPr>
          </w:p>
        </w:tc>
      </w:tr>
      <w:tr>
        <w:trPr>
          <w:trHeight w:val="144"/>
        </w:trPr>
        <w:tc>
          <w:tcPr>
            <w:tcW w:w="3580" w:type="dxa"/>
            <w:vAlign w:val="bottom"/>
          </w:tcPr>
          <w:p>
            <w:pPr>
              <w:ind w:left="240"/>
              <w:spacing w:after="0"/>
              <w:rPr>
                <w:sz w:val="20"/>
                <w:szCs w:val="20"/>
                <w:color w:val="auto"/>
              </w:rPr>
            </w:pPr>
            <w:r>
              <w:rPr>
                <w:rFonts w:ascii="Arial" w:cs="Arial" w:eastAsia="Arial" w:hAnsi="Arial"/>
                <w:sz w:val="12"/>
                <w:szCs w:val="12"/>
                <w:color w:val="auto"/>
              </w:rPr>
              <w:t>Lease liabilities</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2"/>
                <w:szCs w:val="12"/>
                <w:color w:val="auto"/>
              </w:rPr>
              <w:t>16,638</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17,194</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7,303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480"/>
              <w:spacing w:after="0"/>
              <w:rPr>
                <w:sz w:val="20"/>
                <w:szCs w:val="20"/>
                <w:color w:val="auto"/>
              </w:rPr>
            </w:pPr>
            <w:r>
              <w:rPr>
                <w:rFonts w:ascii="Arial" w:cs="Arial" w:eastAsia="Arial" w:hAnsi="Arial"/>
                <w:sz w:val="12"/>
                <w:szCs w:val="12"/>
                <w:color w:val="auto"/>
              </w:rPr>
              <w:t>Subtotal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2"/>
                <w:szCs w:val="12"/>
                <w:color w:val="auto"/>
              </w:rPr>
              <w:t>323,097</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209,215</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(303,287)</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(187,831)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2"/>
                <w:szCs w:val="12"/>
                <w:b w:val="1"/>
                <w:bCs w:val="1"/>
                <w:color w:val="auto"/>
              </w:rPr>
              <w:t>Deferred tax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(1,214)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(1,833)</w:t>
            </w:r>
          </w:p>
        </w:tc>
        <w:tc>
          <w:tcPr>
            <w:tcW w:w="0" w:type="dxa"/>
            <w:vAlign w:val="bottom"/>
          </w:tcPr>
          <w:p>
            <w:pPr>
              <w:spacing w:after="0"/>
              <w:rPr>
                <w:sz w:val="1"/>
                <w:szCs w:val="1"/>
                <w:color w:val="auto"/>
              </w:rPr>
            </w:pPr>
          </w:p>
        </w:tc>
      </w:tr>
      <w:tr>
        <w:trPr>
          <w:trHeight w:val="144"/>
        </w:trPr>
        <w:tc>
          <w:tcPr>
            <w:tcW w:w="3580" w:type="dxa"/>
            <w:vAlign w:val="bottom"/>
          </w:tcPr>
          <w:p>
            <w:pPr>
              <w:ind w:left="240"/>
              <w:spacing w:after="0"/>
              <w:rPr>
                <w:sz w:val="20"/>
                <w:szCs w:val="20"/>
                <w:color w:val="auto"/>
              </w:rPr>
            </w:pPr>
            <w:r>
              <w:rPr>
                <w:rFonts w:ascii="Arial" w:cs="Arial" w:eastAsia="Arial" w:hAnsi="Arial"/>
                <w:sz w:val="12"/>
                <w:szCs w:val="12"/>
                <w:color w:val="auto"/>
              </w:rPr>
              <w:t>Right-of-use assets</w:t>
            </w:r>
          </w:p>
        </w:tc>
        <w:tc>
          <w:tcPr>
            <w:tcW w:w="140" w:type="dxa"/>
            <w:vAlign w:val="bottom"/>
          </w:tcPr>
          <w:p>
            <w:pPr>
              <w:spacing w:after="0"/>
              <w:rPr>
                <w:sz w:val="12"/>
                <w:szCs w:val="12"/>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2"/>
                <w:szCs w:val="12"/>
                <w:color w:val="auto"/>
              </w:rPr>
              <w:t>(13,908)</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(15,409)</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(4,688)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(4,142)</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20"/>
                <w:szCs w:val="20"/>
                <w:color w:val="auto"/>
              </w:rPr>
            </w:pPr>
            <w:r>
              <w:rPr>
                <w:rFonts w:ascii="Arial" w:cs="Arial" w:eastAsia="Arial" w:hAnsi="Arial"/>
                <w:sz w:val="12"/>
                <w:szCs w:val="12"/>
                <w:color w:val="auto"/>
              </w:rPr>
              <w:t>Total deferred tax assets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has Federal net operating losses in Switzerland, the United States, the United Kingdom and other jurisdictions in the amount of</w:t>
      </w:r>
    </w:p>
    <w:p>
      <w:pPr>
        <w:spacing w:after="0" w:line="26" w:lineRule="exact"/>
        <w:rPr>
          <w:sz w:val="20"/>
          <w:szCs w:val="20"/>
          <w:color w:val="auto"/>
        </w:rPr>
      </w:pPr>
    </w:p>
    <w:p>
      <w:pPr>
        <w:ind w:left="1980" w:right="879"/>
        <w:spacing w:after="0" w:line="252" w:lineRule="auto"/>
        <w:rPr>
          <w:sz w:val="20"/>
          <w:szCs w:val="20"/>
          <w:color w:val="auto"/>
        </w:rPr>
      </w:pPr>
      <w:r>
        <w:rPr>
          <w:rFonts w:ascii="Arial" w:cs="Arial" w:eastAsia="Arial" w:hAnsi="Arial"/>
          <w:sz w:val="12"/>
          <w:szCs w:val="12"/>
          <w:color w:val="auto"/>
        </w:rPr>
        <w:t>$1,181.1 million, $122.2 million, $28.6 million, and $75.8 million, respectively. The Switzerland net operating losses will expire in varying amounts between March 31, 2025 and March 31, 2028. The United States net operating losses can be carried forward indefinitely with utilization limited to 80% of future taxable income for tax years beginning on or after January 1, 2021, while the United Kingdom and other net operating losses can be carried forward indefinitely as well, with an annual limitation on utilization. The Company has generated net operating losses from United States state and local jurisdictions in the amount of $69.7 million which will expire in varying amounts between March 31, 2035 and March 31, 2041. The Company has generated $19.1 million of research tax credit carryforwards primarily in the United States, which will expire in varying amounts between March 31, 2035 and March 31, 2041.</w:t>
      </w:r>
    </w:p>
    <w:p>
      <w:pPr>
        <w:spacing w:after="0" w:line="129" w:lineRule="exact"/>
        <w:rPr>
          <w:sz w:val="20"/>
          <w:szCs w:val="20"/>
          <w:color w:val="auto"/>
        </w:rPr>
      </w:pPr>
    </w:p>
    <w:p>
      <w:pPr>
        <w:ind w:left="1980" w:right="839"/>
        <w:spacing w:after="0" w:line="310" w:lineRule="auto"/>
        <w:rPr>
          <w:sz w:val="20"/>
          <w:szCs w:val="20"/>
          <w:color w:val="auto"/>
        </w:rPr>
      </w:pPr>
      <w:r>
        <w:rPr>
          <w:rFonts w:ascii="Arial" w:cs="Arial" w:eastAsia="Arial" w:hAnsi="Arial"/>
          <w:sz w:val="10"/>
          <w:szCs w:val="10"/>
          <w:color w:val="auto"/>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which provides significant negative evidence difficult to overcome, the Company has recorded a valuation allowance of $303.3 million as of March 31, 2021, representing the portion of the deferred tax asset that is not more likely than not to be realized. The amount of the deferred tax asset considered realizable could be adjusted for future factors that would impact the assessment of the objective and subjective evidence of the Company. For the period April 1, 2020 through March 31, 2021, the valuation allowance increased by $115.5 million primarily as a result of corresponding increases in our global net operating losses, as well as our Research Tax Credits. For the period April 1, 2019 through March 31, 2020, the valuation allowance decreased by $168.0 million primarily as a result of the Sumitomo Transaction and the deconsolidation of Sio. The Company will continue to assess the realizability of deferred tax assets at each balance sheet date in order to determine the amount, if any, required for a valuation allowance.</w:t>
      </w:r>
    </w:p>
    <w:p>
      <w:pPr>
        <w:spacing w:after="0" w:line="103"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There are outside basis differences related to the Company’s investment in subsidiaries for which no deferred taxes have been recorded as these would not be subject to tax on repatriation as Bermuda has no tax regime for Bermuda exempted limited companies, and the United Kingdom tax regime relating to company distributions and sales generally provides for exemption from tax for most overseas profits, subject to certain exceptions.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72" w:right="1440" w:bottom="1440" w:gutter="0" w:footer="0" w:header="0"/>
        </w:sectPr>
      </w:pPr>
    </w:p>
    <w:bookmarkStart w:id="365" w:name="page366"/>
    <w:bookmarkEnd w:id="3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tax and is required to file United States, United Kingdom, and Switzerland federal income tax returns, as well as income tax returns in various state, local, and foreign jurisdictions. The Company is subject to tax examinations for tax years ended March 31, 2018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 There are no unrecognized tax benefits recorded as of March 31, 2021 and 2020.</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13—Leases</w:t>
      </w:r>
    </w:p>
    <w:p>
      <w:pPr>
        <w:spacing w:after="0" w:line="82"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The Company’s operating leases consist primarily of real estate leases, including those entered into by certain wholly owned and majority-owned or controlled subsidiaries of RSL. The Company determines if an agreement is or contains a lease at inception. Leases with an initial term of 12 months or less are not recorded on the balance sheet. For real estate leases, the Company elected the expedient to account for lease and non-lease components as a single component.</w:t>
      </w:r>
    </w:p>
    <w:p>
      <w:pPr>
        <w:spacing w:after="0" w:line="12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Right-of-use (“ROU”) assets represent the Company’s right to use an underlying asset for the lease term and lease liabilities represent the Company’s obligation to make lease payments arising from the lease. ROU assets and liabilities are based on the estimated present value of fixed lease payments over the expected lease term and are recognized at the lease commencement date.</w:t>
      </w:r>
    </w:p>
    <w:p>
      <w:pPr>
        <w:spacing w:after="0" w:line="122"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As most of the Company’s leases do not provide an implicit rate, the Company uses an estimated incremental borrowing rate in determining the present value of fixed lease payments based on information available at the lease commencement date. The Company’s incremental borrowing rates are determined based on the term of the lease, the economic environment of the lease, and the effect of collateralization. Certain leases include one or more renewal options, generally for the same period as the initial term of the lease. The exercise of lease renewal options is generally at the Company’s sole discretion and, as such, the Company typically determines that exercise of these renewal options is not reasonably certain. As a result, the Company does not include the renewal option period in the expected lease term and the associated lease payments are not included in the measurement of the ROU asset and lease liability. Certain leases also contain termination options with an associated penalty. Generally, the Company is reasonably certain not to exercise these options and as such, they are not included in the determination of the expected lease term. The Company recognizes operating lease expense on a straight-line basis over the lease term.</w:t>
      </w:r>
    </w:p>
    <w:p>
      <w:pPr>
        <w:spacing w:after="0" w:line="117"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Leases generally provide for payments of nonlease components, such as common area maintenance, real estate taxes and other costs associated with the leased property. For lease agreements entered into or modified after April 1, 2019, the Company accounts for lease components and nonlease components together as a single lease component and, as such, includes fixed payments of nonlease components in the measurement of the ROU assets and lease liabilities. Variable lease payments, such as periodic adjustments for inflation, reimbursement of real estate taxes, any variable common area maintenance and any other variable costs associated with the leased property are expensed as incurred as variable lease costs and are not recorded on the balance sheet.</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Company’s lease agreements do not contain any material residual value guarantees or material restrictions or covenants.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72" w:right="1440" w:bottom="1440" w:gutter="0" w:footer="0" w:header="0"/>
        </w:sectPr>
      </w:pPr>
    </w:p>
    <w:bookmarkStart w:id="366" w:name="page367"/>
    <w:bookmarkEnd w:id="3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components of operating lease expense for the Company were as follows (in thousands):</w:t>
      </w:r>
    </w:p>
    <w:p>
      <w:pPr>
        <w:spacing w:after="0" w:line="170"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1240" w:type="dxa"/>
            <w:vAlign w:val="bottom"/>
            <w:gridSpan w:val="5"/>
          </w:tcPr>
          <w:p>
            <w:pPr>
              <w:ind w:left="120"/>
              <w:spacing w:after="0"/>
              <w:rPr>
                <w:sz w:val="20"/>
                <w:szCs w:val="20"/>
                <w:color w:val="auto"/>
              </w:rPr>
            </w:pPr>
            <w:r>
              <w:rPr>
                <w:rFonts w:ascii="Arial" w:cs="Arial" w:eastAsia="Arial" w:hAnsi="Arial"/>
                <w:sz w:val="10"/>
                <w:szCs w:val="10"/>
                <w:b w:val="1"/>
                <w:bCs w:val="1"/>
                <w:color w:val="auto"/>
              </w:rPr>
              <w:t>Years Ended March 31,</w:t>
            </w:r>
          </w:p>
        </w:tc>
        <w:tc>
          <w:tcPr>
            <w:tcW w:w="0" w:type="dxa"/>
            <w:vAlign w:val="bottom"/>
          </w:tcPr>
          <w:p>
            <w:pPr>
              <w:spacing w:after="0"/>
              <w:rPr>
                <w:sz w:val="1"/>
                <w:szCs w:val="1"/>
                <w:color w:val="auto"/>
              </w:rPr>
            </w:pPr>
          </w:p>
        </w:tc>
      </w:tr>
      <w:tr>
        <w:trPr>
          <w:trHeight w:val="97"/>
        </w:trPr>
        <w:tc>
          <w:tcPr>
            <w:tcW w:w="3740" w:type="dxa"/>
            <w:vAlign w:val="bottom"/>
            <w:tcBorders>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ind w:left="120"/>
              <w:spacing w:after="0" w:line="97" w:lineRule="exact"/>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62"/>
              <w:spacing w:after="0" w:line="97" w:lineRule="exact"/>
              <w:rPr>
                <w:sz w:val="20"/>
                <w:szCs w:val="20"/>
                <w:color w:val="auto"/>
              </w:rPr>
            </w:pPr>
            <w:r>
              <w:rPr>
                <w:rFonts w:ascii="Arial" w:cs="Arial" w:eastAsia="Arial" w:hAnsi="Arial"/>
                <w:sz w:val="10"/>
                <w:szCs w:val="10"/>
                <w:b w:val="1"/>
                <w:bCs w:val="1"/>
                <w:color w:val="auto"/>
                <w:w w:val="98"/>
              </w:rPr>
              <w:t>2020</w:t>
            </w: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lease cost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$ 11,931</w:t>
            </w:r>
          </w:p>
        </w:tc>
        <w:tc>
          <w:tcPr>
            <w:tcW w:w="3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11,515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Arial" w:cs="Arial" w:eastAsia="Arial" w:hAnsi="Arial"/>
                <w:sz w:val="12"/>
                <w:szCs w:val="12"/>
                <w:color w:val="auto"/>
              </w:rPr>
              <w:t>Short-term lease cost</w:t>
            </w:r>
          </w:p>
        </w:tc>
        <w:tc>
          <w:tcPr>
            <w:tcW w:w="420" w:type="dxa"/>
            <w:vAlign w:val="bottom"/>
          </w:tcPr>
          <w:p>
            <w:pPr>
              <w:jc w:val="right"/>
              <w:spacing w:after="0"/>
              <w:rPr>
                <w:sz w:val="20"/>
                <w:szCs w:val="20"/>
                <w:color w:val="auto"/>
              </w:rPr>
            </w:pPr>
            <w:r>
              <w:rPr>
                <w:rFonts w:ascii="Arial" w:cs="Arial" w:eastAsia="Arial" w:hAnsi="Arial"/>
                <w:sz w:val="12"/>
                <w:szCs w:val="12"/>
                <w:color w:val="auto"/>
              </w:rPr>
              <w:t>237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872</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Variable lease cost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3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40"/>
              <w:spacing w:after="0"/>
              <w:rPr>
                <w:sz w:val="20"/>
                <w:szCs w:val="20"/>
                <w:color w:val="auto"/>
              </w:rPr>
            </w:pPr>
            <w:r>
              <w:rPr>
                <w:rFonts w:ascii="Arial" w:cs="Arial" w:eastAsia="Arial" w:hAnsi="Arial"/>
                <w:sz w:val="12"/>
                <w:szCs w:val="12"/>
                <w:color w:val="auto"/>
              </w:rPr>
              <w:t>Total operating lease cost</w:t>
            </w: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5"/>
              </w:rPr>
              <w:t>$ 12,872</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92"/>
              </w:rPr>
              <w:t>12,766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Information related to the Company’s operating lease ROU assets and operating lease liabilities was as follows (in thousands, except periods and percentages):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9"/>
          </w:tcPr>
          <w:p>
            <w:pPr>
              <w:jc w:val="right"/>
              <w:ind w:right="840"/>
              <w:spacing w:after="0"/>
              <w:rPr>
                <w:sz w:val="20"/>
                <w:szCs w:val="20"/>
                <w:color w:val="auto"/>
              </w:rPr>
            </w:pPr>
            <w:r>
              <w:rPr>
                <w:rFonts w:ascii="Arial" w:cs="Arial" w:eastAsia="Arial" w:hAnsi="Arial"/>
                <w:sz w:val="10"/>
                <w:szCs w:val="10"/>
                <w:b w:val="1"/>
                <w:bCs w:val="1"/>
                <w:color w:val="auto"/>
                <w:w w:val="96"/>
              </w:rPr>
              <w:t>During the Year</w:t>
            </w:r>
          </w:p>
        </w:tc>
      </w:tr>
      <w:tr>
        <w:trPr>
          <w:trHeight w:val="113"/>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9"/>
          </w:tcPr>
          <w:p>
            <w:pPr>
              <w:jc w:val="right"/>
              <w:ind w:right="820"/>
              <w:spacing w:after="0" w:line="114" w:lineRule="exact"/>
              <w:rPr>
                <w:sz w:val="20"/>
                <w:szCs w:val="20"/>
                <w:color w:val="auto"/>
              </w:rPr>
            </w:pPr>
            <w:r>
              <w:rPr>
                <w:rFonts w:ascii="Arial" w:cs="Arial" w:eastAsia="Arial" w:hAnsi="Arial"/>
                <w:sz w:val="10"/>
                <w:szCs w:val="10"/>
                <w:b w:val="1"/>
                <w:bCs w:val="1"/>
                <w:color w:val="auto"/>
                <w:w w:val="93"/>
              </w:rPr>
              <w:t>Ended March 31,</w:t>
            </w:r>
          </w:p>
        </w:tc>
      </w:tr>
      <w:tr>
        <w:trPr>
          <w:trHeight w:val="97"/>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top w:val="single" w:sz="8" w:color="auto"/>
            </w:tcBorders>
            <w:gridSpan w:val="2"/>
          </w:tcPr>
          <w:p>
            <w:pPr>
              <w:jc w:val="center"/>
              <w:spacing w:after="0" w:line="97" w:lineRule="exact"/>
              <w:rPr>
                <w:sz w:val="20"/>
                <w:szCs w:val="20"/>
                <w:color w:val="auto"/>
              </w:rPr>
            </w:pPr>
            <w:r>
              <w:rPr>
                <w:rFonts w:ascii="Arial" w:cs="Arial" w:eastAsia="Arial" w:hAnsi="Arial"/>
                <w:sz w:val="10"/>
                <w:szCs w:val="10"/>
                <w:b w:val="1"/>
                <w:bCs w:val="1"/>
                <w:color w:val="auto"/>
                <w:w w:val="89"/>
              </w:rPr>
              <w:t>2021</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jc w:val="center"/>
              <w:ind w:left="1"/>
              <w:spacing w:after="0" w:line="97"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33"/>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3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Cash paid for operating lease liabilities</w:t>
            </w:r>
          </w:p>
        </w:tc>
        <w:tc>
          <w:tcPr>
            <w:tcW w:w="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$8,830</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right w:val="single" w:sz="8" w:color="CCEEFF"/>
            </w:tcBorders>
            <w:gridSpan w:val="3"/>
            <w:shd w:val="clear" w:color="auto" w:fill="CCEEFF"/>
          </w:tcPr>
          <w:p>
            <w:pPr>
              <w:jc w:val="center"/>
              <w:ind w:right="40"/>
              <w:spacing w:after="0" w:line="133" w:lineRule="exact"/>
              <w:rPr>
                <w:sz w:val="20"/>
                <w:szCs w:val="20"/>
                <w:color w:val="auto"/>
              </w:rPr>
            </w:pPr>
            <w:r>
              <w:rPr>
                <w:rFonts w:ascii="Arial" w:cs="Arial" w:eastAsia="Arial" w:hAnsi="Arial"/>
                <w:sz w:val="12"/>
                <w:szCs w:val="12"/>
                <w:color w:val="auto"/>
                <w:w w:val="99"/>
              </w:rPr>
              <w:t>$ 8,108</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320" w:type="dxa"/>
            <w:vAlign w:val="bottom"/>
            <w:gridSpan w:val="2"/>
          </w:tcPr>
          <w:p>
            <w:pPr>
              <w:spacing w:after="0" w:line="135" w:lineRule="exact"/>
              <w:rPr>
                <w:sz w:val="20"/>
                <w:szCs w:val="20"/>
                <w:color w:val="auto"/>
              </w:rPr>
            </w:pPr>
            <w:r>
              <w:rPr>
                <w:rFonts w:ascii="Arial" w:cs="Arial" w:eastAsia="Arial" w:hAnsi="Arial"/>
                <w:sz w:val="12"/>
                <w:szCs w:val="12"/>
                <w:color w:val="auto"/>
                <w:w w:val="88"/>
              </w:rPr>
              <w:t>Operating lease ROU assets obtained in exchange for operating lease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20" w:type="dxa"/>
            <w:vAlign w:val="bottom"/>
            <w:gridSpan w:val="2"/>
          </w:tcPr>
          <w:p>
            <w:pPr>
              <w:ind w:left="120"/>
              <w:spacing w:after="0"/>
              <w:rPr>
                <w:sz w:val="20"/>
                <w:szCs w:val="20"/>
                <w:color w:val="auto"/>
              </w:rPr>
            </w:pPr>
            <w:r>
              <w:rPr>
                <w:rFonts w:ascii="Arial" w:cs="Arial" w:eastAsia="Arial" w:hAnsi="Arial"/>
                <w:sz w:val="12"/>
                <w:szCs w:val="12"/>
                <w:color w:val="auto"/>
              </w:rPr>
              <w:t>liabilities</w:t>
            </w:r>
          </w:p>
        </w:tc>
        <w:tc>
          <w:tcPr>
            <w:tcW w:w="1120" w:type="dxa"/>
            <w:vAlign w:val="bottom"/>
            <w:gridSpan w:val="5"/>
          </w:tcPr>
          <w:p>
            <w:pPr>
              <w:jc w:val="center"/>
              <w:ind w:left="264"/>
              <w:spacing w:after="0"/>
              <w:rPr>
                <w:sz w:val="20"/>
                <w:szCs w:val="20"/>
                <w:color w:val="auto"/>
              </w:rPr>
            </w:pPr>
            <w:r>
              <w:rPr>
                <w:rFonts w:ascii="Arial" w:cs="Arial" w:eastAsia="Arial" w:hAnsi="Arial"/>
                <w:sz w:val="12"/>
                <w:szCs w:val="12"/>
                <w:color w:val="auto"/>
                <w:w w:val="87"/>
              </w:rPr>
              <w:t>$5,491</w:t>
            </w:r>
          </w:p>
        </w:tc>
        <w:tc>
          <w:tcPr>
            <w:tcW w:w="80" w:type="dxa"/>
            <w:vAlign w:val="bottom"/>
          </w:tcPr>
          <w:p>
            <w:pPr>
              <w:spacing w:after="0"/>
              <w:rPr>
                <w:sz w:val="13"/>
                <w:szCs w:val="13"/>
                <w:color w:val="auto"/>
              </w:rPr>
            </w:pPr>
          </w:p>
        </w:tc>
        <w:tc>
          <w:tcPr>
            <w:tcW w:w="460" w:type="dxa"/>
            <w:vAlign w:val="bottom"/>
            <w:gridSpan w:val="4"/>
          </w:tcPr>
          <w:p>
            <w:pPr>
              <w:jc w:val="center"/>
              <w:ind w:right="20"/>
              <w:spacing w:after="0"/>
              <w:rPr>
                <w:sz w:val="20"/>
                <w:szCs w:val="20"/>
                <w:color w:val="auto"/>
              </w:rPr>
            </w:pPr>
            <w:r>
              <w:rPr>
                <w:rFonts w:ascii="Arial" w:cs="Arial" w:eastAsia="Arial" w:hAnsi="Arial"/>
                <w:sz w:val="12"/>
                <w:szCs w:val="12"/>
                <w:color w:val="auto"/>
                <w:w w:val="92"/>
              </w:rPr>
              <w:t>$56,025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0"/>
        </w:trPr>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12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2021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March 31, 2020</w:t>
            </w:r>
          </w:p>
        </w:tc>
      </w:tr>
      <w:tr>
        <w:trPr>
          <w:trHeight w:val="133"/>
        </w:trPr>
        <w:tc>
          <w:tcPr>
            <w:tcW w:w="580" w:type="dxa"/>
            <w:vAlign w:val="bottom"/>
          </w:tcPr>
          <w:p>
            <w:pPr>
              <w:spacing w:after="0"/>
              <w:rPr>
                <w:sz w:val="11"/>
                <w:szCs w:val="11"/>
                <w:color w:val="auto"/>
              </w:rPr>
            </w:pPr>
          </w:p>
        </w:tc>
        <w:tc>
          <w:tcPr>
            <w:tcW w:w="3920" w:type="dxa"/>
            <w:vAlign w:val="bottom"/>
            <w:tcBorders>
              <w:top w:val="single" w:sz="8" w:color="CCEEFF"/>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Weighted average remaining lease term (in years)</w:t>
            </w: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w w:val="83"/>
              </w:rPr>
              <w:t>9.6</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spacing w:after="0"/>
              <w:rPr>
                <w:sz w:val="11"/>
                <w:szCs w:val="11"/>
                <w:color w:val="auto"/>
              </w:rPr>
            </w:pPr>
          </w:p>
        </w:tc>
        <w:tc>
          <w:tcPr>
            <w:tcW w:w="64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10.2</w:t>
            </w:r>
          </w:p>
        </w:tc>
        <w:tc>
          <w:tcPr>
            <w:tcW w:w="140" w:type="dxa"/>
            <w:vAlign w:val="bottom"/>
            <w:tcBorders>
              <w:top w:val="single" w:sz="8" w:color="CCEEFF"/>
            </w:tcBorders>
            <w:shd w:val="clear" w:color="auto" w:fill="CCEEFF"/>
          </w:tcPr>
          <w:p>
            <w:pPr>
              <w:spacing w:after="0"/>
              <w:rPr>
                <w:sz w:val="11"/>
                <w:szCs w:val="11"/>
                <w:color w:val="auto"/>
              </w:rPr>
            </w:pPr>
          </w:p>
        </w:tc>
      </w:tr>
      <w:tr>
        <w:trPr>
          <w:trHeight w:val="153"/>
        </w:trPr>
        <w:tc>
          <w:tcPr>
            <w:tcW w:w="5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2"/>
                <w:szCs w:val="12"/>
                <w:color w:val="auto"/>
              </w:rPr>
              <w:t>Weighted average discount rate</w:t>
            </w:r>
          </w:p>
        </w:tc>
        <w:tc>
          <w:tcPr>
            <w:tcW w:w="880" w:type="dxa"/>
            <w:vAlign w:val="bottom"/>
            <w:gridSpan w:val="4"/>
          </w:tcPr>
          <w:p>
            <w:pPr>
              <w:ind w:left="520"/>
              <w:spacing w:after="0"/>
              <w:rPr>
                <w:sz w:val="20"/>
                <w:szCs w:val="20"/>
                <w:color w:val="auto"/>
              </w:rPr>
            </w:pPr>
            <w:r>
              <w:rPr>
                <w:rFonts w:ascii="Arial" w:cs="Arial" w:eastAsia="Arial" w:hAnsi="Arial"/>
                <w:sz w:val="12"/>
                <w:szCs w:val="12"/>
                <w:color w:val="auto"/>
              </w:rPr>
              <w:t>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6"/>
          </w:tcPr>
          <w:p>
            <w:pPr>
              <w:jc w:val="right"/>
              <w:ind w:right="40"/>
              <w:spacing w:after="0"/>
              <w:rPr>
                <w:sz w:val="20"/>
                <w:szCs w:val="20"/>
                <w:color w:val="auto"/>
              </w:rPr>
            </w:pPr>
            <w:r>
              <w:rPr>
                <w:rFonts w:ascii="Arial" w:cs="Arial" w:eastAsia="Arial" w:hAnsi="Arial"/>
                <w:sz w:val="12"/>
                <w:szCs w:val="12"/>
                <w:color w:val="auto"/>
              </w:rPr>
              <w:t>7.1%</w:t>
            </w:r>
          </w:p>
        </w:tc>
      </w:tr>
      <w:tr>
        <w:trPr>
          <w:trHeight w:val="279"/>
        </w:trPr>
        <w:tc>
          <w:tcPr>
            <w:tcW w:w="4500" w:type="dxa"/>
            <w:vAlign w:val="bottom"/>
            <w:gridSpan w:val="4"/>
          </w:tcPr>
          <w:p>
            <w:pPr>
              <w:spacing w:after="0"/>
              <w:rPr>
                <w:sz w:val="20"/>
                <w:szCs w:val="20"/>
                <w:color w:val="auto"/>
              </w:rPr>
            </w:pPr>
            <w:r>
              <w:rPr>
                <w:rFonts w:ascii="Arial" w:cs="Arial" w:eastAsia="Arial" w:hAnsi="Arial"/>
                <w:sz w:val="12"/>
                <w:szCs w:val="12"/>
                <w:color w:val="auto"/>
                <w:w w:val="91"/>
              </w:rPr>
              <w:t>As of March 31, 2021, maturities of operating lease liabilities were as follows (in thousands):</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1"/>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Years Ending March 31,</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33"/>
        </w:trPr>
        <w:tc>
          <w:tcPr>
            <w:tcW w:w="1180" w:type="dxa"/>
            <w:vAlign w:val="bottom"/>
            <w:gridSpan w:val="2"/>
          </w:tcPr>
          <w:p>
            <w:pPr>
              <w:spacing w:after="0"/>
              <w:rPr>
                <w:sz w:val="11"/>
                <w:szCs w:val="11"/>
                <w:color w:val="auto"/>
              </w:rPr>
            </w:pPr>
          </w:p>
        </w:tc>
        <w:tc>
          <w:tcPr>
            <w:tcW w:w="9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2022</w:t>
            </w:r>
          </w:p>
        </w:tc>
        <w:tc>
          <w:tcPr>
            <w:tcW w:w="2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13,386</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1180" w:type="dxa"/>
            <w:vAlign w:val="bottom"/>
            <w:gridSpan w:val="2"/>
          </w:tcPr>
          <w:p>
            <w:pPr>
              <w:spacing w:after="0"/>
              <w:rPr>
                <w:sz w:val="12"/>
                <w:szCs w:val="12"/>
                <w:color w:val="auto"/>
              </w:rPr>
            </w:pPr>
          </w:p>
        </w:tc>
        <w:tc>
          <w:tcPr>
            <w:tcW w:w="980" w:type="dxa"/>
            <w:vAlign w:val="bottom"/>
          </w:tcPr>
          <w:p>
            <w:pPr>
              <w:spacing w:after="0"/>
              <w:rPr>
                <w:sz w:val="20"/>
                <w:szCs w:val="20"/>
                <w:color w:val="auto"/>
              </w:rPr>
            </w:pPr>
            <w:r>
              <w:rPr>
                <w:rFonts w:ascii="Arial" w:cs="Arial" w:eastAsia="Arial" w:hAnsi="Arial"/>
                <w:sz w:val="12"/>
                <w:szCs w:val="12"/>
                <w:color w:val="auto"/>
              </w:rPr>
              <w:t>2023</w:t>
            </w: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Arial" w:cs="Arial" w:eastAsia="Arial" w:hAnsi="Arial"/>
                <w:sz w:val="12"/>
                <w:szCs w:val="12"/>
                <w:color w:val="auto"/>
                <w:w w:val="97"/>
              </w:rPr>
              <w:t>11,814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gridSpan w:val="2"/>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7"/>
              </w:rPr>
              <w:t>11,718</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gridSpan w:val="2"/>
          </w:tcPr>
          <w:p>
            <w:pPr>
              <w:spacing w:after="0"/>
              <w:rPr>
                <w:sz w:val="12"/>
                <w:szCs w:val="12"/>
                <w:color w:val="auto"/>
              </w:rPr>
            </w:pPr>
          </w:p>
        </w:tc>
        <w:tc>
          <w:tcPr>
            <w:tcW w:w="980" w:type="dxa"/>
            <w:vAlign w:val="bottom"/>
          </w:tcPr>
          <w:p>
            <w:pPr>
              <w:spacing w:after="0"/>
              <w:rPr>
                <w:sz w:val="20"/>
                <w:szCs w:val="20"/>
                <w:color w:val="auto"/>
              </w:rPr>
            </w:pPr>
            <w:r>
              <w:rPr>
                <w:rFonts w:ascii="Arial" w:cs="Arial" w:eastAsia="Arial" w:hAnsi="Arial"/>
                <w:sz w:val="12"/>
                <w:szCs w:val="12"/>
                <w:color w:val="auto"/>
              </w:rPr>
              <w:t>2025</w:t>
            </w: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Arial" w:cs="Arial" w:eastAsia="Arial" w:hAnsi="Arial"/>
                <w:sz w:val="12"/>
                <w:szCs w:val="12"/>
                <w:color w:val="auto"/>
              </w:rPr>
              <w:t>9,734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gridSpan w:val="2"/>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2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8,617</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Thereafter</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7"/>
              </w:rPr>
              <w:t>51,674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2"/>
              </w:rPr>
              <w:t>106,943</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Less: present value adjustment</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2"/>
                <w:szCs w:val="12"/>
                <w:color w:val="auto"/>
                <w:w w:val="89"/>
              </w:rPr>
              <w:t>(29,348)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tenant improvement allowance</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(2,898)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Total</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w w:val="97"/>
              </w:rPr>
              <w:t>74,697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14—Commitments and Contingencies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Significant Agreements</w:t>
      </w:r>
    </w:p>
    <w:p>
      <w:pPr>
        <w:spacing w:after="0" w:line="8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The Company, primarily through its subsidiaries has entered into commitments under various asset acquisition and license agreements including those described in Note 4, “Asset Acquisitions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72" w:right="1440" w:bottom="1440" w:gutter="0" w:footer="0" w:header="0"/>
        </w:sectPr>
      </w:pPr>
    </w:p>
    <w:bookmarkStart w:id="367" w:name="page368"/>
    <w:bookmarkEnd w:id="3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Loss Contingencies</w:t>
      </w:r>
    </w:p>
    <w:p>
      <w:pPr>
        <w:spacing w:after="0" w:line="82"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 The Company is currently not involved in any legal proceedings with a probable and estimable material loss.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Intellectual Property Agreements</w:t>
      </w:r>
    </w:p>
    <w:p>
      <w:pPr>
        <w:spacing w:after="0" w:line="82"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As of March 31, 2021, the Company did not have any ongoing material financial commitments, other than pursuant to various asset acquisition and license agreements including those described in Note 4, “Asset Acquisitions and License Agreements.”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COVID-19 Pandemic</w:t>
      </w:r>
    </w:p>
    <w:p>
      <w:pPr>
        <w:spacing w:after="0" w:line="8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Company has been actively monitoring the impact of the COVID-19 pandemic on its employees and business. Based on guidance issued by federal, state and local authorities, the Company transitioned to a remote work model for its employees in March 2020 and its workforce continues to primarily work remotely.</w:t>
      </w:r>
    </w:p>
    <w:p>
      <w:pPr>
        <w:spacing w:after="0" w:line="122" w:lineRule="exact"/>
        <w:rPr>
          <w:sz w:val="20"/>
          <w:szCs w:val="20"/>
          <w:color w:val="auto"/>
        </w:rPr>
      </w:pPr>
    </w:p>
    <w:p>
      <w:pPr>
        <w:ind w:left="1980" w:right="839"/>
        <w:spacing w:after="0" w:line="311" w:lineRule="auto"/>
        <w:rPr>
          <w:sz w:val="20"/>
          <w:szCs w:val="20"/>
          <w:color w:val="auto"/>
        </w:rPr>
      </w:pPr>
      <w:r>
        <w:rPr>
          <w:rFonts w:ascii="Arial" w:cs="Arial" w:eastAsia="Arial" w:hAnsi="Arial"/>
          <w:sz w:val="10"/>
          <w:szCs w:val="10"/>
          <w:color w:val="auto"/>
        </w:rPr>
        <w:t>The COVID-19 pandemic has had a variable impact on clinical trials by disrupting certain study sites. In the conduct of business activities, the Company continues to take actions designed to protect the safety and well-being of its patients and employees. Although some of the Company’s clinical development timelines have been impacted by delays related to the COVID-19 pandemic, the Company has not experienced material financial impacts on its business and operations as a result of the COVID-19 pandemic. However, the impact on the Company’s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0159"/>
          </w:cols>
          <w:pgMar w:left="300" w:top="372" w:right="1440" w:bottom="1440" w:gutter="0" w:footer="0" w:header="0"/>
        </w:sectPr>
      </w:pPr>
    </w:p>
    <w:bookmarkStart w:id="368" w:name="page369"/>
    <w:bookmarkEnd w:id="3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15—Fair Value Measurements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Recurring Fair Value Measurements</w:t>
      </w:r>
    </w:p>
    <w:p>
      <w:pPr>
        <w:spacing w:after="0" w:line="82"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following table sets forth the Company’s assets and liabilities that are measured at fair value on a recurring basis as of March 31, 2021 and 2020, by level, within the fair value hierarchy (in thousands):</w:t>
      </w: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86"/>
              </w:rPr>
              <w:t>As of March 31, 2021</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88"/>
              </w:rPr>
              <w:t>As of March 31, 2020</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3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ind w:left="20"/>
              <w:spacing w:after="0" w:line="74" w:lineRule="exact"/>
              <w:rPr>
                <w:sz w:val="20"/>
                <w:szCs w:val="20"/>
                <w:color w:val="auto"/>
              </w:rPr>
            </w:pPr>
            <w:r>
              <w:rPr>
                <w:rFonts w:ascii="Arial" w:cs="Arial" w:eastAsia="Arial" w:hAnsi="Arial"/>
                <w:sz w:val="8"/>
                <w:szCs w:val="8"/>
                <w:b w:val="1"/>
                <w:bCs w:val="1"/>
                <w:color w:val="auto"/>
              </w:rPr>
              <w:t>Balance as of</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Balance as of</w:t>
            </w:r>
          </w:p>
        </w:tc>
        <w:tc>
          <w:tcPr>
            <w:tcW w:w="40" w:type="dxa"/>
            <w:vAlign w:val="bottom"/>
          </w:tcPr>
          <w:p>
            <w:pPr>
              <w:spacing w:after="0"/>
              <w:rPr>
                <w:sz w:val="6"/>
                <w:szCs w:val="6"/>
                <w:color w:val="auto"/>
              </w:rPr>
            </w:pPr>
          </w:p>
        </w:tc>
      </w:tr>
      <w:tr>
        <w:trPr>
          <w:trHeight w:val="99"/>
        </w:trPr>
        <w:tc>
          <w:tcPr>
            <w:tcW w:w="3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March 31,</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w w:val="86"/>
              </w:rPr>
              <w:t>March 31,</w:t>
            </w:r>
          </w:p>
        </w:tc>
      </w:tr>
      <w:tr>
        <w:trPr>
          <w:trHeight w:val="113"/>
        </w:trPr>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Level 1</w:t>
            </w:r>
          </w:p>
        </w:tc>
        <w:tc>
          <w:tcPr>
            <w:tcW w:w="4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Level 2</w:t>
            </w:r>
          </w:p>
        </w:tc>
        <w:tc>
          <w:tcPr>
            <w:tcW w:w="480" w:type="dxa"/>
            <w:vAlign w:val="bottom"/>
            <w:gridSpan w:val="3"/>
          </w:tcPr>
          <w:p>
            <w:pPr>
              <w:jc w:val="right"/>
              <w:ind w:right="140"/>
              <w:spacing w:after="0" w:line="114" w:lineRule="exact"/>
              <w:rPr>
                <w:sz w:val="20"/>
                <w:szCs w:val="20"/>
                <w:color w:val="auto"/>
              </w:rPr>
            </w:pPr>
            <w:r>
              <w:rPr>
                <w:rFonts w:ascii="Arial" w:cs="Arial" w:eastAsia="Arial" w:hAnsi="Arial"/>
                <w:sz w:val="10"/>
                <w:szCs w:val="10"/>
                <w:b w:val="1"/>
                <w:bCs w:val="1"/>
                <w:color w:val="auto"/>
                <w:w w:val="94"/>
              </w:rPr>
              <w:t>Level 3</w:t>
            </w:r>
          </w:p>
        </w:tc>
        <w:tc>
          <w:tcPr>
            <w:tcW w:w="60" w:type="dxa"/>
            <w:vAlign w:val="bottom"/>
          </w:tcPr>
          <w:p>
            <w:pPr>
              <w:spacing w:after="0"/>
              <w:rPr>
                <w:sz w:val="9"/>
                <w:szCs w:val="9"/>
                <w:color w:val="auto"/>
              </w:rPr>
            </w:pPr>
          </w:p>
        </w:tc>
        <w:tc>
          <w:tcPr>
            <w:tcW w:w="500" w:type="dxa"/>
            <w:vAlign w:val="bottom"/>
          </w:tcPr>
          <w:p>
            <w:pPr>
              <w:jc w:val="right"/>
              <w:ind w:right="132"/>
              <w:spacing w:after="0" w:line="114" w:lineRule="exact"/>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Level 1</w:t>
            </w:r>
          </w:p>
        </w:tc>
        <w:tc>
          <w:tcPr>
            <w:tcW w:w="4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Level 2</w:t>
            </w:r>
          </w:p>
        </w:tc>
        <w:tc>
          <w:tcPr>
            <w:tcW w:w="50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94"/>
              </w:rPr>
              <w:t>Level 3</w:t>
            </w:r>
          </w:p>
        </w:tc>
        <w:tc>
          <w:tcPr>
            <w:tcW w:w="60" w:type="dxa"/>
            <w:vAlign w:val="bottom"/>
          </w:tcPr>
          <w:p>
            <w:pPr>
              <w:spacing w:after="0"/>
              <w:rPr>
                <w:sz w:val="9"/>
                <w:szCs w:val="9"/>
                <w:color w:val="auto"/>
              </w:rPr>
            </w:pPr>
          </w:p>
        </w:tc>
        <w:tc>
          <w:tcPr>
            <w:tcW w:w="500" w:type="dxa"/>
            <w:vAlign w:val="bottom"/>
          </w:tcPr>
          <w:p>
            <w:pPr>
              <w:jc w:val="right"/>
              <w:ind w:right="132"/>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r>
      <w:tr>
        <w:trPr>
          <w:trHeight w:val="88"/>
        </w:trPr>
        <w:tc>
          <w:tcPr>
            <w:tcW w:w="31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Assets:</w:t>
            </w:r>
          </w:p>
        </w:tc>
        <w:tc>
          <w:tcPr>
            <w:tcW w:w="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99"/>
        </w:trPr>
        <w:tc>
          <w:tcPr>
            <w:tcW w:w="3140" w:type="dxa"/>
            <w:vAlign w:val="bottom"/>
          </w:tcPr>
          <w:p>
            <w:pPr>
              <w:spacing w:after="0" w:line="99" w:lineRule="exact"/>
              <w:rPr>
                <w:sz w:val="20"/>
                <w:szCs w:val="20"/>
                <w:color w:val="auto"/>
              </w:rPr>
            </w:pPr>
            <w:r>
              <w:rPr>
                <w:rFonts w:ascii="Arial" w:cs="Arial" w:eastAsia="Arial" w:hAnsi="Arial"/>
                <w:sz w:val="10"/>
                <w:szCs w:val="10"/>
                <w:color w:val="auto"/>
              </w:rPr>
              <w:t>Money market funds</w:t>
            </w:r>
          </w:p>
        </w:tc>
        <w:tc>
          <w:tcPr>
            <w:tcW w:w="60" w:type="dxa"/>
            <w:vAlign w:val="bottom"/>
          </w:tcPr>
          <w:p>
            <w:pPr>
              <w:jc w:val="right"/>
              <w:spacing w:after="0" w:line="99" w:lineRule="exact"/>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85"/>
              </w:rPr>
              <w:t>1,420,597</w:t>
            </w: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ind w:left="14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jc w:val="center"/>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line="99"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1,420,597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85"/>
              </w:rPr>
              <w:t>1,874,662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jc w:val="center"/>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line="99"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1,874,662</w:t>
            </w:r>
          </w:p>
        </w:tc>
      </w:tr>
      <w:tr>
        <w:trPr>
          <w:trHeight w:val="99"/>
        </w:trPr>
        <w:tc>
          <w:tcPr>
            <w:tcW w:w="31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 in Sio common shares</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48,487</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4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48,487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45,329</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45,329</w:t>
            </w:r>
          </w:p>
        </w:tc>
      </w:tr>
      <w:tr>
        <w:trPr>
          <w:trHeight w:val="99"/>
        </w:trPr>
        <w:tc>
          <w:tcPr>
            <w:tcW w:w="3140" w:type="dxa"/>
            <w:vAlign w:val="bottom"/>
          </w:tcPr>
          <w:p>
            <w:pPr>
              <w:spacing w:after="0" w:line="99" w:lineRule="exact"/>
              <w:rPr>
                <w:sz w:val="20"/>
                <w:szCs w:val="20"/>
                <w:color w:val="auto"/>
              </w:rPr>
            </w:pPr>
            <w:r>
              <w:rPr>
                <w:rFonts w:ascii="Arial" w:cs="Arial" w:eastAsia="Arial" w:hAnsi="Arial"/>
                <w:sz w:val="10"/>
                <w:szCs w:val="10"/>
                <w:color w:val="auto"/>
              </w:rPr>
              <w:t>Investment in Arbutus common shares</w:t>
            </w:r>
          </w:p>
        </w:tc>
        <w:tc>
          <w:tcPr>
            <w:tcW w:w="60" w:type="dxa"/>
            <w:vAlign w:val="bottom"/>
          </w:tcPr>
          <w:p>
            <w:pPr>
              <w:spacing w:after="0"/>
              <w:rPr>
                <w:sz w:val="8"/>
                <w:szCs w:val="8"/>
                <w:color w:val="auto"/>
              </w:rPr>
            </w:pPr>
          </w:p>
        </w:tc>
        <w:tc>
          <w:tcPr>
            <w:tcW w:w="5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53,325</w:t>
            </w:r>
          </w:p>
        </w:tc>
        <w:tc>
          <w:tcPr>
            <w:tcW w:w="40" w:type="dxa"/>
            <w:vAlign w:val="bottom"/>
          </w:tcPr>
          <w:p>
            <w:pPr>
              <w:spacing w:after="0"/>
              <w:rPr>
                <w:sz w:val="8"/>
                <w:szCs w:val="8"/>
                <w:color w:val="auto"/>
              </w:rPr>
            </w:pPr>
          </w:p>
        </w:tc>
        <w:tc>
          <w:tcPr>
            <w:tcW w:w="380" w:type="dxa"/>
            <w:vAlign w:val="bottom"/>
            <w:gridSpan w:val="2"/>
          </w:tcPr>
          <w:p>
            <w:pPr>
              <w:ind w:left="14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53,325</w:t>
            </w:r>
          </w:p>
        </w:tc>
        <w:tc>
          <w:tcPr>
            <w:tcW w:w="60" w:type="dxa"/>
            <w:vAlign w:val="bottom"/>
          </w:tcPr>
          <w:p>
            <w:pPr>
              <w:spacing w:after="0"/>
              <w:rPr>
                <w:sz w:val="8"/>
                <w:szCs w:val="8"/>
                <w:color w:val="auto"/>
              </w:rPr>
            </w:pPr>
          </w:p>
        </w:tc>
        <w:tc>
          <w:tcPr>
            <w:tcW w:w="5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16,174</w:t>
            </w:r>
          </w:p>
        </w:tc>
        <w:tc>
          <w:tcPr>
            <w:tcW w:w="60" w:type="dxa"/>
            <w:vAlign w:val="bottom"/>
          </w:tcPr>
          <w:p>
            <w:pPr>
              <w:spacing w:after="0"/>
              <w:rPr>
                <w:sz w:val="8"/>
                <w:szCs w:val="8"/>
                <w:color w:val="auto"/>
              </w:rPr>
            </w:pPr>
          </w:p>
        </w:tc>
        <w:tc>
          <w:tcPr>
            <w:tcW w:w="36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16,174</w:t>
            </w:r>
          </w:p>
        </w:tc>
      </w:tr>
      <w:tr>
        <w:trPr>
          <w:trHeight w:val="99"/>
        </w:trPr>
        <w:tc>
          <w:tcPr>
            <w:tcW w:w="31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Investment in Arbutus convertible preferred shares</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color w:val="auto"/>
              </w:rPr>
              <w:t>76,037</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76,037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6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23,062</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23,062</w:t>
            </w:r>
          </w:p>
        </w:tc>
      </w:tr>
      <w:tr>
        <w:trPr>
          <w:trHeight w:val="99"/>
        </w:trPr>
        <w:tc>
          <w:tcPr>
            <w:tcW w:w="3140" w:type="dxa"/>
            <w:vAlign w:val="bottom"/>
          </w:tcPr>
          <w:p>
            <w:pPr>
              <w:spacing w:after="0" w:line="99" w:lineRule="exact"/>
              <w:rPr>
                <w:sz w:val="20"/>
                <w:szCs w:val="20"/>
                <w:color w:val="auto"/>
              </w:rPr>
            </w:pPr>
            <w:r>
              <w:rPr>
                <w:rFonts w:ascii="Arial" w:cs="Arial" w:eastAsia="Arial" w:hAnsi="Arial"/>
                <w:sz w:val="10"/>
                <w:szCs w:val="10"/>
                <w:color w:val="auto"/>
              </w:rPr>
              <w:t>Other investments</w:t>
            </w: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11,129</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ind w:left="14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11,129</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8,880</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ind w:left="12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2"/>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8,880</w:t>
            </w:r>
          </w:p>
        </w:tc>
        <w:tc>
          <w:tcPr>
            <w:tcW w:w="40" w:type="dxa"/>
            <w:vAlign w:val="bottom"/>
          </w:tcPr>
          <w:p>
            <w:pPr>
              <w:spacing w:after="0"/>
              <w:rPr>
                <w:sz w:val="8"/>
                <w:szCs w:val="8"/>
                <w:color w:val="auto"/>
              </w:rPr>
            </w:pPr>
          </w:p>
        </w:tc>
      </w:tr>
      <w:tr>
        <w:trPr>
          <w:trHeight w:val="104"/>
        </w:trPr>
        <w:tc>
          <w:tcPr>
            <w:tcW w:w="314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Total assets at fair value</w:t>
            </w:r>
          </w:p>
        </w:tc>
        <w:tc>
          <w:tcPr>
            <w:tcW w:w="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w w:val="85"/>
              </w:rPr>
              <w:t>1,533,538</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ind w:left="20"/>
              <w:spacing w:after="0" w:line="97" w:lineRule="exact"/>
              <w:rPr>
                <w:sz w:val="20"/>
                <w:szCs w:val="20"/>
                <w:color w:val="auto"/>
              </w:rPr>
            </w:pPr>
            <w:r>
              <w:rPr>
                <w:rFonts w:ascii="Arial" w:cs="Arial" w:eastAsia="Arial" w:hAnsi="Arial"/>
                <w:sz w:val="10"/>
                <w:szCs w:val="10"/>
                <w:color w:val="auto"/>
              </w:rPr>
              <w:t>76,037</w:t>
            </w:r>
          </w:p>
        </w:tc>
        <w:tc>
          <w:tcPr>
            <w:tcW w:w="60" w:type="dxa"/>
            <w:vAlign w:val="bottom"/>
            <w:shd w:val="clear" w:color="auto" w:fill="CCEEFF"/>
          </w:tcPr>
          <w:p>
            <w:pPr>
              <w:jc w:val="center"/>
              <w:spacing w:after="0" w:line="97"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40"/>
              <w:spacing w:after="0" w:line="97"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rPr>
              <w:t>1,609,575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w w:val="85"/>
              </w:rPr>
              <w:t>1,945,045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color w:val="auto"/>
              </w:rPr>
              <w:t>23,062</w:t>
            </w:r>
          </w:p>
        </w:tc>
        <w:tc>
          <w:tcPr>
            <w:tcW w:w="60" w:type="dxa"/>
            <w:vAlign w:val="bottom"/>
            <w:shd w:val="clear" w:color="auto" w:fill="CCEEFF"/>
          </w:tcPr>
          <w:p>
            <w:pPr>
              <w:jc w:val="center"/>
              <w:spacing w:after="0" w:line="97"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1,968,107</w:t>
            </w:r>
          </w:p>
        </w:tc>
      </w:tr>
      <w:tr>
        <w:trPr>
          <w:trHeight w:val="108"/>
        </w:trPr>
        <w:tc>
          <w:tcPr>
            <w:tcW w:w="3140" w:type="dxa"/>
            <w:vAlign w:val="bottom"/>
          </w:tcPr>
          <w:p>
            <w:pPr>
              <w:spacing w:after="0" w:line="108" w:lineRule="exact"/>
              <w:rPr>
                <w:sz w:val="20"/>
                <w:szCs w:val="20"/>
                <w:color w:val="auto"/>
              </w:rPr>
            </w:pPr>
            <w:r>
              <w:rPr>
                <w:rFonts w:ascii="Arial" w:cs="Arial" w:eastAsia="Arial" w:hAnsi="Arial"/>
                <w:sz w:val="10"/>
                <w:szCs w:val="10"/>
                <w:color w:val="auto"/>
              </w:rPr>
              <w:t>Liabilities:</w:t>
            </w: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31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Debt held by Dermavant with NovaQuest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ind w:left="14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w w:val="82"/>
              </w:rPr>
              <w:t>150,100</w:t>
            </w:r>
          </w:p>
        </w:tc>
        <w:tc>
          <w:tcPr>
            <w:tcW w:w="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150,100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ind w:left="26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ind w:left="1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89,100</w:t>
            </w:r>
          </w:p>
        </w:tc>
        <w:tc>
          <w:tcPr>
            <w:tcW w:w="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89,100</w:t>
            </w:r>
          </w:p>
        </w:tc>
      </w:tr>
      <w:tr>
        <w:trPr>
          <w:trHeight w:val="99"/>
        </w:trPr>
        <w:tc>
          <w:tcPr>
            <w:tcW w:w="3140" w:type="dxa"/>
            <w:vAlign w:val="bottom"/>
          </w:tcPr>
          <w:p>
            <w:pPr>
              <w:spacing w:after="0" w:line="99" w:lineRule="exact"/>
              <w:rPr>
                <w:sz w:val="20"/>
                <w:szCs w:val="20"/>
                <w:color w:val="auto"/>
              </w:rPr>
            </w:pPr>
            <w:r>
              <w:rPr>
                <w:rFonts w:ascii="Arial" w:cs="Arial" w:eastAsia="Arial" w:hAnsi="Arial"/>
                <w:sz w:val="10"/>
                <w:szCs w:val="10"/>
                <w:color w:val="auto"/>
              </w:rPr>
              <w:t>Liability instruments measured at fair value</w:t>
            </w:r>
          </w:p>
        </w:tc>
        <w:tc>
          <w:tcPr>
            <w:tcW w:w="60" w:type="dxa"/>
            <w:vAlign w:val="bottom"/>
          </w:tcPr>
          <w:p>
            <w:pPr>
              <w:spacing w:after="0"/>
              <w:rPr>
                <w:sz w:val="8"/>
                <w:szCs w:val="8"/>
                <w:color w:val="auto"/>
              </w:rPr>
            </w:pPr>
          </w:p>
        </w:tc>
        <w:tc>
          <w:tcPr>
            <w:tcW w:w="400" w:type="dxa"/>
            <w:vAlign w:val="bottom"/>
          </w:tcPr>
          <w:p>
            <w:pPr>
              <w:ind w:left="24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ind w:left="14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97"/>
              </w:rPr>
              <w:t>67,893</w:t>
            </w:r>
          </w:p>
        </w:tc>
        <w:tc>
          <w:tcPr>
            <w:tcW w:w="60" w:type="dxa"/>
            <w:vAlign w:val="bottom"/>
          </w:tcPr>
          <w:p>
            <w:pPr>
              <w:spacing w:after="0"/>
              <w:rPr>
                <w:sz w:val="8"/>
                <w:szCs w:val="8"/>
                <w:color w:val="auto"/>
              </w:rPr>
            </w:pPr>
          </w:p>
        </w:tc>
        <w:tc>
          <w:tcPr>
            <w:tcW w:w="6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67,893</w:t>
            </w:r>
          </w:p>
        </w:tc>
        <w:tc>
          <w:tcPr>
            <w:tcW w:w="60" w:type="dxa"/>
            <w:vAlign w:val="bottom"/>
          </w:tcPr>
          <w:p>
            <w:pPr>
              <w:spacing w:after="0"/>
              <w:rPr>
                <w:sz w:val="8"/>
                <w:szCs w:val="8"/>
                <w:color w:val="auto"/>
              </w:rPr>
            </w:pPr>
          </w:p>
        </w:tc>
        <w:tc>
          <w:tcPr>
            <w:tcW w:w="500" w:type="dxa"/>
            <w:vAlign w:val="bottom"/>
            <w:gridSpan w:val="2"/>
          </w:tcPr>
          <w:p>
            <w:pPr>
              <w:ind w:left="26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360" w:type="dxa"/>
            <w:vAlign w:val="bottom"/>
            <w:gridSpan w:val="2"/>
          </w:tcPr>
          <w:p>
            <w:pPr>
              <w:ind w:left="1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88"/>
              </w:rPr>
              <w:t>102,373</w:t>
            </w:r>
          </w:p>
        </w:tc>
        <w:tc>
          <w:tcPr>
            <w:tcW w:w="6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102,373</w:t>
            </w:r>
          </w:p>
        </w:tc>
      </w:tr>
      <w:tr>
        <w:trPr>
          <w:trHeight w:val="20"/>
        </w:trPr>
        <w:tc>
          <w:tcPr>
            <w:tcW w:w="3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314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Total liabilities at fair value</w:t>
            </w:r>
          </w:p>
        </w:tc>
        <w:tc>
          <w:tcPr>
            <w:tcW w:w="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240"/>
              <w:spacing w:after="0" w:line="97"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ind w:left="140"/>
              <w:spacing w:after="0" w:line="97"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center"/>
              <w:spacing w:after="0" w:line="97"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w w:val="82"/>
              </w:rPr>
              <w:t>217,993</w:t>
            </w:r>
          </w:p>
        </w:tc>
        <w:tc>
          <w:tcPr>
            <w:tcW w:w="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rPr>
              <w:t>217,993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ind w:left="260"/>
              <w:spacing w:after="0" w:line="97"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ind w:left="120"/>
              <w:spacing w:after="0" w:line="97"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center"/>
              <w:spacing w:after="0" w:line="97"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w w:val="88"/>
              </w:rPr>
              <w:t>191,473</w:t>
            </w:r>
          </w:p>
        </w:tc>
        <w:tc>
          <w:tcPr>
            <w:tcW w:w="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191,473</w:t>
            </w:r>
          </w:p>
        </w:tc>
      </w:tr>
      <w:tr>
        <w:trPr>
          <w:trHeight w:val="27"/>
        </w:trPr>
        <w:tc>
          <w:tcPr>
            <w:tcW w:w="3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There were no transfers of assets between Level 1 and Level 2 of the fair value measurement hierarchy that occurred during the years ended March 31, 2021 and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Level 3 Disclosures</w:t>
      </w:r>
    </w:p>
    <w:p>
      <w:pPr>
        <w:spacing w:after="0" w:line="78" w:lineRule="exact"/>
        <w:rPr>
          <w:sz w:val="20"/>
          <w:szCs w:val="20"/>
          <w:color w:val="auto"/>
        </w:rPr>
      </w:pPr>
    </w:p>
    <w:p>
      <w:pPr>
        <w:ind w:left="1980" w:right="979"/>
        <w:spacing w:after="0" w:line="255" w:lineRule="auto"/>
        <w:rPr>
          <w:sz w:val="20"/>
          <w:szCs w:val="20"/>
          <w:color w:val="auto"/>
        </w:rPr>
      </w:pPr>
      <w:r>
        <w:rPr>
          <w:rFonts w:ascii="Arial" w:cs="Arial" w:eastAsia="Arial" w:hAnsi="Arial"/>
          <w:sz w:val="12"/>
          <w:szCs w:val="12"/>
          <w:color w:val="auto"/>
        </w:rPr>
        <w:t>The Company measures its Level 3 liabilities, including debt issued by Dermavant to NovaQuest and the Sumitomo Options, at fair value based on significant inputs not observable in the market, which causes them to be classified as a Level 3 measurement within the fair value hierarchy.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28"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The fair value of Level 3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72" w:right="1440" w:bottom="1440" w:gutter="0" w:footer="0" w:header="0"/>
        </w:sectPr>
      </w:pPr>
    </w:p>
    <w:bookmarkStart w:id="369" w:name="page370"/>
    <w:bookmarkEnd w:id="3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The changes in fair value of the Level 3 liabilities during the years ended March 31, 2021 and 2020 were as follows (in thousands):</w:t>
      </w:r>
    </w:p>
    <w:p>
      <w:pPr>
        <w:spacing w:after="0" w:line="177"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2019</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$103,628</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Issuance of liability instruments measured at fair value</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101,567</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Changes in fair value of debt and liability instruments, included in net loss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(13,722)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color w:val="auto"/>
              </w:rPr>
              <w:t>Balance at March 31, 2020</w:t>
            </w: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191,473</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Changes in fair value of debt and liability instruments, included in net loss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29,845</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Liability instruments disposed due to deconsolidation of subsidiary</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(3,325)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217,993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Debt issued by Dermavant to NovaQuest</w:t>
      </w:r>
    </w:p>
    <w:p>
      <w:pPr>
        <w:spacing w:after="0" w:line="82"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fair value of the debt instrument as of March 31, 2021 and 2020 represents the fair value of amounts payable to NovaQuest using a Monte Carlo simulation model under the income approach determined by using probability assessments of the expected future payments through 2032 and applying discount rates ranging from 6% to 17%.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Sumitomo Options</w:t>
      </w:r>
    </w:p>
    <w:p>
      <w:pPr>
        <w:spacing w:after="0" w:line="82"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The fair value of the options to acquire the Company’s interest in Dermavant, Genevant, Lysovant, Metavant, Cytovant Parent, and Sinovant (collectively, the “Option Vants”) granted to Sumitomo under the Sumitomo Transaction Agreement as of March 31, 2021 and 2020 was calculated using significant unobservable inputs including the following:</w:t>
      </w:r>
    </w:p>
    <w:p>
      <w:pPr>
        <w:spacing w:after="0" w:line="14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9"/>
              </w:rPr>
              <w:t>Input</w:t>
            </w:r>
          </w:p>
        </w:tc>
        <w:tc>
          <w:tcPr>
            <w:tcW w:w="3580" w:type="dxa"/>
            <w:vAlign w:val="bottom"/>
            <w:vMerge w:val="restart"/>
          </w:tcPr>
          <w:p>
            <w:pPr>
              <w:spacing w:after="0"/>
              <w:rPr>
                <w:sz w:val="10"/>
                <w:szCs w:val="1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Range or Point Estimate Used</w:t>
            </w: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tcBorders>
              <w:bottom w:val="single" w:sz="8" w:color="auto"/>
            </w:tcBorders>
            <w:vMerge w:val="continue"/>
          </w:tcPr>
          <w:p>
            <w:pPr>
              <w:spacing w:after="0"/>
              <w:rPr>
                <w:sz w:val="8"/>
                <w:szCs w:val="8"/>
                <w:color w:val="auto"/>
              </w:rPr>
            </w:pPr>
          </w:p>
        </w:tc>
        <w:tc>
          <w:tcPr>
            <w:tcW w:w="3580" w:type="dxa"/>
            <w:vAlign w:val="bottom"/>
            <w:vMerge w:val="continue"/>
          </w:tcPr>
          <w:p>
            <w:pPr>
              <w:spacing w:after="0"/>
              <w:rPr>
                <w:sz w:val="8"/>
                <w:szCs w:val="8"/>
                <w:color w:val="auto"/>
              </w:rPr>
            </w:pPr>
          </w:p>
        </w:tc>
        <w:tc>
          <w:tcPr>
            <w:tcW w:w="1360" w:type="dxa"/>
            <w:vAlign w:val="bottom"/>
            <w:gridSpan w:val="2"/>
          </w:tcPr>
          <w:p>
            <w:pPr>
              <w:ind w:left="40"/>
              <w:spacing w:after="0" w:line="70" w:lineRule="exact"/>
              <w:rPr>
                <w:sz w:val="20"/>
                <w:szCs w:val="20"/>
                <w:color w:val="auto"/>
              </w:rPr>
            </w:pPr>
            <w:r>
              <w:rPr>
                <w:rFonts w:ascii="Arial" w:cs="Arial" w:eastAsia="Arial" w:hAnsi="Arial"/>
                <w:sz w:val="8"/>
                <w:szCs w:val="8"/>
                <w:b w:val="1"/>
                <w:bCs w:val="1"/>
                <w:color w:val="auto"/>
              </w:rPr>
              <w:t>As of March 31, 2021</w:t>
            </w:r>
          </w:p>
        </w:tc>
        <w:tc>
          <w:tcPr>
            <w:tcW w:w="1000" w:type="dxa"/>
            <w:vAlign w:val="bottom"/>
            <w:gridSpan w:val="2"/>
          </w:tcPr>
          <w:p>
            <w:pPr>
              <w:jc w:val="center"/>
              <w:spacing w:after="0" w:line="70" w:lineRule="exact"/>
              <w:rPr>
                <w:sz w:val="20"/>
                <w:szCs w:val="20"/>
                <w:color w:val="auto"/>
              </w:rPr>
            </w:pPr>
            <w:r>
              <w:rPr>
                <w:rFonts w:ascii="Arial" w:cs="Arial" w:eastAsia="Arial" w:hAnsi="Arial"/>
                <w:sz w:val="8"/>
                <w:szCs w:val="8"/>
                <w:b w:val="1"/>
                <w:bCs w:val="1"/>
                <w:color w:val="auto"/>
              </w:rPr>
              <w:t>As of March 31, 2020</w:t>
            </w:r>
          </w:p>
        </w:tc>
        <w:tc>
          <w:tcPr>
            <w:tcW w:w="0" w:type="dxa"/>
            <w:vAlign w:val="bottom"/>
          </w:tcPr>
          <w:p>
            <w:pPr>
              <w:spacing w:after="0"/>
              <w:rPr>
                <w:sz w:val="1"/>
                <w:szCs w:val="1"/>
                <w:color w:val="auto"/>
              </w:rPr>
            </w:pPr>
          </w:p>
        </w:tc>
      </w:tr>
      <w:tr>
        <w:trPr>
          <w:trHeight w:val="131"/>
        </w:trPr>
        <w:tc>
          <w:tcPr>
            <w:tcW w:w="382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2"/>
                <w:szCs w:val="12"/>
                <w:color w:val="auto"/>
              </w:rPr>
              <w:t>Time to expiration (in years)</w:t>
            </w:r>
          </w:p>
        </w:tc>
        <w:tc>
          <w:tcPr>
            <w:tcW w:w="9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2"/>
                <w:szCs w:val="12"/>
                <w:color w:val="auto"/>
                <w:w w:val="85"/>
              </w:rPr>
              <w:t>3.59</w:t>
            </w: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0.49</w:t>
            </w:r>
          </w:p>
        </w:tc>
        <w:tc>
          <w:tcPr>
            <w:tcW w:w="5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2"/>
                <w:szCs w:val="12"/>
                <w:color w:val="auto"/>
              </w:rPr>
              <w:t>- 4.59</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Risk-free rate</w:t>
            </w:r>
          </w:p>
        </w:tc>
        <w:tc>
          <w:tcPr>
            <w:tcW w:w="980" w:type="dxa"/>
            <w:vAlign w:val="bottom"/>
          </w:tcPr>
          <w:p>
            <w:pPr>
              <w:jc w:val="center"/>
              <w:spacing w:after="0"/>
              <w:rPr>
                <w:sz w:val="20"/>
                <w:szCs w:val="20"/>
                <w:color w:val="auto"/>
              </w:rPr>
            </w:pPr>
            <w:r>
              <w:rPr>
                <w:rFonts w:ascii="Arial" w:cs="Arial" w:eastAsia="Arial" w:hAnsi="Arial"/>
                <w:sz w:val="12"/>
                <w:szCs w:val="12"/>
                <w:color w:val="auto"/>
                <w:w w:val="93"/>
              </w:rPr>
              <w:t>0.52%</w:t>
            </w:r>
          </w:p>
        </w:tc>
        <w:tc>
          <w:tcPr>
            <w:tcW w:w="3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0.15%</w:t>
            </w:r>
          </w:p>
        </w:tc>
        <w:tc>
          <w:tcPr>
            <w:tcW w:w="540" w:type="dxa"/>
            <w:vAlign w:val="bottom"/>
          </w:tcPr>
          <w:p>
            <w:pPr>
              <w:spacing w:after="0"/>
              <w:rPr>
                <w:sz w:val="20"/>
                <w:szCs w:val="20"/>
                <w:color w:val="auto"/>
              </w:rPr>
            </w:pPr>
            <w:r>
              <w:rPr>
                <w:rFonts w:ascii="Arial" w:cs="Arial" w:eastAsia="Arial" w:hAnsi="Arial"/>
                <w:sz w:val="12"/>
                <w:szCs w:val="12"/>
                <w:color w:val="auto"/>
              </w:rPr>
              <w:t>- 0.35%</w:t>
            </w:r>
          </w:p>
        </w:tc>
        <w:tc>
          <w:tcPr>
            <w:tcW w:w="0" w:type="dxa"/>
            <w:vAlign w:val="bottom"/>
          </w:tcPr>
          <w:p>
            <w:pPr>
              <w:spacing w:after="0"/>
              <w:rPr>
                <w:sz w:val="1"/>
                <w:szCs w:val="1"/>
                <w:color w:val="auto"/>
              </w:rPr>
            </w:pPr>
          </w:p>
        </w:tc>
      </w:tr>
      <w:tr>
        <w:trPr>
          <w:trHeight w:val="144"/>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Volatility</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89.0% - 95.0%</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91.0% - 110.0%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As of March 31, 2021 and 2020, the fair value of the Sumitomo Options was $62.4 million and $95.9 million, respectively. Sumitomo Options are included in “Liability instruments measured at fair value” in the accompanying consolidated balance sheets.</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In June 2021, the Company completed a transaction with Sumitomo pursuant to which Sumitomo terminated all of its existing options to acquire the Company’s equity interests in certain subsidiaries. See Note 19, “Subsequent Events” for additional information.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16—Defined Contribution Plan</w:t>
      </w:r>
    </w:p>
    <w:p>
      <w:pPr>
        <w:spacing w:after="0" w:line="82"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The Company and certain of its subsidiaries sponsor defined contribution plans pursuant to Section 401(k) of the U.S. Internal Revenue Code. Employee contributions are voluntary and subject to the maximum allowable under federal tax regulations. For the years ended March 31, 2021 and 2020, the Company recorded total expense for employer matching contributions of $1.7 million and $1.7 million, respectively.</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0159"/>
          </w:cols>
          <w:pgMar w:left="300" w:top="372" w:right="1440" w:bottom="1440" w:gutter="0" w:footer="0" w:header="0"/>
        </w:sectPr>
      </w:pPr>
    </w:p>
    <w:bookmarkStart w:id="370" w:name="page371"/>
    <w:bookmarkEnd w:id="3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17—Other Expense, Net</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expense, net from continuing operations was as follows (in thousands):</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w w:val="98"/>
              </w:rPr>
              <w:t>Years Ended March 31,</w:t>
            </w:r>
          </w:p>
        </w:tc>
      </w:tr>
      <w:tr>
        <w:trPr>
          <w:trHeight w:val="97"/>
        </w:trPr>
        <w:tc>
          <w:tcPr>
            <w:tcW w:w="428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23"/>
              <w:spacing w:after="0" w:line="97"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6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r>
      <w:tr>
        <w:trPr>
          <w:trHeight w:val="133"/>
        </w:trPr>
        <w:tc>
          <w:tcPr>
            <w:tcW w:w="42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from equity method investment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$ 3,750</w:t>
            </w: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$ 21,386</w:t>
            </w:r>
          </w:p>
        </w:tc>
        <w:tc>
          <w:tcPr>
            <w:tcW w:w="80" w:type="dxa"/>
            <w:vAlign w:val="bottom"/>
            <w:shd w:val="clear" w:color="auto" w:fill="CCEEFF"/>
          </w:tcPr>
          <w:p>
            <w:pPr>
              <w:spacing w:after="0"/>
              <w:rPr>
                <w:sz w:val="11"/>
                <w:szCs w:val="11"/>
                <w:color w:val="auto"/>
              </w:rPr>
            </w:pPr>
          </w:p>
        </w:tc>
      </w:tr>
      <w:tr>
        <w:trPr>
          <w:trHeight w:val="144"/>
        </w:trPr>
        <w:tc>
          <w:tcPr>
            <w:tcW w:w="4280" w:type="dxa"/>
            <w:vAlign w:val="bottom"/>
          </w:tcPr>
          <w:p>
            <w:pPr>
              <w:spacing w:after="0"/>
              <w:rPr>
                <w:sz w:val="20"/>
                <w:szCs w:val="20"/>
                <w:color w:val="auto"/>
              </w:rPr>
            </w:pPr>
            <w:r>
              <w:rPr>
                <w:rFonts w:ascii="Arial" w:cs="Arial" w:eastAsia="Arial" w:hAnsi="Arial"/>
                <w:sz w:val="12"/>
                <w:szCs w:val="12"/>
                <w:color w:val="auto"/>
              </w:rPr>
              <w:t>Interest income</w:t>
            </w: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(1,418)</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(17,990)</w:t>
            </w:r>
          </w:p>
        </w:tc>
      </w:tr>
      <w:tr>
        <w:trPr>
          <w:trHeight w:val="144"/>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2,809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7,683</w:t>
            </w:r>
          </w:p>
        </w:tc>
      </w:tr>
      <w:tr>
        <w:trPr>
          <w:trHeight w:val="144"/>
        </w:trPr>
        <w:tc>
          <w:tcPr>
            <w:tcW w:w="4280" w:type="dxa"/>
            <w:vAlign w:val="bottom"/>
          </w:tcPr>
          <w:p>
            <w:pPr>
              <w:spacing w:after="0"/>
              <w:rPr>
                <w:sz w:val="20"/>
                <w:szCs w:val="20"/>
                <w:color w:val="auto"/>
              </w:rPr>
            </w:pPr>
            <w:r>
              <w:rPr>
                <w:rFonts w:ascii="Arial" w:cs="Arial" w:eastAsia="Arial" w:hAnsi="Arial"/>
                <w:sz w:val="12"/>
                <w:szCs w:val="12"/>
                <w:color w:val="auto"/>
              </w:rPr>
              <w:t>Other expense</w:t>
            </w: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3,560</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2,543</w:t>
            </w:r>
          </w:p>
        </w:tc>
      </w:tr>
      <w:tr>
        <w:trPr>
          <w:trHeight w:val="20"/>
        </w:trPr>
        <w:tc>
          <w:tcPr>
            <w:tcW w:w="4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9"/>
              </w:rPr>
              <w:t>$ 8,701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$ 13,622</w:t>
            </w:r>
          </w:p>
        </w:tc>
      </w:tr>
      <w:tr>
        <w:trPr>
          <w:trHeight w:val="27"/>
        </w:trPr>
        <w:tc>
          <w:tcPr>
            <w:tcW w:w="4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18—Earnings per Common Share</w:t>
      </w:r>
    </w:p>
    <w:p>
      <w:pPr>
        <w:spacing w:after="0" w:line="82"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computations of the numerator to derive the basic and diluted earnings per share amounts presented on the face of the accompanying consolidated statements of operations are as follows (in thousands):</w:t>
      </w:r>
    </w:p>
    <w:p>
      <w:pPr>
        <w:spacing w:after="0" w:line="135"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98"/>
              </w:rPr>
              <w:t>Years Ended March 31,</w:t>
            </w:r>
          </w:p>
        </w:tc>
        <w:tc>
          <w:tcPr>
            <w:tcW w:w="0" w:type="dxa"/>
            <w:vAlign w:val="bottom"/>
          </w:tcPr>
          <w:p>
            <w:pPr>
              <w:spacing w:after="0"/>
              <w:rPr>
                <w:sz w:val="1"/>
                <w:szCs w:val="1"/>
                <w:color w:val="auto"/>
              </w:rPr>
            </w:pPr>
          </w:p>
        </w:tc>
      </w:tr>
      <w:tr>
        <w:trPr>
          <w:trHeight w:val="97"/>
        </w:trPr>
        <w:tc>
          <w:tcPr>
            <w:tcW w:w="52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22"/>
              <w:spacing w:after="0" w:line="97"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41"/>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from continuing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(900,233)</w:t>
            </w:r>
          </w:p>
        </w:tc>
        <w:tc>
          <w:tcPr>
            <w:tcW w:w="2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(568,110)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20"/>
                <w:szCs w:val="20"/>
                <w:color w:val="auto"/>
              </w:rPr>
            </w:pPr>
            <w:r>
              <w:rPr>
                <w:rFonts w:ascii="Arial" w:cs="Arial" w:eastAsia="Arial" w:hAnsi="Arial"/>
                <w:sz w:val="12"/>
                <w:szCs w:val="12"/>
                <w:color w:val="auto"/>
              </w:rPr>
              <w:t>Net loss from continuing operations, net of tax, attributable to noncontrolling interest</w:t>
            </w:r>
          </w:p>
        </w:tc>
        <w:tc>
          <w:tcPr>
            <w:tcW w:w="80" w:type="dxa"/>
            <w:vAlign w:val="bottom"/>
          </w:tcPr>
          <w:p>
            <w:pPr>
              <w:spacing w:after="0"/>
              <w:rPr>
                <w:sz w:val="12"/>
                <w:szCs w:val="12"/>
                <w:color w:val="auto"/>
              </w:rPr>
            </w:pPr>
          </w:p>
        </w:tc>
        <w:tc>
          <w:tcPr>
            <w:tcW w:w="720" w:type="dxa"/>
            <w:vAlign w:val="bottom"/>
            <w:gridSpan w:val="2"/>
          </w:tcPr>
          <w:p>
            <w:pPr>
              <w:jc w:val="right"/>
              <w:ind w:right="178"/>
              <w:spacing w:after="0"/>
              <w:rPr>
                <w:sz w:val="20"/>
                <w:szCs w:val="20"/>
                <w:color w:val="auto"/>
              </w:rPr>
            </w:pPr>
            <w:r>
              <w:rPr>
                <w:rFonts w:ascii="Arial" w:cs="Arial" w:eastAsia="Arial" w:hAnsi="Arial"/>
                <w:sz w:val="12"/>
                <w:szCs w:val="12"/>
                <w:color w:val="auto"/>
              </w:rPr>
              <w:t>(90,999)</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(48,716)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from continuing operations, net of tax, attributable to Roivant Sciences Ltd.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b w:val="1"/>
                <w:bCs w:val="1"/>
                <w:color w:val="auto"/>
                <w:w w:val="93"/>
              </w:rPr>
              <w:t>(809,234)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(519,394)</w:t>
            </w:r>
          </w:p>
        </w:tc>
        <w:tc>
          <w:tcPr>
            <w:tcW w:w="0" w:type="dxa"/>
            <w:vAlign w:val="bottom"/>
          </w:tcPr>
          <w:p>
            <w:pPr>
              <w:spacing w:after="0"/>
              <w:rPr>
                <w:sz w:val="1"/>
                <w:szCs w:val="1"/>
                <w:color w:val="auto"/>
              </w:rPr>
            </w:pP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w w:val="95"/>
              </w:rPr>
              <w:t>Deemed dividend on repurchase of redeemable noncontrolling interest relating to subsidiary convertible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60" w:type="dxa"/>
            <w:vAlign w:val="bottom"/>
          </w:tcPr>
          <w:p>
            <w:pPr>
              <w:ind w:left="120"/>
              <w:spacing w:after="0" w:line="153" w:lineRule="exact"/>
              <w:rPr>
                <w:sz w:val="20"/>
                <w:szCs w:val="20"/>
                <w:color w:val="auto"/>
              </w:rPr>
            </w:pPr>
            <w:r>
              <w:rPr>
                <w:rFonts w:ascii="Arial" w:cs="Arial" w:eastAsia="Arial" w:hAnsi="Arial"/>
                <w:sz w:val="12"/>
                <w:szCs w:val="12"/>
                <w:color w:val="auto"/>
              </w:rPr>
              <w:t>and redeemable preferred stock</w:t>
            </w:r>
            <w:r>
              <w:rPr>
                <w:rFonts w:ascii="Arial" w:cs="Arial" w:eastAsia="Arial" w:hAnsi="Arial"/>
                <w:sz w:val="16"/>
                <w:szCs w:val="16"/>
                <w:color w:val="auto"/>
                <w:vertAlign w:val="superscript"/>
              </w:rPr>
              <w:t>(1)</w:t>
            </w:r>
          </w:p>
        </w:tc>
        <w:tc>
          <w:tcPr>
            <w:tcW w:w="80" w:type="dxa"/>
            <w:vAlign w:val="bottom"/>
          </w:tcPr>
          <w:p>
            <w:pPr>
              <w:spacing w:after="0"/>
              <w:rPr>
                <w:sz w:val="13"/>
                <w:szCs w:val="13"/>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(77,777)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3"/>
              </w:rPr>
              <w:t>Basic and diluted loss from continuing operations, net of tax, attributable to Roivant Sciences Ltd.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b w:val="1"/>
                <w:bCs w:val="1"/>
                <w:color w:val="auto"/>
                <w:w w:val="93"/>
              </w:rPr>
              <w:t>(809,234)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(597,171)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2"/>
                <w:szCs w:val="12"/>
                <w:color w:val="auto"/>
              </w:rPr>
              <w:t>Income from discontinued operations, net of tax</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1,578,426</w:t>
            </w:r>
          </w:p>
        </w:tc>
        <w:tc>
          <w:tcPr>
            <w:tcW w:w="0" w:type="dxa"/>
            <w:vAlign w:val="bottom"/>
          </w:tcPr>
          <w:p>
            <w:pPr>
              <w:spacing w:after="0"/>
              <w:rPr>
                <w:sz w:val="1"/>
                <w:szCs w:val="1"/>
                <w:color w:val="auto"/>
              </w:rPr>
            </w:pPr>
          </w:p>
        </w:tc>
      </w:tr>
      <w:tr>
        <w:trPr>
          <w:trHeight w:val="144"/>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Net loss from discontinued operations, net of tax, attributable to noncontrolling interest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(141,477)</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20"/>
                <w:szCs w:val="20"/>
                <w:color w:val="auto"/>
              </w:rPr>
            </w:pPr>
            <w:r>
              <w:rPr>
                <w:rFonts w:ascii="Arial" w:cs="Arial" w:eastAsia="Arial" w:hAnsi="Arial"/>
                <w:sz w:val="12"/>
                <w:szCs w:val="12"/>
                <w:b w:val="1"/>
                <w:bCs w:val="1"/>
                <w:color w:val="auto"/>
              </w:rPr>
              <w:t>Net income from discontinued operations, net of tax, attributable to Roivant Sciences Ltd.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1,719,903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income from discontinued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1,719,903</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20"/>
                <w:szCs w:val="20"/>
                <w:color w:val="auto"/>
              </w:rPr>
            </w:pPr>
            <w:r>
              <w:rPr>
                <w:rFonts w:ascii="Arial" w:cs="Arial" w:eastAsia="Arial" w:hAnsi="Arial"/>
                <w:sz w:val="12"/>
                <w:szCs w:val="12"/>
                <w:b w:val="1"/>
                <w:bCs w:val="1"/>
                <w:color w:val="auto"/>
              </w:rPr>
              <w:t>Basic and diluted net (loss) income attributable to Roivant Sciences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(809,234</w:t>
            </w:r>
          </w:p>
        </w:tc>
        <w:tc>
          <w:tcPr>
            <w:tcW w:w="260" w:type="dxa"/>
            <w:vAlign w:val="bottom"/>
          </w:tcPr>
          <w:p>
            <w:pPr>
              <w:jc w:val="right"/>
              <w:ind w:right="178"/>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1,122,732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260" w:right="899" w:hanging="288"/>
        <w:spacing w:after="0" w:line="230" w:lineRule="auto"/>
        <w:tabs>
          <w:tab w:leader="none" w:pos="2260" w:val="left"/>
        </w:tabs>
        <w:numPr>
          <w:ilvl w:val="0"/>
          <w:numId w:val="191"/>
        </w:numPr>
        <w:rPr>
          <w:rFonts w:ascii="Arial" w:cs="Arial" w:eastAsia="Arial" w:hAnsi="Arial"/>
          <w:sz w:val="17"/>
          <w:szCs w:val="17"/>
          <w:color w:val="auto"/>
          <w:vertAlign w:val="superscript"/>
        </w:rPr>
      </w:pPr>
      <w:r>
        <w:rPr>
          <w:rFonts w:ascii="Arial" w:cs="Arial" w:eastAsia="Arial" w:hAnsi="Arial"/>
          <w:sz w:val="12"/>
          <w:szCs w:val="12"/>
          <w:color w:val="auto"/>
        </w:rPr>
        <w:t>Consideration paid in excess of carrying value for the repurchase of redeemable noncontrolling interest relating to subsidiary convertible and redeemable preferred stock of $77.8 million is considered a deemed dividend and, for purposes of calculating net loss per share, increases the loss from continuing operations, net of tax, attributable to Roivant Sciences Ltd. for the year ended March 31, 2020. See Note 10, “Shareholders’ Equity and Redeemable Noncontrolling Interest.”</w:t>
      </w:r>
    </w:p>
    <w:p>
      <w:pPr>
        <w:spacing w:after="0" w:line="136" w:lineRule="exact"/>
        <w:rPr>
          <w:sz w:val="20"/>
          <w:szCs w:val="20"/>
          <w:color w:val="auto"/>
        </w:rPr>
      </w:pPr>
    </w:p>
    <w:p>
      <w:pPr>
        <w:jc w:val="both"/>
        <w:ind w:left="1980" w:right="1099"/>
        <w:spacing w:after="0" w:line="298" w:lineRule="auto"/>
        <w:rPr>
          <w:sz w:val="20"/>
          <w:szCs w:val="20"/>
          <w:color w:val="auto"/>
        </w:rPr>
      </w:pPr>
      <w:r>
        <w:rPr>
          <w:rFonts w:ascii="Arial" w:cs="Arial" w:eastAsia="Arial" w:hAnsi="Arial"/>
          <w:sz w:val="11"/>
          <w:szCs w:val="11"/>
          <w:color w:val="auto"/>
        </w:rPr>
        <w:t>Basic net (loss) income per common share is computed by dividing net (loss) income attributable to Roivant Sciences Ltd. by the weighted-average number of common stock outstanding during the period. Diluted net (loss) income per common share is computed by dividing the net income (loss) attributable to Roivant Sciences Ltd. by the diluted weighted-average number of common stock outstanding during the period.</w:t>
      </w:r>
    </w:p>
    <w:p>
      <w:pPr>
        <w:spacing w:after="0" w:line="10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For periods of loss from continuing operations, diluted loss per share is calculated similar to basic loss per share as the effect of including all potentially dilutive common share equivalents is anti-dilutive. All outstanding common stock equivalents have been excluded from the computation of diluted loss per share because their</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72" w:right="1440" w:bottom="1440" w:gutter="0" w:footer="0" w:header="0"/>
        </w:sectPr>
      </w:pPr>
    </w:p>
    <w:bookmarkStart w:id="371" w:name="page372"/>
    <w:bookmarkEnd w:id="3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effect was anti-dilutive due to the loss from continuing operations. Refer to Note 11, “Share-Based Compensation” and Note 5, “Sumitomo Transaction Agreement” for additional detail regarding outstanding common stock equivalents.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19—Subsequent Events</w:t>
      </w:r>
    </w:p>
    <w:p>
      <w:pPr>
        <w:spacing w:after="0" w:line="82" w:lineRule="exact"/>
        <w:rPr>
          <w:sz w:val="20"/>
          <w:szCs w:val="20"/>
          <w:color w:val="auto"/>
        </w:rPr>
      </w:pPr>
    </w:p>
    <w:p>
      <w:pPr>
        <w:ind w:left="1980" w:right="1059"/>
        <w:spacing w:after="0" w:line="379" w:lineRule="auto"/>
        <w:rPr>
          <w:sz w:val="20"/>
          <w:szCs w:val="20"/>
          <w:color w:val="auto"/>
        </w:rPr>
      </w:pPr>
      <w:r>
        <w:rPr>
          <w:rFonts w:ascii="Arial" w:cs="Arial" w:eastAsia="Arial" w:hAnsi="Arial"/>
          <w:sz w:val="10"/>
          <w:szCs w:val="10"/>
          <w:color w:val="auto"/>
        </w:rPr>
        <w:t>The Company has evaluated subsequent events for appropriate disclosures through June 30, 2021, the date that the consolidated financial statements were available to be issued. All subsequent events requiring recognition as of March 31, 2021 have been incorporated in these financial statements.</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Option Vants Transaction</w:t>
      </w:r>
    </w:p>
    <w:p>
      <w:pPr>
        <w:spacing w:after="0" w:line="78"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May 1, 2021, the Company entered into an Asset Purchase Agreement with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the Company’s equity interests in the Option Vants; (ii) the Company transferred and assigned to SPC all of its intellectual property, development and commercialization rights for (a) lefamulin in Mainland China, Taiwan, Hong Kong, and Macau (collectively “Greater China”), (b) vibegron in Mainland China, (c) rodatristat ethyl in Greater China and South Korea and (d) RVT-802 in Greater China and South Korea; (iii) we will receive a $5.0 million cash payment; and (iv) Sumitomo entered into an agreement with the Company to pursue future collaborations with Genevant.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Dermavant</w:t>
      </w:r>
    </w:p>
    <w:p>
      <w:pPr>
        <w:spacing w:after="0" w:line="78"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On May 14, 2021, Dermavant entered into a $160.0 million revenue interest purchase and sale agreement (the “RIPSA”) for its investigational product tapinarof with three institutional investors. Under the terms of the RIPSA, the participants purchased a capped single-digit revenue interest in net sales of tapinarof for all dermatological indications in the United States in exchange for $160.0 million in committed funding to be paid to Dermavant, subject to approval of tapinarof by the FDA.</w:t>
      </w:r>
    </w:p>
    <w:p>
      <w:pPr>
        <w:spacing w:after="0" w:line="124" w:lineRule="exact"/>
        <w:rPr>
          <w:sz w:val="20"/>
          <w:szCs w:val="20"/>
          <w:color w:val="auto"/>
        </w:rPr>
      </w:pPr>
    </w:p>
    <w:p>
      <w:pPr>
        <w:ind w:left="1980" w:right="1019"/>
        <w:spacing w:after="0" w:line="340" w:lineRule="auto"/>
        <w:rPr>
          <w:sz w:val="20"/>
          <w:szCs w:val="20"/>
          <w:color w:val="auto"/>
        </w:rPr>
      </w:pPr>
      <w:r>
        <w:rPr>
          <w:rFonts w:ascii="Arial" w:cs="Arial" w:eastAsia="Arial" w:hAnsi="Arial"/>
          <w:sz w:val="10"/>
          <w:szCs w:val="10"/>
          <w:color w:val="auto"/>
        </w:rPr>
        <w:t>Dermavant concurrently entered into a $40.0 million senior secured credit facility (the “Credit Facility”) with one of the institutional investors. The Credit Facility has a five-year maturity and bears an interest rate of 10% per annum. In connection with the funding of the Credit Facility, Dermavant issued to the institutional investor a warrant to purchase 1,199,072 common shares of Dermavant at an exercise price of $0.01 per common share.</w:t>
      </w:r>
    </w:p>
    <w:p>
      <w:pPr>
        <w:spacing w:after="0" w:line="87"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The proceeds from the Credit Facility were used to repay all amounts outstanding under the loan and security agreement with Hercules, with the remainder of net proceeds used for working capital and general corporate purposes. The Company reclassified $3.1 million on the consolidated balance sheets as of March 31, 2021 from current to long-term given that Dermavant had the intent and ability to refinance the short-term obligation on a long-term basis after March 31, 2021 and before the financial statements were issued.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Datavant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June 2021, Datavant and CIOX Health, LLC entered into a definitive agreement to merge the two companies.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merger closed on July 27, 2021. At closing, Roivant received approximately $320 million in cash.</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72" w:right="1440" w:bottom="1440" w:gutter="0" w:footer="0" w:header="0"/>
        </w:sectPr>
      </w:pPr>
    </w:p>
    <w:bookmarkStart w:id="372" w:name="page373"/>
    <w:bookmarkEnd w:id="3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 in thousands, except share and per share amounts)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860" w:type="dxa"/>
            <w:vAlign w:val="bottom"/>
            <w:gridSpan w:val="3"/>
          </w:tcPr>
          <w:p>
            <w:pPr>
              <w:spacing w:after="0"/>
              <w:rPr>
                <w:sz w:val="20"/>
                <w:szCs w:val="20"/>
                <w:color w:val="auto"/>
              </w:rPr>
            </w:pPr>
            <w:r>
              <w:rPr>
                <w:rFonts w:ascii="Arial" w:cs="Arial" w:eastAsia="Arial" w:hAnsi="Arial"/>
                <w:sz w:val="10"/>
                <w:szCs w:val="10"/>
                <w:b w:val="1"/>
                <w:bCs w:val="1"/>
                <w:color w:val="auto"/>
              </w:rPr>
              <w:t>June 30, 2021</w:t>
            </w: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w w:val="98"/>
              </w:rPr>
              <w:t>March 31, 2021</w:t>
            </w:r>
          </w:p>
        </w:tc>
        <w:tc>
          <w:tcPr>
            <w:tcW w:w="0" w:type="dxa"/>
            <w:vAlign w:val="bottom"/>
          </w:tcPr>
          <w:p>
            <w:pPr>
              <w:spacing w:after="0"/>
              <w:rPr>
                <w:sz w:val="1"/>
                <w:szCs w:val="1"/>
                <w:color w:val="auto"/>
              </w:rPr>
            </w:pPr>
          </w:p>
        </w:tc>
      </w:tr>
      <w:tr>
        <w:trPr>
          <w:trHeight w:val="133"/>
        </w:trPr>
        <w:tc>
          <w:tcPr>
            <w:tcW w:w="57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1,996,733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2,055,044</w:t>
            </w: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2,711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77,701</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58,165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54,250</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2,057,609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2,186,995</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15,550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14,749</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65,163</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62,279</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 net of current portion</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8,931</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Investments measured at fair value</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180,359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188,978</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100,563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100,563</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Other assets</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26,520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27,197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2,454,697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2,589,692</w:t>
            </w:r>
          </w:p>
        </w:tc>
        <w:tc>
          <w:tcPr>
            <w:tcW w:w="0" w:type="dxa"/>
            <w:vAlign w:val="bottom"/>
          </w:tcPr>
          <w:p>
            <w:pPr>
              <w:spacing w:after="0"/>
              <w:rPr>
                <w:sz w:val="1"/>
                <w:szCs w:val="1"/>
                <w:color w:val="auto"/>
              </w:rPr>
            </w:pPr>
          </w:p>
        </w:tc>
      </w:tr>
      <w:tr>
        <w:trPr>
          <w:trHeight w:val="153"/>
        </w:trPr>
        <w:tc>
          <w:tcPr>
            <w:tcW w:w="5760" w:type="dxa"/>
            <w:vAlign w:val="bottom"/>
          </w:tcPr>
          <w:p>
            <w:pPr>
              <w:spacing w:after="0"/>
              <w:rPr>
                <w:sz w:val="20"/>
                <w:szCs w:val="20"/>
                <w:color w:val="auto"/>
              </w:rPr>
            </w:pPr>
            <w:r>
              <w:rPr>
                <w:rFonts w:ascii="Arial" w:cs="Arial" w:eastAsia="Arial" w:hAnsi="Arial"/>
                <w:sz w:val="12"/>
                <w:szCs w:val="12"/>
                <w:b w:val="1"/>
                <w:bCs w:val="1"/>
                <w:color w:val="auto"/>
              </w:rPr>
              <w:t>Liabilities, Redeemable Noncontrolling Interest and Shareholders’ Equity</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15,014</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20,550</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73,788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76,936</w:t>
            </w: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12,055</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12,313</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consideration liability</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8,301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9,162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209,158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218,961</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Liability instruments measured at fair value</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5,906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67,893</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65,263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62,384</w:t>
            </w:r>
          </w:p>
        </w:tc>
        <w:tc>
          <w:tcPr>
            <w:tcW w:w="0" w:type="dxa"/>
            <w:vAlign w:val="bottom"/>
          </w:tcPr>
          <w:p>
            <w:pPr>
              <w:spacing w:after="0"/>
              <w:rPr>
                <w:sz w:val="1"/>
                <w:szCs w:val="1"/>
                <w:color w:val="auto"/>
              </w:rPr>
            </w:pPr>
          </w:p>
        </w:tc>
      </w:tr>
      <w:tr>
        <w:trPr>
          <w:trHeight w:val="135"/>
        </w:trPr>
        <w:tc>
          <w:tcPr>
            <w:tcW w:w="5760" w:type="dxa"/>
            <w:vAlign w:val="bottom"/>
          </w:tcPr>
          <w:p>
            <w:pPr>
              <w:spacing w:after="0" w:line="135" w:lineRule="exact"/>
              <w:rPr>
                <w:sz w:val="20"/>
                <w:szCs w:val="20"/>
                <w:color w:val="auto"/>
              </w:rPr>
            </w:pPr>
            <w:r>
              <w:rPr>
                <w:rFonts w:ascii="Arial" w:cs="Arial" w:eastAsia="Arial" w:hAnsi="Arial"/>
                <w:sz w:val="12"/>
                <w:szCs w:val="12"/>
                <w:color w:val="auto"/>
                <w:w w:val="96"/>
              </w:rPr>
              <w:t>Long-term debt (includes $155,200 and $150,100 accounted for under the fair value option at June 30, 2021 and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60" w:type="dxa"/>
            <w:vAlign w:val="bottom"/>
          </w:tcPr>
          <w:p>
            <w:pPr>
              <w:ind w:left="120"/>
              <w:spacing w:after="0"/>
              <w:rPr>
                <w:sz w:val="20"/>
                <w:szCs w:val="20"/>
                <w:color w:val="auto"/>
              </w:rPr>
            </w:pPr>
            <w:r>
              <w:rPr>
                <w:rFonts w:ascii="Arial" w:cs="Arial" w:eastAsia="Arial" w:hAnsi="Arial"/>
                <w:sz w:val="12"/>
                <w:szCs w:val="12"/>
                <w:color w:val="auto"/>
              </w:rPr>
              <w:t>March 31, 2021, respectively)</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186,350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170,280</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8,169</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8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474,865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527,687</w:t>
            </w:r>
          </w:p>
        </w:tc>
        <w:tc>
          <w:tcPr>
            <w:tcW w:w="0" w:type="dxa"/>
            <w:vAlign w:val="bottom"/>
          </w:tcPr>
          <w:p>
            <w:pPr>
              <w:spacing w:after="0"/>
              <w:rPr>
                <w:sz w:val="1"/>
                <w:szCs w:val="1"/>
                <w:color w:val="auto"/>
              </w:rPr>
            </w:pPr>
          </w:p>
        </w:tc>
      </w:tr>
      <w:tr>
        <w:trPr>
          <w:trHeight w:val="142"/>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10)</w:t>
            </w: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2"/>
                <w:szCs w:val="12"/>
                <w:color w:val="auto"/>
              </w:rPr>
              <w:t>Redeemable noncontrolling interest</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22,491</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22,491</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240"/>
              <w:spacing w:after="0" w:line="135" w:lineRule="exact"/>
              <w:rPr>
                <w:sz w:val="20"/>
                <w:szCs w:val="20"/>
                <w:color w:val="auto"/>
              </w:rPr>
            </w:pPr>
            <w:r>
              <w:rPr>
                <w:rFonts w:ascii="Arial" w:cs="Arial" w:eastAsia="Arial" w:hAnsi="Arial"/>
                <w:sz w:val="12"/>
                <w:szCs w:val="12"/>
                <w:color w:val="auto"/>
                <w:w w:val="92"/>
              </w:rPr>
              <w:t>Common shares, par value $0.0000001 per share, 100,000,000,000 shares authorized and 222,669,799 shares</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60" w:type="dxa"/>
            <w:vAlign w:val="bottom"/>
          </w:tcPr>
          <w:p>
            <w:pPr>
              <w:ind w:left="360"/>
              <w:spacing w:after="0"/>
              <w:rPr>
                <w:sz w:val="20"/>
                <w:szCs w:val="20"/>
                <w:color w:val="auto"/>
              </w:rPr>
            </w:pPr>
            <w:r>
              <w:rPr>
                <w:rFonts w:ascii="Arial" w:cs="Arial" w:eastAsia="Arial" w:hAnsi="Arial"/>
                <w:sz w:val="12"/>
                <w:szCs w:val="12"/>
                <w:color w:val="auto"/>
              </w:rPr>
              <w:t>issued and outstanding at June 30, 2021 and March 31, 2021</w:t>
            </w:r>
          </w:p>
        </w:tc>
        <w:tc>
          <w:tcPr>
            <w:tcW w:w="6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3,824,974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3,814,805</w:t>
            </w: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Subscription receivable</w:t>
            </w:r>
          </w:p>
        </w:tc>
        <w:tc>
          <w:tcPr>
            <w:tcW w:w="6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44"/>
        </w:trPr>
        <w:tc>
          <w:tcPr>
            <w:tcW w:w="5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(2,000,645)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1"/>
              </w:rPr>
              <w:t>(1,918,462)</w:t>
            </w:r>
          </w:p>
        </w:tc>
        <w:tc>
          <w:tcPr>
            <w:tcW w:w="0" w:type="dxa"/>
            <w:vAlign w:val="bottom"/>
          </w:tcPr>
          <w:p>
            <w:pPr>
              <w:spacing w:after="0"/>
              <w:rPr>
                <w:sz w:val="1"/>
                <w:szCs w:val="1"/>
                <w:color w:val="auto"/>
              </w:rPr>
            </w:pPr>
          </w:p>
        </w:tc>
      </w:tr>
      <w:tr>
        <w:trPr>
          <w:trHeight w:val="144"/>
        </w:trPr>
        <w:tc>
          <w:tcPr>
            <w:tcW w:w="5760" w:type="dxa"/>
            <w:vAlign w:val="bottom"/>
          </w:tcPr>
          <w:p>
            <w:pPr>
              <w:ind w:left="240"/>
              <w:spacing w:after="0"/>
              <w:rPr>
                <w:sz w:val="20"/>
                <w:szCs w:val="20"/>
                <w:color w:val="auto"/>
              </w:rPr>
            </w:pPr>
            <w:r>
              <w:rPr>
                <w:rFonts w:ascii="Arial" w:cs="Arial" w:eastAsia="Arial" w:hAnsi="Arial"/>
                <w:sz w:val="12"/>
                <w:szCs w:val="12"/>
                <w:color w:val="auto"/>
              </w:rPr>
              <w:t>Accumulated other comprehensive (loss) income</w:t>
            </w:r>
          </w:p>
        </w:tc>
        <w:tc>
          <w:tcPr>
            <w:tcW w:w="6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(1,207)</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1,445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Shareholders’ equity attributable to Roivant Sciences Ltd.</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1,723,122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1,797,788</w:t>
            </w:r>
          </w:p>
        </w:tc>
        <w:tc>
          <w:tcPr>
            <w:tcW w:w="0" w:type="dxa"/>
            <w:vAlign w:val="bottom"/>
          </w:tcPr>
          <w:p>
            <w:pPr>
              <w:spacing w:after="0"/>
              <w:rPr>
                <w:sz w:val="1"/>
                <w:szCs w:val="1"/>
                <w:color w:val="auto"/>
              </w:rPr>
            </w:pPr>
          </w:p>
        </w:tc>
      </w:tr>
      <w:tr>
        <w:trPr>
          <w:trHeight w:val="144"/>
        </w:trPr>
        <w:tc>
          <w:tcPr>
            <w:tcW w:w="5760" w:type="dxa"/>
            <w:vAlign w:val="bottom"/>
          </w:tcPr>
          <w:p>
            <w:pPr>
              <w:ind w:left="440"/>
              <w:spacing w:after="0"/>
              <w:rPr>
                <w:sz w:val="20"/>
                <w:szCs w:val="20"/>
                <w:color w:val="auto"/>
              </w:rPr>
            </w:pPr>
            <w:r>
              <w:rPr>
                <w:rFonts w:ascii="Arial" w:cs="Arial" w:eastAsia="Arial" w:hAnsi="Arial"/>
                <w:sz w:val="12"/>
                <w:szCs w:val="12"/>
                <w:color w:val="auto"/>
              </w:rPr>
              <w:t>Noncontrolling interests</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234,219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241,726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shareholders’ equity</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1,957,341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2,039,514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40"/>
              <w:spacing w:after="0"/>
              <w:rPr>
                <w:sz w:val="20"/>
                <w:szCs w:val="20"/>
                <w:color w:val="auto"/>
              </w:rPr>
            </w:pPr>
            <w:r>
              <w:rPr>
                <w:rFonts w:ascii="Arial" w:cs="Arial" w:eastAsia="Arial" w:hAnsi="Arial"/>
                <w:sz w:val="12"/>
                <w:szCs w:val="12"/>
                <w:color w:val="auto"/>
              </w:rPr>
              <w:t>Total liabilities, redeemable noncontrolling interest and shareholders’ equity</w:t>
            </w: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2,454,697</w:t>
            </w:r>
          </w:p>
        </w:tc>
        <w:tc>
          <w:tcPr>
            <w:tcW w:w="2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2,589,692</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F-43</w:t>
      </w:r>
    </w:p>
    <w:p>
      <w:pPr>
        <w:sectPr>
          <w:pgSz w:w="11900" w:h="16838" w:orient="portrait"/>
          <w:cols w:equalWidth="0" w:num="1">
            <w:col w:w="10159"/>
          </w:cols>
          <w:pgMar w:left="300" w:top="372" w:right="1440" w:bottom="1440" w:gutter="0" w:footer="0" w:header="0"/>
        </w:sectPr>
      </w:pPr>
    </w:p>
    <w:bookmarkStart w:id="373" w:name="page374"/>
    <w:bookmarkEnd w:id="3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 in thousands, except share and per share amounts)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Three Months Ended June 30,</w:t>
            </w:r>
          </w:p>
        </w:tc>
        <w:tc>
          <w:tcPr>
            <w:tcW w:w="0" w:type="dxa"/>
            <w:vAlign w:val="bottom"/>
          </w:tcPr>
          <w:p>
            <w:pPr>
              <w:spacing w:after="0"/>
              <w:rPr>
                <w:sz w:val="1"/>
                <w:szCs w:val="1"/>
                <w:color w:val="auto"/>
              </w:rPr>
            </w:pPr>
          </w:p>
        </w:tc>
      </w:tr>
      <w:tr>
        <w:trPr>
          <w:trHeight w:val="97"/>
        </w:trPr>
        <w:tc>
          <w:tcPr>
            <w:tcW w:w="54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81"/>
              <w:spacing w:after="0" w:line="97"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81"/>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7,735</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1,576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Operating expenses: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revenues</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742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44"/>
        </w:trPr>
        <w:tc>
          <w:tcPr>
            <w:tcW w:w="540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spacing w:after="0"/>
              <w:rPr>
                <w:sz w:val="12"/>
                <w:szCs w:val="12"/>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color w:val="auto"/>
              </w:rPr>
              <w:t>78,626</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58,734</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82,754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57,115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80"/>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162,122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116,029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(154,387)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(114,453)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2"/>
                <w:szCs w:val="12"/>
                <w:color w:val="auto"/>
              </w:rPr>
              <w:t>Change in fair value of investments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8,619</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(41,148)</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debt and liability instruments</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4,585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17,125</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Gain on termination of Sumitomo Options</w:t>
            </w:r>
          </w:p>
        </w:tc>
        <w:tc>
          <w:tcPr>
            <w:tcW w:w="6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(66,472)</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Gain on deconsolidation of subsidiary</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(86,516)</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6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(134)</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2,842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(100,985)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(6,756)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2"/>
                <w:szCs w:val="12"/>
                <w:color w:val="auto"/>
              </w:rPr>
              <w:t>Income tax expense</w:t>
            </w:r>
          </w:p>
        </w:tc>
        <w:tc>
          <w:tcPr>
            <w:tcW w:w="60" w:type="dxa"/>
            <w:vAlign w:val="bottom"/>
          </w:tcPr>
          <w:p>
            <w:pPr>
              <w:spacing w:after="0"/>
              <w:rPr>
                <w:sz w:val="13"/>
                <w:szCs w:val="13"/>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color w:val="auto"/>
              </w:rPr>
              <w:t>93</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1,221</w:t>
            </w:r>
          </w:p>
        </w:tc>
        <w:tc>
          <w:tcPr>
            <w:tcW w:w="0" w:type="dxa"/>
            <w:vAlign w:val="bottom"/>
          </w:tcPr>
          <w:p>
            <w:pPr>
              <w:spacing w:after="0"/>
              <w:rPr>
                <w:sz w:val="1"/>
                <w:szCs w:val="1"/>
                <w:color w:val="auto"/>
              </w:rPr>
            </w:pPr>
          </w:p>
        </w:tc>
      </w:tr>
      <w:tr>
        <w:trPr>
          <w:trHeight w:val="138"/>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(101,078)</w:t>
            </w:r>
          </w:p>
        </w:tc>
        <w:tc>
          <w:tcPr>
            <w:tcW w:w="5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(7,977)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20"/>
                <w:szCs w:val="20"/>
                <w:color w:val="auto"/>
              </w:rPr>
            </w:pPr>
            <w:r>
              <w:rPr>
                <w:rFonts w:ascii="Arial" w:cs="Arial" w:eastAsia="Arial" w:hAnsi="Arial"/>
                <w:sz w:val="12"/>
                <w:szCs w:val="12"/>
                <w:color w:val="auto"/>
              </w:rPr>
              <w:t>Net loss attributable to noncontrolling interests</w:t>
            </w:r>
          </w:p>
        </w:tc>
        <w:tc>
          <w:tcPr>
            <w:tcW w:w="6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(18,895)</w:t>
            </w: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(4,734)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Roivant Sciences Ltd.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(82,183)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(3,243)</w:t>
            </w:r>
          </w:p>
        </w:tc>
        <w:tc>
          <w:tcPr>
            <w:tcW w:w="0" w:type="dxa"/>
            <w:vAlign w:val="bottom"/>
          </w:tcPr>
          <w:p>
            <w:pPr>
              <w:spacing w:after="0"/>
              <w:rPr>
                <w:sz w:val="1"/>
                <w:szCs w:val="1"/>
                <w:color w:val="auto"/>
              </w:rPr>
            </w:pPr>
          </w:p>
        </w:tc>
      </w:tr>
      <w:tr>
        <w:trPr>
          <w:trHeight w:val="27"/>
        </w:trPr>
        <w:tc>
          <w:tcPr>
            <w:tcW w:w="5400" w:type="dxa"/>
            <w:vAlign w:val="bottom"/>
            <w:vMerge w:val="restart"/>
          </w:tcPr>
          <w:p>
            <w:pPr>
              <w:spacing w:after="0"/>
              <w:rPr>
                <w:sz w:val="20"/>
                <w:szCs w:val="20"/>
                <w:color w:val="auto"/>
              </w:rPr>
            </w:pPr>
            <w:r>
              <w:rPr>
                <w:rFonts w:ascii="Arial" w:cs="Arial" w:eastAsia="Arial" w:hAnsi="Arial"/>
                <w:sz w:val="12"/>
                <w:szCs w:val="12"/>
                <w:color w:val="auto"/>
              </w:rPr>
              <w:t>Net loss per common share—basic and diluted</w:t>
            </w: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4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(0.37)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31"/>
        </w:trPr>
        <w:tc>
          <w:tcPr>
            <w:tcW w:w="5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outstanding—basic and diluted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222,081,975</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214,879,058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159"/>
          </w:cols>
          <w:pgMar w:left="300" w:top="372" w:right="1440" w:bottom="1440" w:gutter="0" w:footer="0" w:header="0"/>
        </w:sectPr>
      </w:pPr>
    </w:p>
    <w:bookmarkStart w:id="374" w:name="page375"/>
    <w:bookmarkEnd w:id="3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 in thousands)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w w:val="90"/>
              </w:rPr>
              <w:t>Three Months Ended</w:t>
            </w:r>
          </w:p>
        </w:tc>
        <w:tc>
          <w:tcPr>
            <w:tcW w:w="0" w:type="dxa"/>
            <w:vAlign w:val="bottom"/>
          </w:tcPr>
          <w:p>
            <w:pPr>
              <w:spacing w:after="0"/>
              <w:rPr>
                <w:sz w:val="1"/>
                <w:szCs w:val="1"/>
                <w:color w:val="auto"/>
              </w:rPr>
            </w:pPr>
          </w:p>
        </w:tc>
      </w:tr>
      <w:tr>
        <w:trPr>
          <w:trHeight w:val="113"/>
        </w:trPr>
        <w:tc>
          <w:tcPr>
            <w:tcW w:w="6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tcPr>
          <w:p>
            <w:pPr>
              <w:jc w:val="right"/>
              <w:ind w:right="460"/>
              <w:spacing w:after="0" w:line="114"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97"/>
        </w:trPr>
        <w:tc>
          <w:tcPr>
            <w:tcW w:w="61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04"/>
              <w:spacing w:after="0" w:line="97"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4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1"/>
              </w:rPr>
              <w:t>(101,078)</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79"/>
              </w:rPr>
              <w:t>$ (7,977)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40"/>
              <w:spacing w:after="0"/>
              <w:rPr>
                <w:sz w:val="20"/>
                <w:szCs w:val="20"/>
                <w:color w:val="auto"/>
              </w:rPr>
            </w:pPr>
            <w:r>
              <w:rPr>
                <w:rFonts w:ascii="Arial" w:cs="Arial" w:eastAsia="Arial" w:hAnsi="Arial"/>
                <w:sz w:val="12"/>
                <w:szCs w:val="12"/>
                <w:color w:val="auto"/>
              </w:rPr>
              <w:t>Total other comprehensive loss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(2,439)</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(103,517)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(8,797)</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Comprehensive loss attributable to noncontrolling interests</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(18,682)</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(4,700)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 attributable to Roivant Sciences Ltd.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(84,835)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 (4,097)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72" w:right="1440" w:bottom="1440" w:gutter="0" w:footer="0" w:header="0"/>
        </w:sectPr>
      </w:pPr>
    </w:p>
    <w:bookmarkStart w:id="375" w:name="page376"/>
    <w:bookmarkEnd w:id="3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Consolidated Statements of Shareholders’ Equity and Redeemable Noncontrolling Interest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 in thousands, except share data)</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0"/>
                <w:szCs w:val="10"/>
                <w:b w:val="1"/>
                <w:bCs w:val="1"/>
                <w:color w:val="auto"/>
                <w:w w:val="99"/>
              </w:rPr>
              <w:t>Shareholders’ Equity</w:t>
            </w: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4"/>
            <w:vMerge w:val="restart"/>
          </w:tcPr>
          <w:p>
            <w:pPr>
              <w:jc w:val="center"/>
              <w:ind w:left="102"/>
              <w:spacing w:after="0"/>
              <w:rPr>
                <w:sz w:val="20"/>
                <w:szCs w:val="20"/>
                <w:color w:val="auto"/>
              </w:rPr>
            </w:pPr>
            <w:r>
              <w:rPr>
                <w:rFonts w:ascii="Arial" w:cs="Arial" w:eastAsia="Arial" w:hAnsi="Arial"/>
                <w:sz w:val="10"/>
                <w:szCs w:val="10"/>
                <w:b w:val="1"/>
                <w:bCs w:val="1"/>
                <w:color w:val="auto"/>
                <w:w w:val="87"/>
              </w:rPr>
              <w:t>Common Stock</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tcPr>
          <w:p>
            <w:pPr>
              <w:jc w:val="center"/>
              <w:ind w:right="120"/>
              <w:spacing w:after="0" w:line="74" w:lineRule="exact"/>
              <w:rPr>
                <w:sz w:val="20"/>
                <w:szCs w:val="20"/>
                <w:color w:val="auto"/>
              </w:rPr>
            </w:pPr>
            <w:r>
              <w:rPr>
                <w:rFonts w:ascii="Arial" w:cs="Arial" w:eastAsia="Arial" w:hAnsi="Arial"/>
                <w:sz w:val="8"/>
                <w:szCs w:val="8"/>
                <w:b w:val="1"/>
                <w:bCs w:val="1"/>
                <w:color w:val="auto"/>
              </w:rPr>
              <w:t>Accumulated</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w w:val="98"/>
              </w:rPr>
              <w:t>Redeemable</w:t>
            </w:r>
          </w:p>
        </w:tc>
        <w:tc>
          <w:tcPr>
            <w:tcW w:w="84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89"/>
              </w:rPr>
              <w:t>Other</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72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right"/>
              <w:ind w:right="280"/>
              <w:spacing w:after="0" w:line="74" w:lineRule="exact"/>
              <w:rPr>
                <w:sz w:val="20"/>
                <w:szCs w:val="20"/>
                <w:color w:val="auto"/>
              </w:rPr>
            </w:pPr>
            <w:r>
              <w:rPr>
                <w:rFonts w:ascii="Arial" w:cs="Arial" w:eastAsia="Arial" w:hAnsi="Arial"/>
                <w:sz w:val="8"/>
                <w:szCs w:val="8"/>
                <w:b w:val="1"/>
                <w:bCs w:val="1"/>
                <w:color w:val="auto"/>
              </w:rPr>
              <w:t>Paid-in</w:t>
            </w:r>
          </w:p>
        </w:tc>
        <w:tc>
          <w:tcPr>
            <w:tcW w:w="600" w:type="dxa"/>
            <w:vAlign w:val="bottom"/>
            <w:gridSpan w:val="3"/>
          </w:tcPr>
          <w:p>
            <w:pPr>
              <w:jc w:val="right"/>
              <w:ind w:right="120"/>
              <w:spacing w:after="0" w:line="74" w:lineRule="exact"/>
              <w:rPr>
                <w:sz w:val="20"/>
                <w:szCs w:val="20"/>
                <w:color w:val="auto"/>
              </w:rPr>
            </w:pPr>
            <w:r>
              <w:rPr>
                <w:rFonts w:ascii="Arial" w:cs="Arial" w:eastAsia="Arial" w:hAnsi="Arial"/>
                <w:sz w:val="8"/>
                <w:szCs w:val="8"/>
                <w:b w:val="1"/>
                <w:bCs w:val="1"/>
                <w:color w:val="auto"/>
                <w:w w:val="93"/>
              </w:rPr>
              <w:t>Subscription</w:t>
            </w:r>
          </w:p>
        </w:tc>
        <w:tc>
          <w:tcPr>
            <w:tcW w:w="74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Comprehensive</w:t>
            </w:r>
          </w:p>
        </w:tc>
        <w:tc>
          <w:tcPr>
            <w:tcW w:w="700" w:type="dxa"/>
            <w:vAlign w:val="bottom"/>
            <w:gridSpan w:val="2"/>
          </w:tcPr>
          <w:p>
            <w:pPr>
              <w:jc w:val="center"/>
              <w:ind w:right="120"/>
              <w:spacing w:after="0" w:line="74" w:lineRule="exact"/>
              <w:rPr>
                <w:sz w:val="20"/>
                <w:szCs w:val="20"/>
                <w:color w:val="auto"/>
              </w:rPr>
            </w:pPr>
            <w:r>
              <w:rPr>
                <w:rFonts w:ascii="Arial" w:cs="Arial" w:eastAsia="Arial" w:hAnsi="Arial"/>
                <w:sz w:val="8"/>
                <w:szCs w:val="8"/>
                <w:b w:val="1"/>
                <w:bCs w:val="1"/>
                <w:color w:val="auto"/>
              </w:rPr>
              <w:t>Accumulated</w:t>
            </w:r>
          </w:p>
        </w:tc>
        <w:tc>
          <w:tcPr>
            <w:tcW w:w="72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660" w:type="dxa"/>
            <w:vAlign w:val="bottom"/>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Shareholders’</w:t>
            </w:r>
          </w:p>
        </w:tc>
        <w:tc>
          <w:tcPr>
            <w:tcW w:w="0" w:type="dxa"/>
            <w:vAlign w:val="bottom"/>
          </w:tcPr>
          <w:p>
            <w:pPr>
              <w:spacing w:after="0"/>
              <w:rPr>
                <w:sz w:val="1"/>
                <w:szCs w:val="1"/>
                <w:color w:val="auto"/>
              </w:rPr>
            </w:pPr>
          </w:p>
        </w:tc>
      </w:tr>
      <w:tr>
        <w:trPr>
          <w:trHeight w:val="113"/>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103"/>
              <w:spacing w:after="0" w:line="114" w:lineRule="exact"/>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9"/>
                <w:szCs w:val="9"/>
                <w:color w:val="auto"/>
              </w:rPr>
            </w:pPr>
          </w:p>
        </w:tc>
        <w:tc>
          <w:tcPr>
            <w:tcW w:w="620" w:type="dxa"/>
            <w:vAlign w:val="bottom"/>
          </w:tcPr>
          <w:p>
            <w:pPr>
              <w:jc w:val="right"/>
              <w:ind w:right="122"/>
              <w:spacing w:after="0" w:line="114" w:lineRule="exact"/>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460" w:type="dxa"/>
            <w:vAlign w:val="bottom"/>
            <w:gridSpan w:val="4"/>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Amount</w:t>
            </w:r>
          </w:p>
        </w:tc>
        <w:tc>
          <w:tcPr>
            <w:tcW w:w="6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Capital</w:t>
            </w:r>
          </w:p>
        </w:tc>
        <w:tc>
          <w:tcPr>
            <w:tcW w:w="6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Receivable</w:t>
            </w:r>
          </w:p>
        </w:tc>
        <w:tc>
          <w:tcPr>
            <w:tcW w:w="7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Income (Loss)</w:t>
            </w:r>
          </w:p>
        </w:tc>
        <w:tc>
          <w:tcPr>
            <w:tcW w:w="7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Deficit</w:t>
            </w:r>
          </w:p>
        </w:tc>
        <w:tc>
          <w:tcPr>
            <w:tcW w:w="100" w:type="dxa"/>
            <w:vAlign w:val="bottom"/>
          </w:tcPr>
          <w:p>
            <w:pPr>
              <w:spacing w:after="0"/>
              <w:rPr>
                <w:sz w:val="9"/>
                <w:szCs w:val="9"/>
                <w:color w:val="auto"/>
              </w:rPr>
            </w:pPr>
          </w:p>
        </w:tc>
        <w:tc>
          <w:tcPr>
            <w:tcW w:w="62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6"/>
              </w:rPr>
              <w:t>Interests</w:t>
            </w:r>
          </w:p>
        </w:tc>
        <w:tc>
          <w:tcPr>
            <w:tcW w:w="6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4"/>
              </w:rPr>
              <w:t>Equity</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March 31, 2021</w:t>
            </w:r>
          </w:p>
        </w:tc>
        <w:tc>
          <w:tcPr>
            <w:tcW w:w="10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22,491</w:t>
            </w: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222,669,799</w:t>
            </w:r>
          </w:p>
        </w:tc>
        <w:tc>
          <w:tcPr>
            <w:tcW w:w="60" w:type="dxa"/>
            <w:vAlign w:val="bottom"/>
            <w:tcBorders>
              <w:left w:val="single" w:sz="8" w:color="CCEEFF"/>
            </w:tcBorders>
            <w:shd w:val="clear" w:color="auto" w:fill="CCEEFF"/>
          </w:tcPr>
          <w:p>
            <w:pPr>
              <w:spacing w:after="0"/>
              <w:rPr>
                <w:sz w:val="11"/>
                <w:szCs w:val="11"/>
                <w:color w:val="auto"/>
              </w:rPr>
            </w:pPr>
          </w:p>
        </w:tc>
        <w:tc>
          <w:tcPr>
            <w:tcW w:w="160" w:type="dxa"/>
            <w:vAlign w:val="bottom"/>
            <w:gridSpan w:val="2"/>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79"/>
              </w:rPr>
              <w:t>$3,814,805</w:t>
            </w: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1"/>
              </w:rPr>
              <w:t>$ (100,000)</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1,445</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8"/>
              </w:rPr>
              <w:t>$(1,918,462)</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241,726</w:t>
            </w:r>
          </w:p>
        </w:tc>
        <w:tc>
          <w:tcPr>
            <w:tcW w:w="6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8"/>
              </w:rPr>
              <w:t>$ 2,039,514</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w w:val="90"/>
              </w:rPr>
              <w:t>Issuance of subsidiary warrants</w:t>
            </w:r>
          </w:p>
        </w:tc>
        <w:tc>
          <w:tcPr>
            <w:tcW w:w="100" w:type="dxa"/>
            <w:vAlign w:val="bottom"/>
          </w:tcPr>
          <w:p>
            <w:pPr>
              <w:spacing w:after="0"/>
              <w:rPr>
                <w:sz w:val="12"/>
                <w:szCs w:val="12"/>
                <w:color w:val="auto"/>
              </w:rPr>
            </w:pPr>
          </w:p>
        </w:tc>
        <w:tc>
          <w:tcPr>
            <w:tcW w:w="620" w:type="dxa"/>
            <w:vAlign w:val="bottom"/>
            <w:gridSpan w:val="2"/>
          </w:tcPr>
          <w:p>
            <w:pPr>
              <w:jc w:val="center"/>
              <w:ind w:left="123"/>
              <w:spacing w:after="0"/>
              <w:rPr>
                <w:sz w:val="20"/>
                <w:szCs w:val="20"/>
                <w:color w:val="auto"/>
              </w:rPr>
            </w:pPr>
            <w:r>
              <w:rPr>
                <w:rFonts w:ascii="Arial" w:cs="Arial" w:eastAsia="Arial" w:hAnsi="Arial"/>
                <w:sz w:val="12"/>
                <w:szCs w:val="12"/>
                <w:color w:val="auto"/>
                <w:w w:val="99"/>
              </w:rPr>
              <w:t>—</w:t>
            </w:r>
          </w:p>
        </w:tc>
        <w:tc>
          <w:tcPr>
            <w:tcW w:w="680" w:type="dxa"/>
            <w:vAlign w:val="bottom"/>
            <w:gridSpan w:val="2"/>
          </w:tcPr>
          <w:p>
            <w:pPr>
              <w:jc w:val="center"/>
              <w:ind w:left="262"/>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2,051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2,075</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Cash contributions to majority-</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owned subsidiaries</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center"/>
              <w:ind w:left="123"/>
              <w:spacing w:after="0"/>
              <w:rPr>
                <w:sz w:val="20"/>
                <w:szCs w:val="20"/>
                <w:color w:val="auto"/>
              </w:rPr>
            </w:pPr>
            <w:r>
              <w:rPr>
                <w:rFonts w:ascii="Arial" w:cs="Arial" w:eastAsia="Arial" w:hAnsi="Arial"/>
                <w:sz w:val="12"/>
                <w:szCs w:val="12"/>
                <w:color w:val="auto"/>
                <w:w w:val="99"/>
              </w:rPr>
              <w:t>—</w:t>
            </w:r>
          </w:p>
        </w:tc>
        <w:tc>
          <w:tcPr>
            <w:tcW w:w="680" w:type="dxa"/>
            <w:vAlign w:val="bottom"/>
            <w:gridSpan w:val="2"/>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(2,973)</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2,973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100" w:type="dxa"/>
            <w:vAlign w:val="bottom"/>
          </w:tcPr>
          <w:p>
            <w:pPr>
              <w:spacing w:after="0"/>
              <w:rPr>
                <w:sz w:val="12"/>
                <w:szCs w:val="12"/>
                <w:color w:val="auto"/>
              </w:rPr>
            </w:pPr>
          </w:p>
        </w:tc>
        <w:tc>
          <w:tcPr>
            <w:tcW w:w="620" w:type="dxa"/>
            <w:vAlign w:val="bottom"/>
            <w:gridSpan w:val="2"/>
          </w:tcPr>
          <w:p>
            <w:pPr>
              <w:jc w:val="center"/>
              <w:ind w:left="123"/>
              <w:spacing w:after="0"/>
              <w:rPr>
                <w:sz w:val="20"/>
                <w:szCs w:val="20"/>
                <w:color w:val="auto"/>
              </w:rPr>
            </w:pPr>
            <w:r>
              <w:rPr>
                <w:rFonts w:ascii="Arial" w:cs="Arial" w:eastAsia="Arial" w:hAnsi="Arial"/>
                <w:sz w:val="12"/>
                <w:szCs w:val="12"/>
                <w:color w:val="auto"/>
                <w:w w:val="99"/>
              </w:rPr>
              <w:t>—</w:t>
            </w:r>
          </w:p>
        </w:tc>
        <w:tc>
          <w:tcPr>
            <w:tcW w:w="680" w:type="dxa"/>
            <w:vAlign w:val="bottom"/>
            <w:gridSpan w:val="2"/>
          </w:tcPr>
          <w:p>
            <w:pPr>
              <w:jc w:val="center"/>
              <w:ind w:left="262"/>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11,091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8,178</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19,269</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center"/>
              <w:ind w:left="123"/>
              <w:spacing w:after="0"/>
              <w:rPr>
                <w:sz w:val="20"/>
                <w:szCs w:val="20"/>
                <w:color w:val="auto"/>
              </w:rPr>
            </w:pPr>
            <w:r>
              <w:rPr>
                <w:rFonts w:ascii="Arial" w:cs="Arial" w:eastAsia="Arial" w:hAnsi="Arial"/>
                <w:sz w:val="12"/>
                <w:szCs w:val="12"/>
                <w:color w:val="auto"/>
                <w:w w:val="99"/>
              </w:rPr>
              <w:t>—</w:t>
            </w:r>
          </w:p>
        </w:tc>
        <w:tc>
          <w:tcPr>
            <w:tcW w:w="680" w:type="dxa"/>
            <w:vAlign w:val="bottom"/>
            <w:gridSpan w:val="2"/>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(2,652)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(2,439)</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2"/>
                <w:szCs w:val="12"/>
                <w:color w:val="auto"/>
              </w:rPr>
            </w:pPr>
          </w:p>
        </w:tc>
        <w:tc>
          <w:tcPr>
            <w:tcW w:w="520" w:type="dxa"/>
            <w:vAlign w:val="bottom"/>
          </w:tcPr>
          <w:p>
            <w:pPr>
              <w:jc w:val="center"/>
              <w:ind w:left="223"/>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620" w:type="dxa"/>
            <w:vAlign w:val="bottom"/>
          </w:tcPr>
          <w:p>
            <w:pPr>
              <w:jc w:val="center"/>
              <w:ind w:left="322"/>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(82,183)</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(18,895)</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(101,078)</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June 30, 2021</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22,491</w:t>
            </w: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222,669,799</w:t>
            </w:r>
          </w:p>
        </w:tc>
        <w:tc>
          <w:tcPr>
            <w:tcW w:w="60" w:type="dxa"/>
            <w:vAlign w:val="bottom"/>
            <w:tcBorders>
              <w:left w:val="single" w:sz="8" w:color="CCEEFF"/>
            </w:tcBorders>
            <w:shd w:val="clear" w:color="auto" w:fill="CCEEFF"/>
          </w:tcPr>
          <w:p>
            <w:pPr>
              <w:spacing w:after="0"/>
              <w:rPr>
                <w:sz w:val="12"/>
                <w:szCs w:val="12"/>
                <w:color w:val="auto"/>
              </w:rPr>
            </w:pPr>
          </w:p>
        </w:tc>
        <w:tc>
          <w:tcPr>
            <w:tcW w:w="160" w:type="dxa"/>
            <w:vAlign w:val="bottom"/>
            <w:gridSpan w:val="2"/>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79"/>
              </w:rPr>
              <w:t>$</w:t>
            </w:r>
            <w:r>
              <w:rPr>
                <w:rFonts w:ascii="Arial" w:cs="Arial" w:eastAsia="Arial" w:hAnsi="Arial"/>
                <w:sz w:val="12"/>
                <w:szCs w:val="12"/>
                <w:color w:val="auto"/>
                <w:w w:val="79"/>
              </w:rPr>
              <w:t>3,824,974</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1"/>
              </w:rPr>
              <w:t>$ (100,000)</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(1,207)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88"/>
              </w:rPr>
              <w:t>$</w:t>
            </w:r>
            <w:r>
              <w:rPr>
                <w:rFonts w:ascii="Arial" w:cs="Arial" w:eastAsia="Arial" w:hAnsi="Arial"/>
                <w:sz w:val="12"/>
                <w:szCs w:val="12"/>
                <w:color w:val="auto"/>
                <w:w w:val="88"/>
              </w:rPr>
              <w:t>(2,000,645)</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234,219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8"/>
              </w:rPr>
              <w:t>$ 1,957,341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Shareholders’ Equity</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6"/>
            <w:vMerge w:val="restart"/>
          </w:tcPr>
          <w:p>
            <w:pPr>
              <w:jc w:val="right"/>
              <w:ind w:right="280"/>
              <w:spacing w:after="0"/>
              <w:rPr>
                <w:sz w:val="20"/>
                <w:szCs w:val="20"/>
                <w:color w:val="auto"/>
              </w:rPr>
            </w:pPr>
            <w:r>
              <w:rPr>
                <w:rFonts w:ascii="Arial" w:cs="Arial" w:eastAsia="Arial" w:hAnsi="Arial"/>
                <w:sz w:val="10"/>
                <w:szCs w:val="10"/>
                <w:b w:val="1"/>
                <w:bCs w:val="1"/>
                <w:color w:val="auto"/>
              </w:rPr>
              <w:t>Common Stock</w:t>
            </w: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tcPr>
          <w:p>
            <w:pPr>
              <w:jc w:val="center"/>
              <w:ind w:right="120"/>
              <w:spacing w:after="0" w:line="74" w:lineRule="exact"/>
              <w:rPr>
                <w:sz w:val="20"/>
                <w:szCs w:val="20"/>
                <w:color w:val="auto"/>
              </w:rPr>
            </w:pPr>
            <w:r>
              <w:rPr>
                <w:rFonts w:ascii="Arial" w:cs="Arial" w:eastAsia="Arial" w:hAnsi="Arial"/>
                <w:sz w:val="8"/>
                <w:szCs w:val="8"/>
                <w:b w:val="1"/>
                <w:bCs w:val="1"/>
                <w:color w:val="auto"/>
              </w:rPr>
              <w:t>Accumulated</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w w:val="98"/>
              </w:rPr>
              <w:t>Redeemable</w:t>
            </w:r>
          </w:p>
        </w:tc>
        <w:tc>
          <w:tcPr>
            <w:tcW w:w="1140" w:type="dxa"/>
            <w:vAlign w:val="bottom"/>
            <w:gridSpan w:val="6"/>
            <w:vMerge w:val="continue"/>
          </w:tcPr>
          <w:p>
            <w:pPr>
              <w:spacing w:after="0"/>
              <w:rPr>
                <w:sz w:val="9"/>
                <w:szCs w:val="9"/>
                <w:color w:val="auto"/>
              </w:rPr>
            </w:pPr>
          </w:p>
        </w:tc>
        <w:tc>
          <w:tcPr>
            <w:tcW w:w="66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93"/>
              </w:rPr>
              <w:t>Additional</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89"/>
              </w:rPr>
              <w:t>Other</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right"/>
              <w:ind w:right="240"/>
              <w:spacing w:after="0" w:line="74" w:lineRule="exact"/>
              <w:rPr>
                <w:sz w:val="20"/>
                <w:szCs w:val="20"/>
                <w:color w:val="auto"/>
              </w:rPr>
            </w:pPr>
            <w:r>
              <w:rPr>
                <w:rFonts w:ascii="Arial" w:cs="Arial" w:eastAsia="Arial" w:hAnsi="Arial"/>
                <w:sz w:val="8"/>
                <w:szCs w:val="8"/>
                <w:b w:val="1"/>
                <w:bCs w:val="1"/>
                <w:color w:val="auto"/>
              </w:rPr>
              <w:t>Paid-in</w:t>
            </w:r>
          </w:p>
        </w:tc>
        <w:tc>
          <w:tcPr>
            <w:tcW w:w="60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Subscription</w:t>
            </w:r>
          </w:p>
        </w:tc>
        <w:tc>
          <w:tcPr>
            <w:tcW w:w="74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Comprehensive</w:t>
            </w:r>
          </w:p>
        </w:tc>
        <w:tc>
          <w:tcPr>
            <w:tcW w:w="700" w:type="dxa"/>
            <w:vAlign w:val="bottom"/>
            <w:gridSpan w:val="2"/>
          </w:tcPr>
          <w:p>
            <w:pPr>
              <w:jc w:val="center"/>
              <w:ind w:right="120"/>
              <w:spacing w:after="0" w:line="74" w:lineRule="exact"/>
              <w:rPr>
                <w:sz w:val="20"/>
                <w:szCs w:val="20"/>
                <w:color w:val="auto"/>
              </w:rPr>
            </w:pPr>
            <w:r>
              <w:rPr>
                <w:rFonts w:ascii="Arial" w:cs="Arial" w:eastAsia="Arial" w:hAnsi="Arial"/>
                <w:sz w:val="8"/>
                <w:szCs w:val="8"/>
                <w:b w:val="1"/>
                <w:bCs w:val="1"/>
                <w:color w:val="auto"/>
              </w:rPr>
              <w:t>Accumulated</w:t>
            </w:r>
          </w:p>
        </w:tc>
        <w:tc>
          <w:tcPr>
            <w:tcW w:w="72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Noncontrolling</w:t>
            </w:r>
          </w:p>
        </w:tc>
        <w:tc>
          <w:tcPr>
            <w:tcW w:w="660" w:type="dxa"/>
            <w:vAlign w:val="bottom"/>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Shareholders’</w:t>
            </w:r>
          </w:p>
        </w:tc>
        <w:tc>
          <w:tcPr>
            <w:tcW w:w="0" w:type="dxa"/>
            <w:vAlign w:val="bottom"/>
          </w:tcPr>
          <w:p>
            <w:pPr>
              <w:spacing w:after="0"/>
              <w:rPr>
                <w:sz w:val="1"/>
                <w:szCs w:val="1"/>
                <w:color w:val="auto"/>
              </w:rPr>
            </w:pPr>
          </w:p>
        </w:tc>
      </w:tr>
      <w:tr>
        <w:trPr>
          <w:trHeight w:val="113"/>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9"/>
                <w:szCs w:val="9"/>
                <w:color w:val="auto"/>
              </w:rPr>
            </w:pPr>
          </w:p>
        </w:tc>
        <w:tc>
          <w:tcPr>
            <w:tcW w:w="620" w:type="dxa"/>
            <w:vAlign w:val="bottom"/>
            <w:tcBorders>
              <w:bottom w:val="single" w:sz="8" w:color="auto"/>
            </w:tcBorders>
          </w:tcPr>
          <w:p>
            <w:pPr>
              <w:jc w:val="right"/>
              <w:ind w:right="102"/>
              <w:spacing w:after="0" w:line="114" w:lineRule="exact"/>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84"/>
              </w:rPr>
              <w:t>Amount</w:t>
            </w:r>
          </w:p>
        </w:tc>
        <w:tc>
          <w:tcPr>
            <w:tcW w:w="120" w:type="dxa"/>
            <w:vAlign w:val="bottom"/>
          </w:tcPr>
          <w:p>
            <w:pPr>
              <w:spacing w:after="0"/>
              <w:rPr>
                <w:sz w:val="9"/>
                <w:szCs w:val="9"/>
                <w:color w:val="auto"/>
              </w:rPr>
            </w:pPr>
          </w:p>
        </w:tc>
        <w:tc>
          <w:tcPr>
            <w:tcW w:w="500" w:type="dxa"/>
            <w:vAlign w:val="bottom"/>
            <w:tcBorders>
              <w:bottom w:val="single" w:sz="8" w:color="auto"/>
            </w:tcBorders>
          </w:tcPr>
          <w:p>
            <w:pPr>
              <w:jc w:val="right"/>
              <w:ind w:right="24"/>
              <w:spacing w:after="0" w:line="114" w:lineRule="exact"/>
              <w:rPr>
                <w:sz w:val="20"/>
                <w:szCs w:val="20"/>
                <w:color w:val="auto"/>
              </w:rPr>
            </w:pPr>
            <w:r>
              <w:rPr>
                <w:rFonts w:ascii="Arial" w:cs="Arial" w:eastAsia="Arial" w:hAnsi="Arial"/>
                <w:sz w:val="10"/>
                <w:szCs w:val="10"/>
                <w:b w:val="1"/>
                <w:bCs w:val="1"/>
                <w:color w:val="auto"/>
              </w:rPr>
              <w:t>Capital</w:t>
            </w:r>
          </w:p>
        </w:tc>
        <w:tc>
          <w:tcPr>
            <w:tcW w:w="160" w:type="dxa"/>
            <w:vAlign w:val="bottom"/>
          </w:tcPr>
          <w:p>
            <w:pPr>
              <w:spacing w:after="0"/>
              <w:rPr>
                <w:sz w:val="9"/>
                <w:szCs w:val="9"/>
                <w:color w:val="auto"/>
              </w:rPr>
            </w:pPr>
          </w:p>
        </w:tc>
        <w:tc>
          <w:tcPr>
            <w:tcW w:w="48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87"/>
              </w:rPr>
              <w:t>Receivable</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82"/>
              <w:spacing w:after="0" w:line="114" w:lineRule="exact"/>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Deficit</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81"/>
              <w:spacing w:after="0" w:line="114" w:lineRule="exact"/>
              <w:rPr>
                <w:sz w:val="20"/>
                <w:szCs w:val="20"/>
                <w:color w:val="auto"/>
              </w:rPr>
            </w:pPr>
            <w:r>
              <w:rPr>
                <w:rFonts w:ascii="Arial" w:cs="Arial" w:eastAsia="Arial" w:hAnsi="Arial"/>
                <w:sz w:val="10"/>
                <w:szCs w:val="10"/>
                <w:b w:val="1"/>
                <w:bCs w:val="1"/>
                <w:color w:val="auto"/>
                <w:w w:val="86"/>
              </w:rPr>
              <w:t>Interests</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March 31, 2020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gridSpan w:val="2"/>
            <w:shd w:val="clear" w:color="auto" w:fill="CCEEFF"/>
          </w:tcPr>
          <w:p>
            <w:pPr>
              <w:jc w:val="center"/>
              <w:ind w:left="103"/>
              <w:spacing w:after="0" w:line="133" w:lineRule="exact"/>
              <w:rPr>
                <w:sz w:val="20"/>
                <w:szCs w:val="20"/>
                <w:color w:val="auto"/>
              </w:rPr>
            </w:pPr>
            <w:r>
              <w:rPr>
                <w:rFonts w:ascii="Arial" w:cs="Arial" w:eastAsia="Arial" w:hAnsi="Arial"/>
                <w:sz w:val="12"/>
                <w:szCs w:val="12"/>
                <w:color w:val="auto"/>
                <w:w w:val="92"/>
              </w:rPr>
              <w:t>22,491</w:t>
            </w:r>
          </w:p>
        </w:tc>
        <w:tc>
          <w:tcPr>
            <w:tcW w:w="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92"/>
              </w:rPr>
              <w:t>214,879,058</w:t>
            </w:r>
          </w:p>
        </w:tc>
        <w:tc>
          <w:tcPr>
            <w:tcW w:w="160" w:type="dxa"/>
            <w:vAlign w:val="bottom"/>
            <w:gridSpan w:val="2"/>
            <w:shd w:val="clear" w:color="auto" w:fill="CCEEFF"/>
          </w:tcPr>
          <w:p>
            <w:pPr>
              <w:jc w:val="right"/>
              <w:ind w:right="12"/>
              <w:spacing w:after="0" w:line="133" w:lineRule="exact"/>
              <w:rPr>
                <w:sz w:val="20"/>
                <w:szCs w:val="20"/>
                <w:color w:val="auto"/>
              </w:rPr>
            </w:pPr>
            <w:r>
              <w:rPr>
                <w:rFonts w:ascii="Arial" w:cs="Arial" w:eastAsia="Arial" w:hAnsi="Arial"/>
                <w:sz w:val="12"/>
                <w:szCs w:val="12"/>
                <w:color w:val="auto"/>
              </w:rPr>
              <w:t>$</w:t>
            </w:r>
          </w:p>
        </w:tc>
        <w:tc>
          <w:tcPr>
            <w:tcW w:w="300" w:type="dxa"/>
            <w:vAlign w:val="bottom"/>
            <w:tcBorders>
              <w:right w:val="single" w:sz="8" w:color="CCEEFF"/>
            </w:tcBorders>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86"/>
              </w:rPr>
              <w:t>$3,143,739</w:t>
            </w: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(2,349)</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8"/>
              </w:rPr>
              <w:t>$(1,109,228)</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54,042</w:t>
            </w:r>
          </w:p>
        </w:tc>
        <w:tc>
          <w:tcPr>
            <w:tcW w:w="6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8"/>
              </w:rPr>
              <w:t>$ 2,086,204</w:t>
            </w:r>
          </w:p>
        </w:tc>
        <w:tc>
          <w:tcPr>
            <w:tcW w:w="0" w:type="dxa"/>
            <w:vAlign w:val="bottom"/>
          </w:tcPr>
          <w:p>
            <w:pPr>
              <w:spacing w:after="0"/>
              <w:rPr>
                <w:sz w:val="1"/>
                <w:szCs w:val="1"/>
                <w:color w:val="auto"/>
              </w:rPr>
            </w:pPr>
          </w:p>
        </w:tc>
      </w:tr>
      <w:tr>
        <w:trPr>
          <w:trHeight w:val="135"/>
        </w:trPr>
        <w:tc>
          <w:tcPr>
            <w:tcW w:w="1540" w:type="dxa"/>
            <w:vAlign w:val="bottom"/>
          </w:tcPr>
          <w:p>
            <w:pPr>
              <w:spacing w:after="0" w:line="135" w:lineRule="exact"/>
              <w:rPr>
                <w:sz w:val="20"/>
                <w:szCs w:val="20"/>
                <w:color w:val="auto"/>
              </w:rPr>
            </w:pPr>
            <w:r>
              <w:rPr>
                <w:rFonts w:ascii="Arial" w:cs="Arial" w:eastAsia="Arial" w:hAnsi="Arial"/>
                <w:sz w:val="12"/>
                <w:szCs w:val="12"/>
                <w:color w:val="auto"/>
                <w:w w:val="90"/>
              </w:rPr>
              <w:t>Issuance of subsidiary common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120"/>
              <w:spacing w:after="0"/>
              <w:rPr>
                <w:sz w:val="20"/>
                <w:szCs w:val="20"/>
                <w:color w:val="auto"/>
              </w:rPr>
            </w:pPr>
            <w:r>
              <w:rPr>
                <w:rFonts w:ascii="Arial" w:cs="Arial" w:eastAsia="Arial" w:hAnsi="Arial"/>
                <w:sz w:val="12"/>
                <w:szCs w:val="12"/>
                <w:color w:val="auto"/>
                <w:w w:val="90"/>
              </w:rPr>
              <w:t>shares, net of issuance costs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120"/>
              <w:spacing w:after="0"/>
              <w:rPr>
                <w:sz w:val="20"/>
                <w:szCs w:val="20"/>
                <w:color w:val="auto"/>
              </w:rPr>
            </w:pPr>
            <w:r>
              <w:rPr>
                <w:rFonts w:ascii="Arial" w:cs="Arial" w:eastAsia="Arial" w:hAnsi="Arial"/>
                <w:sz w:val="12"/>
                <w:szCs w:val="12"/>
                <w:color w:val="auto"/>
              </w:rPr>
              <w:t>paid</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104,581</w:t>
            </w:r>
          </w:p>
        </w:tc>
        <w:tc>
          <w:tcPr>
            <w:tcW w:w="18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76,599</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181,180</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0"/>
              </w:rPr>
              <w:t>Issuance of subsidiary common</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to the Company</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(6,342)</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1540" w:type="dxa"/>
            <w:vAlign w:val="bottom"/>
          </w:tcPr>
          <w:p>
            <w:pPr>
              <w:spacing w:after="0" w:line="123" w:lineRule="exact"/>
              <w:rPr>
                <w:sz w:val="20"/>
                <w:szCs w:val="20"/>
                <w:color w:val="auto"/>
              </w:rPr>
            </w:pPr>
            <w:r>
              <w:rPr>
                <w:rFonts w:ascii="Arial" w:cs="Arial" w:eastAsia="Arial" w:hAnsi="Arial"/>
                <w:sz w:val="11"/>
                <w:szCs w:val="11"/>
                <w:color w:val="auto"/>
              </w:rPr>
              <w:t>Exercise of subsidiary stock</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40" w:type="dxa"/>
            <w:vAlign w:val="bottom"/>
          </w:tcPr>
          <w:p>
            <w:pPr>
              <w:ind w:left="100"/>
              <w:spacing w:after="0"/>
              <w:rPr>
                <w:sz w:val="20"/>
                <w:szCs w:val="20"/>
                <w:color w:val="auto"/>
              </w:rPr>
            </w:pPr>
            <w:r>
              <w:rPr>
                <w:rFonts w:ascii="Arial" w:cs="Arial" w:eastAsia="Arial" w:hAnsi="Arial"/>
                <w:sz w:val="11"/>
                <w:szCs w:val="11"/>
                <w:color w:val="auto"/>
              </w:rPr>
              <w:t>options</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36</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5"/>
        </w:trPr>
        <w:tc>
          <w:tcPr>
            <w:tcW w:w="1540" w:type="dxa"/>
            <w:vAlign w:val="bottom"/>
            <w:shd w:val="clear" w:color="auto" w:fill="CCEEFF"/>
          </w:tcPr>
          <w:p>
            <w:pPr>
              <w:spacing w:after="0"/>
              <w:rPr>
                <w:sz w:val="20"/>
                <w:szCs w:val="20"/>
                <w:color w:val="auto"/>
              </w:rPr>
            </w:pPr>
            <w:r>
              <w:rPr>
                <w:rFonts w:ascii="Arial" w:cs="Arial" w:eastAsia="Arial" w:hAnsi="Arial"/>
                <w:sz w:val="12"/>
                <w:szCs w:val="12"/>
                <w:color w:val="auto"/>
                <w:w w:val="97"/>
              </w:rPr>
              <w:t>Deconsolidation of subsidiary</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(3,054)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(3,054)</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w w:val="97"/>
              </w:rPr>
              <w:t>Repurchase of equity awards</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(113)</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Cash contribution to majority-</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owned subsidiaries</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9,285</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4,993</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14,278</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(854)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(3,243)</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(4,734)</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(7,977)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June 30, 2020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gridSpan w:val="2"/>
            <w:shd w:val="clear" w:color="auto" w:fill="CCEEFF"/>
          </w:tcPr>
          <w:p>
            <w:pPr>
              <w:jc w:val="center"/>
              <w:ind w:left="103"/>
              <w:spacing w:after="0"/>
              <w:rPr>
                <w:sz w:val="20"/>
                <w:szCs w:val="20"/>
                <w:color w:val="auto"/>
              </w:rPr>
            </w:pPr>
            <w:r>
              <w:rPr>
                <w:rFonts w:ascii="Arial" w:cs="Arial" w:eastAsia="Arial" w:hAnsi="Arial"/>
                <w:sz w:val="12"/>
                <w:szCs w:val="12"/>
                <w:color w:val="auto"/>
                <w:w w:val="92"/>
              </w:rPr>
              <w:t>22,491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2"/>
              </w:rPr>
              <w:t>214,879,058</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3,251,037</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(3,203)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88"/>
              </w:rPr>
              <w:t>$</w:t>
            </w:r>
            <w:r>
              <w:rPr>
                <w:rFonts w:ascii="Arial" w:cs="Arial" w:eastAsia="Arial" w:hAnsi="Arial"/>
                <w:sz w:val="12"/>
                <w:szCs w:val="12"/>
                <w:color w:val="auto"/>
                <w:w w:val="88"/>
              </w:rPr>
              <w:t>(1,112,471)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134,398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8"/>
              </w:rPr>
              <w:t>$ 2,269,761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0159"/>
          </w:cols>
          <w:pgMar w:left="300" w:top="372" w:right="1440" w:bottom="1440" w:gutter="0" w:footer="0" w:header="0"/>
        </w:sectPr>
      </w:pPr>
    </w:p>
    <w:bookmarkStart w:id="376" w:name="page377"/>
    <w:bookmarkEnd w:id="3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 in thousands)</w:t>
      </w:r>
    </w:p>
    <w:p>
      <w:pPr>
        <w:spacing w:after="0" w:line="148" w:lineRule="exact"/>
        <w:rPr>
          <w:sz w:val="20"/>
          <w:szCs w:val="20"/>
          <w:color w:val="auto"/>
        </w:rPr>
      </w:pPr>
    </w:p>
    <w:p>
      <w:pPr>
        <w:jc w:val="center"/>
        <w:ind w:left="5780"/>
        <w:spacing w:after="0"/>
        <w:rPr>
          <w:sz w:val="20"/>
          <w:szCs w:val="20"/>
          <w:color w:val="auto"/>
        </w:rPr>
      </w:pPr>
      <w:r>
        <w:rPr>
          <w:rFonts w:ascii="Arial" w:cs="Arial" w:eastAsia="Arial" w:hAnsi="Arial"/>
          <w:sz w:val="10"/>
          <w:szCs w:val="10"/>
          <w:b w:val="1"/>
          <w:bCs w:val="1"/>
          <w:color w:val="auto"/>
        </w:rPr>
        <w:t>Three Months Ended</w:t>
      </w:r>
    </w:p>
    <w:p>
      <w:pPr>
        <w:jc w:val="center"/>
        <w:ind w:left="5780"/>
        <w:spacing w:after="0" w:line="215" w:lineRule="auto"/>
        <w:rPr>
          <w:sz w:val="20"/>
          <w:szCs w:val="20"/>
          <w:color w:val="auto"/>
        </w:rPr>
      </w:pPr>
      <w:r>
        <w:rPr>
          <w:rFonts w:ascii="Arial" w:cs="Arial" w:eastAsia="Arial" w:hAnsi="Arial"/>
          <w:sz w:val="10"/>
          <w:szCs w:val="10"/>
          <w:b w:val="1"/>
          <w:bCs w:val="1"/>
          <w:color w:val="auto"/>
        </w:rPr>
        <w:t>June 30,</w:t>
      </w:r>
    </w:p>
    <w:tbl>
      <w:tblPr>
        <w:tblLayout w:type="fixed"/>
        <w:tblInd w:w="1980" w:type="dxa"/>
        <w:tblCellMar>
          <w:top w:w="0" w:type="dxa"/>
          <w:left w:w="0" w:type="dxa"/>
          <w:bottom w:w="0" w:type="dxa"/>
          <w:right w:w="0" w:type="dxa"/>
        </w:tblCellMar>
      </w:tblPr>
      <w:tr>
        <w:trPr>
          <w:trHeight w:val="97"/>
        </w:trPr>
        <w:tc>
          <w:tcPr>
            <w:tcW w:w="58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40"/>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40"/>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8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(101,078)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(7,977)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Share-based compensation</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19,269</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14,278</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investments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8,619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(41,148)</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Change in fair value of debt and liability instruments</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4,585</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17,125</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deconsolidation of subsidiary</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(86,516)</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Gain on termination of Sumitomo Options</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(61,472)</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from equity method investment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3,750</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838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3,307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Changes in assets and liabilities, net of effects from acquisition and divestiture: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(6,343)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7,501</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(7,340)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(15,982)</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(1,957)</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(1,769)</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(3,736)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80"/>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(141,170)</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(111,167)</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Cash disposed upon deconsolidation of subsidiary</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(19,085)</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Investments in unconsolidated entities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(6,250)</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Purchase of property and equipment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(2,339)</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(25,641)</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issuance of subsidiary common shares, net of issuance costs paid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181,180</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Proceeds from subsidiary debt financings, net of financing costs paid</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36,400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 of long-term debt by subsidiary</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(21,590)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Payment of deferred offering and loan origination costs</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(4,600)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Repurchase of equity awards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Proceeds from exercise of subsidiary stock options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10,210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181,130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40"/>
              <w:spacing w:after="0"/>
              <w:rPr>
                <w:sz w:val="20"/>
                <w:szCs w:val="20"/>
                <w:color w:val="auto"/>
              </w:rPr>
            </w:pPr>
            <w:r>
              <w:rPr>
                <w:rFonts w:ascii="Arial" w:cs="Arial" w:eastAsia="Arial" w:hAnsi="Arial"/>
                <w:sz w:val="12"/>
                <w:szCs w:val="12"/>
                <w:color w:val="auto"/>
              </w:rPr>
              <w:t>Net change in cash, cash equivalents and restricted cash</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(133,299)</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44,322</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Cash, cash equivalents and restricted cash at beginning of period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2,141,676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2,269,252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80"/>
              <w:spacing w:after="0"/>
              <w:rPr>
                <w:sz w:val="20"/>
                <w:szCs w:val="20"/>
                <w:color w:val="auto"/>
              </w:rPr>
            </w:pPr>
            <w:r>
              <w:rPr>
                <w:rFonts w:ascii="Arial" w:cs="Arial" w:eastAsia="Arial" w:hAnsi="Arial"/>
                <w:sz w:val="12"/>
                <w:szCs w:val="12"/>
                <w:color w:val="auto"/>
              </w:rPr>
              <w:t>Cash, cash equivalents and restricted cash at end of period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2,008,377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2,313,574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Operating lease right-of-use assets obtained and exchanged for operating lease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4,579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subsidiary warrant in connection with debt financing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860" w:type="dxa"/>
            <w:vAlign w:val="bottom"/>
          </w:tcPr>
          <w:p>
            <w:pPr>
              <w:ind w:left="240"/>
              <w:spacing w:after="0"/>
              <w:rPr>
                <w:sz w:val="20"/>
                <w:szCs w:val="20"/>
                <w:color w:val="auto"/>
              </w:rPr>
            </w:pPr>
            <w:r>
              <w:rPr>
                <w:rFonts w:ascii="Arial" w:cs="Arial" w:eastAsia="Arial" w:hAnsi="Arial"/>
                <w:sz w:val="12"/>
                <w:szCs w:val="12"/>
                <w:color w:val="auto"/>
              </w:rPr>
              <w:t>Deferred offering and financing costs included in accounts payable and accrued expenses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4,999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72" w:right="1440" w:bottom="1440" w:gutter="0" w:footer="0" w:header="0"/>
        </w:sectPr>
      </w:pPr>
    </w:p>
    <w:bookmarkStart w:id="377" w:name="page378"/>
    <w:bookmarkEnd w:id="3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ROIVANT SCIENCES LTD.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1—Description of Business and Liquidity</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Description of Business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2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3, “Investments” for further discussion of the Company’s investments in unconsolidated entities.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Liquidity</w:t>
      </w:r>
    </w:p>
    <w:p>
      <w:pPr>
        <w:spacing w:after="0" w:line="8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The Company has incurred significant losses and negative cash flows from operations since its inception. As of June 30, 2021, the Company had cash and cash equivalents of approximately $2.0 billion and its accumulated deficit was approximately $2.0 billion. For the three months ended June 30, 2021 and 2020, the Company incurred net losses of $101.1 million and $8.0 million, respectively. The Company has historically financed its operations primarily through the sale of equity securities, sale of subsidiary interests, debt financings and revenue generated from licensing and collaboration arrangements. 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Management expects to incur additional losses in the future to fund its operations and conduct product research and development and recognizes the need to raise additional capital to fully implement its business plan.</w:t>
      </w:r>
    </w:p>
    <w:p>
      <w:pPr>
        <w:spacing w:after="0" w:line="115"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condensed consolidated financial statements.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2—Summary of Significant Accounting Policies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Basis of Presentation and Principles of Consolidation</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Company’s fiscal year ends on March 31, and its fiscal quarters end on June 30, September 30, and December 31.</w:t>
      </w:r>
    </w:p>
    <w:p>
      <w:pPr>
        <w:spacing w:after="0" w:line="150"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accounting principles generally accepted in the United States (“U.S. GAAP”) for interim financial information and follow the requirements of the Securities and Exchange Commission (“SEC”) for interim financial reporting. Accordingly, these unaudited condensed consolidated financial statements do not include all of the information and</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72" w:right="1440" w:bottom="1440" w:gutter="0" w:footer="0" w:header="0"/>
        </w:sectPr>
      </w:pPr>
    </w:p>
    <w:bookmarkStart w:id="378" w:name="page379"/>
    <w:bookmarkEnd w:id="3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w:t>
      </w:r>
    </w:p>
    <w:p>
      <w:pPr>
        <w:spacing w:after="0" w:line="12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These unaudited condensed consolidated financial statements should be read in conjunction with the Company’s audited consolidated financial statements and notes thereto for the fiscal year ended March 31, 2021 issued on June 30, 2021. The unaudited condensed consolidated balance sheet at March 31, 2021 has been derived from the audited consolidated financial statements at that date. In the opinion of management, the unaudited condensed consolidated financial statements include all normal and recurring adjustments that are considered necessary to present fairly the financial position of the Company and its results of operations and cash flows for the interim periods presented. Certain prior year amounts were reclassified to conform to current year presentation. Operating results for the three months ended June 30, 2021 are not necessarily indicative of the results that may be expected for the fiscal year ending March 31, 2022, for any other interim period, or for any other future year.</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unaudited condensed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consolidated entities where the Company owns or is exposed to less than 100% of the economics, the Company records net loss attributable to noncontrolling interests in its unaudited condensed consolidated statements of operations equal to the percentage of the economic or ownership interest retained in the respective operations by the noncontrolling parties. The Company presents noncontrolling interests as a component of shareholders’ equity on its unaudited condensed consolidated balance sheets.</w:t>
      </w:r>
    </w:p>
    <w:p>
      <w:pPr>
        <w:spacing w:after="0" w:line="124" w:lineRule="exact"/>
        <w:rPr>
          <w:sz w:val="20"/>
          <w:szCs w:val="20"/>
          <w:color w:val="auto"/>
        </w:rPr>
      </w:pPr>
    </w:p>
    <w:p>
      <w:pPr>
        <w:ind w:left="1980" w:right="1059" w:firstLine="294"/>
        <w:spacing w:after="0" w:line="259" w:lineRule="auto"/>
        <w:rPr>
          <w:sz w:val="20"/>
          <w:szCs w:val="20"/>
          <w:color w:val="auto"/>
        </w:rPr>
      </w:pPr>
      <w:r>
        <w:rPr>
          <w:rFonts w:ascii="Arial" w:cs="Arial" w:eastAsia="Arial" w:hAnsi="Arial"/>
          <w:sz w:val="12"/>
          <w:szCs w:val="12"/>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24"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There have been no significant changes in the Company’s accounting policies from those disclosed in the Company’s audited consolidated financial statements for the fiscal year ended March 31, 2021 issued on June 30, 2021.</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irrevocably elected not to avail itself of this extended transition period, and, as a result, the Company will adopt new or revised accounting standards on the relevant dates on which adoption of such standards is required for other public companies.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Use of Estimates</w:t>
      </w:r>
    </w:p>
    <w:p>
      <w:pPr>
        <w:spacing w:after="0" w:line="82" w:lineRule="exact"/>
        <w:rPr>
          <w:sz w:val="20"/>
          <w:szCs w:val="20"/>
          <w:color w:val="auto"/>
        </w:rPr>
      </w:pPr>
    </w:p>
    <w:p>
      <w:pPr>
        <w:jc w:val="both"/>
        <w:ind w:left="1980" w:right="1019" w:firstLine="294"/>
        <w:spacing w:after="0" w:line="263"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72" w:right="1440" w:bottom="1440" w:gutter="0" w:footer="0" w:header="0"/>
        </w:sectPr>
      </w:pPr>
    </w:p>
    <w:bookmarkStart w:id="379" w:name="page380"/>
    <w:bookmarkEnd w:id="3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Additionally, the Company assessed the impact that the COVID-19 pandemic has had on its operations and financial results as of June 30, 2021 and through the issuance of these condensed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Risks and Uncertainties</w:t>
      </w:r>
    </w:p>
    <w:p>
      <w:pPr>
        <w:spacing w:after="0" w:line="82"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The Company is subject to risks common to companies in the biopharmaceutical industry including, but not limited to, uncertainties related to commercialization of products, regulatory approvals, dependence on key products, dependence on third-party service providers, such as contract research organizations, and protection of intellectual property rights.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Concentrations of Credit Risk</w:t>
      </w:r>
    </w:p>
    <w:p>
      <w:pPr>
        <w:spacing w:after="0" w:line="82"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 Cash, Cash Equivalents, and Restricted Cash</w:t>
      </w:r>
    </w:p>
    <w:p>
      <w:pPr>
        <w:spacing w:after="0" w:line="82"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9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 As of March 31, 2021, restricted cash classified as a current asset included $75.0 million held in escrow for the purpose of fulfilling certain indemnification obligations. The full escrow amount of $75.0 million was disbursed to the Company in June 2021. See Note 4, “Sumitomo Transaction Agreement” for additional information.</w:t>
      </w:r>
    </w:p>
    <w:p>
      <w:pPr>
        <w:spacing w:after="0" w:line="128"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Cash as reported in the condensed consolidated statements of cash flows includes the aggregate amounts of cash, cash equivalents, and restricted cash as presented on the condensed consolidated balance sheets as follows (in thousands):</w:t>
      </w:r>
    </w:p>
    <w:p>
      <w:pPr>
        <w:spacing w:after="0" w:line="135"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June 30, 2021</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w w:val="92"/>
              </w:rPr>
              <w:t>March 31, 2021</w:t>
            </w:r>
          </w:p>
        </w:tc>
      </w:tr>
      <w:tr>
        <w:trPr>
          <w:trHeight w:val="133"/>
        </w:trPr>
        <w:tc>
          <w:tcPr>
            <w:tcW w:w="2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15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$ 1,996,733</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2,055,044</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Restricted cash</w:t>
            </w:r>
          </w:p>
        </w:tc>
        <w:tc>
          <w:tcPr>
            <w:tcW w:w="15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11,644</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86,632</w:t>
            </w:r>
          </w:p>
        </w:tc>
        <w:tc>
          <w:tcPr>
            <w:tcW w:w="40" w:type="dxa"/>
            <w:vAlign w:val="bottom"/>
          </w:tcPr>
          <w:p>
            <w:pPr>
              <w:spacing w:after="0"/>
              <w:rPr>
                <w:sz w:val="12"/>
                <w:szCs w:val="12"/>
                <w:color w:val="auto"/>
              </w:rPr>
            </w:pPr>
          </w:p>
        </w:tc>
      </w:tr>
      <w:tr>
        <w:trPr>
          <w:trHeight w:val="149"/>
        </w:trPr>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w:t>
            </w:r>
          </w:p>
        </w:tc>
        <w:tc>
          <w:tcPr>
            <w:tcW w:w="256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$ 2,008,377</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2,141,676</w:t>
            </w:r>
          </w:p>
        </w:tc>
      </w:tr>
      <w:tr>
        <w:trPr>
          <w:trHeight w:val="252"/>
        </w:trPr>
        <w:tc>
          <w:tcPr>
            <w:tcW w:w="2340" w:type="dxa"/>
            <w:vAlign w:val="bottom"/>
          </w:tcPr>
          <w:p>
            <w:pPr>
              <w:spacing w:after="0"/>
              <w:rPr>
                <w:sz w:val="21"/>
                <w:szCs w:val="21"/>
                <w:color w:val="auto"/>
              </w:rPr>
            </w:pPr>
          </w:p>
        </w:tc>
        <w:tc>
          <w:tcPr>
            <w:tcW w:w="1580" w:type="dxa"/>
            <w:vAlign w:val="bottom"/>
          </w:tcPr>
          <w:p>
            <w:pPr>
              <w:ind w:left="340"/>
              <w:spacing w:after="0"/>
              <w:rPr>
                <w:sz w:val="20"/>
                <w:szCs w:val="20"/>
                <w:color w:val="auto"/>
              </w:rPr>
            </w:pPr>
            <w:r>
              <w:rPr>
                <w:rFonts w:ascii="Arial" w:cs="Arial" w:eastAsia="Arial" w:hAnsi="Arial"/>
                <w:sz w:val="12"/>
                <w:szCs w:val="12"/>
                <w:color w:val="auto"/>
              </w:rPr>
              <w:t>F-50</w:t>
            </w:r>
          </w:p>
        </w:tc>
        <w:tc>
          <w:tcPr>
            <w:tcW w:w="5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380" w:name="page381"/>
    <w:bookmarkEnd w:id="3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 Contingencies</w:t>
      </w:r>
    </w:p>
    <w:p>
      <w:pPr>
        <w:spacing w:after="0" w:line="8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 Investments</w:t>
      </w:r>
    </w:p>
    <w:p>
      <w:pPr>
        <w:spacing w:after="0" w:line="8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For investments in entities over which the Company has significant influence but do not meet the requirements for consolidation and for which the Company has not elected the fair value option, the Company applies the equity method of accounting with the Company’s share of the underlying income or loss of such entities reported in “Other (income) expense, net” on the condensed consolidated statements of operations. The Company applies the equity method to investments in common stock and to other investments in entities that have risk and reward characteristics that are substantially similar to an investment in the investee’s common stock.</w:t>
      </w:r>
    </w:p>
    <w:p>
      <w:pPr>
        <w:spacing w:after="0" w:line="128" w:lineRule="exact"/>
        <w:rPr>
          <w:sz w:val="20"/>
          <w:szCs w:val="20"/>
          <w:color w:val="auto"/>
        </w:rPr>
      </w:pPr>
    </w:p>
    <w:p>
      <w:pPr>
        <w:jc w:val="both"/>
        <w:ind w:left="1980" w:right="899" w:firstLine="294"/>
        <w:spacing w:after="0" w:line="340" w:lineRule="auto"/>
        <w:rPr>
          <w:sz w:val="20"/>
          <w:szCs w:val="20"/>
          <w:color w:val="auto"/>
        </w:rPr>
      </w:pPr>
      <w:r>
        <w:rPr>
          <w:rFonts w:ascii="Arial" w:cs="Arial" w:eastAsia="Arial" w:hAnsi="Arial"/>
          <w:sz w:val="10"/>
          <w:szCs w:val="10"/>
          <w:color w:val="auto"/>
        </w:rPr>
        <w:t>Investments in equity securities may also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87" w:lineRule="exact"/>
        <w:rPr>
          <w:sz w:val="20"/>
          <w:szCs w:val="20"/>
          <w:color w:val="auto"/>
        </w:rPr>
      </w:pPr>
    </w:p>
    <w:p>
      <w:pPr>
        <w:ind w:left="1980" w:right="1299" w:firstLine="294"/>
        <w:spacing w:after="0" w:line="323" w:lineRule="auto"/>
        <w:rPr>
          <w:sz w:val="20"/>
          <w:szCs w:val="20"/>
          <w:color w:val="auto"/>
        </w:rPr>
      </w:pPr>
      <w:r>
        <w:rPr>
          <w:rFonts w:ascii="Arial" w:cs="Arial" w:eastAsia="Arial" w:hAnsi="Arial"/>
          <w:sz w:val="11"/>
          <w:szCs w:val="11"/>
          <w:color w:val="auto"/>
        </w:rPr>
        <w:t>The Company has elected the fair value option to account for certain investments over which the Company has significant influence. The Company believes the fair value option best reflects the underlying economics of the investment. See Note 3, “Investments.”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(H) Research and Development Expenses</w:t>
      </w:r>
    </w:p>
    <w:p>
      <w:pPr>
        <w:spacing w:after="0" w:line="82"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Payments for a product license prior to regulatory approval of the product and payments for milestones achieved prior to regulatory approval of the product are expensed in the period incurred as R&amp;D. Milestone payments made in connection with regulatory approvals are capitalized and amortized to cost of revenue over the remaining useful life of the asset. R&amp;D costs primarily consist of the intellectual property and R&amp;D materials acquired and expenses from third parties who conduct R&amp;D activities on behalf of the Company.</w:t>
      </w:r>
    </w:p>
    <w:p>
      <w:pPr>
        <w:spacing w:after="0" w:line="113"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Company evaluates in-licensed agreements for in-process research and development projects (“IPR&amp;D”)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R&amp;D expense in its condensed consolidated statements of operations. The Company initially recognizes contingent consideration in an asset acquisition at fair value. The carrying value of contingent consideration is subsequently adjusted when the contingency is resolved and is paid or becomes payable.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72" w:right="1440" w:bottom="1440" w:gutter="0" w:footer="0" w:header="0"/>
        </w:sectPr>
      </w:pPr>
    </w:p>
    <w:bookmarkStart w:id="381" w:name="page382"/>
    <w:bookmarkEnd w:id="3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 Fair Value Measurements</w:t>
      </w:r>
    </w:p>
    <w:p>
      <w:pPr>
        <w:spacing w:after="0" w:line="82"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41" w:lineRule="exact"/>
        <w:rPr>
          <w:sz w:val="20"/>
          <w:szCs w:val="20"/>
          <w:color w:val="auto"/>
        </w:rPr>
      </w:pPr>
    </w:p>
    <w:p>
      <w:pPr>
        <w:ind w:left="2620" w:right="1159" w:hanging="360"/>
        <w:spacing w:after="0" w:line="276" w:lineRule="auto"/>
        <w:tabs>
          <w:tab w:leader="none" w:pos="262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Level 1-Valuations are based on unadjusted quoted prices in active markets for identical assets or liabilities that the Company has the ability to access.</w:t>
      </w:r>
    </w:p>
    <w:p>
      <w:pPr>
        <w:spacing w:after="0" w:line="51" w:lineRule="exact"/>
        <w:rPr>
          <w:rFonts w:ascii="Arial" w:cs="Arial" w:eastAsia="Arial" w:hAnsi="Arial"/>
          <w:sz w:val="12"/>
          <w:szCs w:val="12"/>
          <w:color w:val="auto"/>
        </w:rPr>
      </w:pPr>
    </w:p>
    <w:p>
      <w:pPr>
        <w:ind w:left="2620" w:right="919" w:hanging="360"/>
        <w:spacing w:after="0" w:line="323" w:lineRule="auto"/>
        <w:tabs>
          <w:tab w:leader="none" w:pos="262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28" w:lineRule="exact"/>
        <w:rPr>
          <w:rFonts w:ascii="Arial" w:cs="Arial" w:eastAsia="Arial" w:hAnsi="Arial"/>
          <w:sz w:val="11"/>
          <w:szCs w:val="11"/>
          <w:color w:val="auto"/>
        </w:rPr>
      </w:pPr>
    </w:p>
    <w:p>
      <w:pPr>
        <w:ind w:left="2620" w:right="999" w:hanging="360"/>
        <w:spacing w:after="0" w:line="276" w:lineRule="auto"/>
        <w:tabs>
          <w:tab w:leader="none" w:pos="262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Level 3-Valuations are based on inputs that are unobservable (supported by little or no market activity) and significant to the overall fair value measurement.</w:t>
      </w:r>
    </w:p>
    <w:p>
      <w:pPr>
        <w:spacing w:after="0" w:line="115"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Company’s financial instruments include shares of common stock of Arbutus Biopharma Corporation (“Arbutus”); shares of Arbutus’s Series A participating convertible preferred shares (“Arbutus Preferred Shares”); shares of common stock of Sio Gene Therapies Inc. (“Sio”); liability instruments issued; deferred consideration liability; its investments in other entities; cash and cash equivalents consisting of money market funds; accounts payable; and long-term debt.</w:t>
      </w:r>
    </w:p>
    <w:p>
      <w:pPr>
        <w:spacing w:after="0" w:line="124" w:lineRule="exact"/>
        <w:rPr>
          <w:sz w:val="20"/>
          <w:szCs w:val="20"/>
          <w:color w:val="auto"/>
        </w:rPr>
      </w:pPr>
    </w:p>
    <w:p>
      <w:pPr>
        <w:ind w:left="1980" w:right="859" w:firstLine="294"/>
        <w:spacing w:after="0" w:line="308" w:lineRule="auto"/>
        <w:rPr>
          <w:sz w:val="20"/>
          <w:szCs w:val="20"/>
          <w:color w:val="auto"/>
        </w:rPr>
      </w:pPr>
      <w:r>
        <w:rPr>
          <w:rFonts w:ascii="Arial" w:cs="Arial" w:eastAsia="Arial" w:hAnsi="Arial"/>
          <w:sz w:val="10"/>
          <w:szCs w:val="10"/>
          <w:color w:val="auto"/>
        </w:rPr>
        <w:t>The shares of Arbutus and Sio common stock and investments in common stock with a readily determinable fair value are classified as Level 1, and their fair value is determined based upon quoted market prices in an active market. The Arbutus Preferred Shares held by the Company are classified as Level 2 as the fair value of such preferred shares is determined based upon the quoted market price of Arbutus common stock into which such preferred shares are convertible. The liability instruments issued are classified as Level 3 within the fair value hierarchy as the assumptions and estimates used in the valuations are unobservable in the market. Cash, accounts payable, and deferred consideration liability are stated at their respective historical carrying amounts, which approximate fair value due to their short-term nature. The deferred consideration liability is based on a fixed monetary amount, and payment is based solely on the passage of time. Money market funds are included in Level-1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72" w:right="1440" w:bottom="1440" w:gutter="0" w:footer="0" w:header="0"/>
        </w:sectPr>
      </w:pPr>
    </w:p>
    <w:bookmarkStart w:id="382" w:name="page383"/>
    <w:bookmarkEnd w:id="3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 Recently Adopted Accounting Pronouncements</w:t>
      </w:r>
    </w:p>
    <w:p>
      <w:pPr>
        <w:spacing w:after="0" w:line="82" w:lineRule="exact"/>
        <w:rPr>
          <w:sz w:val="20"/>
          <w:szCs w:val="20"/>
          <w:color w:val="auto"/>
        </w:rPr>
      </w:pPr>
    </w:p>
    <w:p>
      <w:pPr>
        <w:ind w:left="1980" w:right="939" w:firstLine="294"/>
        <w:spacing w:after="0" w:line="279" w:lineRule="auto"/>
        <w:rPr>
          <w:sz w:val="20"/>
          <w:szCs w:val="20"/>
          <w:color w:val="auto"/>
        </w:rPr>
      </w:pPr>
      <w:r>
        <w:rPr>
          <w:rFonts w:ascii="Arial" w:cs="Arial" w:eastAsia="Arial" w:hAnsi="Arial"/>
          <w:sz w:val="11"/>
          <w:szCs w:val="11"/>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No. 2020-06”). ASU No. 2020-06 will simplify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U.S. GAAP. ASU No. 2020-06 also removes certain settlement conditions that are required for equity contracts to qualify for the derivatives scope exception, which will permit more equity contracts to qualify for it. Either a modified retrospective transition method or a fully retrospective transition method is permissible for the adoption of this standard. Update No. 2020-06 is effective for fiscal years beginning after December 15, 2021, including interim periods within those fiscal years. The early-adoption of ASU No. 2020-06 on April 1, 2021 did not have a material impact on the Company’s unaudited condensed consolidated financial statements.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3—Investments</w:t>
      </w:r>
    </w:p>
    <w:p>
      <w:pPr>
        <w:spacing w:after="0" w:line="78" w:lineRule="exact"/>
        <w:rPr>
          <w:sz w:val="20"/>
          <w:szCs w:val="20"/>
          <w:color w:val="auto"/>
        </w:rPr>
      </w:pPr>
    </w:p>
    <w:p>
      <w:pPr>
        <w:ind w:left="2260" w:right="6139" w:hanging="288"/>
        <w:spacing w:after="0" w:line="379" w:lineRule="auto"/>
        <w:tabs>
          <w:tab w:leader="none" w:pos="2163"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Investments Measured at Fair Value </w:t>
      </w:r>
      <w:r>
        <w:rPr>
          <w:rFonts w:ascii="Arial" w:cs="Arial" w:eastAsia="Arial" w:hAnsi="Arial"/>
          <w:sz w:val="12"/>
          <w:szCs w:val="12"/>
          <w:i w:val="1"/>
          <w:iCs w:val="1"/>
          <w:color w:val="auto"/>
        </w:rPr>
        <w:t>Investment in Arbutus</w:t>
      </w:r>
    </w:p>
    <w:p>
      <w:pPr>
        <w:ind w:left="1980" w:right="879" w:firstLine="294"/>
        <w:spacing w:after="0" w:line="280" w:lineRule="auto"/>
        <w:rPr>
          <w:sz w:val="20"/>
          <w:szCs w:val="20"/>
          <w:color w:val="auto"/>
        </w:rPr>
      </w:pPr>
      <w:r>
        <w:rPr>
          <w:rFonts w:ascii="Arial" w:cs="Arial" w:eastAsia="Arial" w:hAnsi="Arial"/>
          <w:sz w:val="11"/>
          <w:szCs w:val="11"/>
          <w:color w:val="auto"/>
        </w:rPr>
        <w:t>RSL owns 16,013,540 shares of common stock of Arbutus and 1,164,000 Arbutus Preferred Shares that are mandatorily convertible into shares of Arbutus common stock on October 18, 2021 subject to conversion earlier upon a sale, merger or other transaction considered a fundamental change of control of Arbutus. The Arbutus Preferred Shares are non-voting and are convertible into common shares of Arbutus based on the subscription price plus 8.75% per annum, compounded annually, divided by a conversion price of $7.13 per share (which represented a 15% premium to the closing price of $6.20 per share on September 29, 2017). The fair value option was elected to continuously remeasure the investment to fair value each reporting period after the initial measurement. Due to the Company’s significant influence over operating and financial policies, Arbutus is considered a related party of the Company. At June 30, 2021, RSL held 32% of issued and outstanding shares of Arbutus, including the conversion of the Arbutus Preferred Shares held by RSL into common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At June 30, 2021 and March 31, 2021, the aggregate fair value of the RSL investment in Arbutus was $117.7 million and $129.4 million, respectively, with the Company recognizing an unrealized loss on its investments in Arbutus of $11.7 million and an unrealized gain of $31.5 million in the accompanying condensed consolidated statements of operations for the three months ended June 30, 2021 and 2020, respectively. The fair value of the common stock and preferred shares held by the Company was determined using the closing price of Arbutus’s common stock on June 30, 2021 and March 31, 2021 of $3.03 and $3.33, respectively.</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Investment in Sio</w:t>
      </w:r>
    </w:p>
    <w:p>
      <w:pPr>
        <w:spacing w:after="0" w:line="78"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Following the completion of Sio’s underwritten public offering in February 2020, RSL’s ownership interest fell below 50.0%. As such, the Company no longer has a controlling financial interest in Sio. Accordingly, the Company deconsolidated Sio in February 2020. Due to the Company’s significant influence over operating and financial policies, Sio remains a related party of the Company following deconsolidation. As the Company still has the ability to exercise significant influence over the operating and financial policies of Sio, the Company has determined that its retained interest represents an equity method investment after the date of deconsolidation. Upon deconsolidation, the retained interest was recorded at fair market value based on the closing price of Sio’s common stock. The fair value option was elected to continuously remeasure the investment to fair value each reporting period after the initial measurement. At June 30, 2021, RSL held 27% of Sio’s issued and outstanding common shares.</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At June 30, 2021 and March 31, 2021, the fair value of the Company’s investment in Sio was $50.7 million and $48.5 million, respectively, with the Company recognizing unrealized gains on its investment in Sio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0159"/>
          </w:cols>
          <w:pgMar w:left="300" w:top="372" w:right="1440" w:bottom="1440" w:gutter="0" w:footer="0" w:header="0"/>
        </w:sectPr>
      </w:pPr>
    </w:p>
    <w:bookmarkStart w:id="383" w:name="page384"/>
    <w:bookmarkEnd w:id="3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$2.2 million and $7.1 million in the accompanying condensed consolidated statements of operations for the three months ended June 30, 2021 and 2020, respectively. The fair value of common shares held by the Company was determined using the closing price of Sio’s common stock on June 30, 2021 and March 31, 2021 of $2.73 and $2.61, respectively.</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Other Investment</w:t>
      </w:r>
    </w:p>
    <w:p>
      <w:pPr>
        <w:spacing w:after="0" w:line="78" w:lineRule="exact"/>
        <w:rPr>
          <w:sz w:val="20"/>
          <w:szCs w:val="20"/>
          <w:color w:val="auto"/>
        </w:rPr>
      </w:pPr>
    </w:p>
    <w:p>
      <w:pPr>
        <w:ind w:left="1980" w:right="1439" w:firstLine="294"/>
        <w:spacing w:after="0" w:line="276" w:lineRule="auto"/>
        <w:rPr>
          <w:sz w:val="20"/>
          <w:szCs w:val="20"/>
          <w:color w:val="auto"/>
        </w:rPr>
      </w:pPr>
      <w:r>
        <w:rPr>
          <w:rFonts w:ascii="Arial" w:cs="Arial" w:eastAsia="Arial" w:hAnsi="Arial"/>
          <w:sz w:val="12"/>
          <w:szCs w:val="12"/>
          <w:color w:val="auto"/>
        </w:rPr>
        <w:t>The Company holds an additional equity investment that is measured using the fair value option. The fair value of this investment was $11.9 million and $11.1 million as of June 30, 2021 and March 31, 2021, respectively.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Investment Accounted for Using Measurement Alternative</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Investment in Datavant</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In April 2020, Datavant Holdings, Inc. (“Datavant”) completed an initial round of a Series B equity raise by which 13,411,311 Series B preferred shares were issued in April 2020 for gross proceeds of $27.2 million, including 1,065,234 Series B preferred shares issued and sold to RSL for a total purchase price of $2.5 million and 1,800,253 Series B shares issued relating to the conversion of certain liability instruments. As a result of this transaction, along with a restructuring of Datavant’s equity classes, RSL no longer controls Datavant. As such, the Company deconsolidated Datavant as of April 2020. Due to the Company’s significant influence over operating and financial policies, Datavant remains a related party of the Company following deconsolidation. Upon deconsolidation, the Company recorded its investment in Datavant based on the fair value of Datavant preferred shares held of $99.0 million. The Company accounts for its investment in Datavant using the measurement alternative to fair value. The investment will be remeasured upon future observable price changes in orderly transactions or upon impairment, if any. The Company recognized a gain on deconsolidation of $86.5 million in the accompanying condensed consolidated statements of operations for the three months ended June 30, 2020. In July 2020, Datavant issued and sold 639,140 Series B preferred shares to RSL at a price consistent with that of the initial round of Datavant’s Series B equity raise. At June 30, 2021 and March 31, 2021, the carrying value of the Company’s investment in Datavant was $100.6 million.</w:t>
      </w:r>
    </w:p>
    <w:p>
      <w:pPr>
        <w:spacing w:after="0" w:line="11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June 2021, Datavant and CIOX Health, LLC entered into a definitive agreement to merge the two companies, subject to regulatory approvals.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See Note 14, “Subsequent Events” for additional information.</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4—Sumitomo Transaction Agreement</w:t>
      </w:r>
    </w:p>
    <w:p>
      <w:pPr>
        <w:spacing w:after="0" w:line="82"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On December 27, 2019 (the “Sumitomo Closing Date”), RSL and Sumitomo Dainippon Pharma Co., Ltd. (“Sumitomo”) completed the transactions contemplated by the transaction agreement by and between RSL and Sumitomo, dated as of October 31, 2019 (the “Sumitomo Transaction Agreement”). Pursuant to the Sumitomo Transaction Agreement, RSL transferred its entire ownership interest in Myovant Sciences Ltd., Urovant Sciences Ltd., Enzyvant Therapeutics Ltd., Altavant Sciences Ltd. and Spirovant Sciences Ltd. (collectively, the “Sumitovant Vants”) to a newly formed, wholly-owned entity (“Sumitovant”).</w:t>
      </w:r>
    </w:p>
    <w:p>
      <w:pPr>
        <w:spacing w:after="0" w:line="128"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RSL’s ownership interest in Sumitovant was then transferred to Sumitomo, such that following the Sumitomo Closing Date, Sumitovant and its subsidiaries, including the Sumitovant Vants, were each directly or indirectly owned by Sumitomo. Additionally, in connection with the Sumitomo Transaction Agreement, RSL (i) granted Sumitomo options to purchase all, or in the case of Dermavant, 75%, of RSL’s ownership interests in six other subsidiaries (Dermavant, Genevant Sciences Ltd. (“Genevant”), Lysovant Sciences Ltd., Metavant Sciences Ltd., Roivant Asia Cell Therapy Holdings Ltd., and Sinovant Sciences HK Limited (collectively, the “Option Vants”)), (ii) (a) transferred the proprietary technology platform DrugOme to Sumitomo (for which RSL retains a perpetual royalty free license for internal use) and (b) licensed the Digital Innovation technology platform to Sumitomo (for which both parties retain ongoing access) and (iii) transferred 26,952,143 common shares of RSL to Sumitomo. On the Sumitomo Closing Date, the Company received approximately $2.9 billion</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72" w:right="1440" w:bottom="1440" w:gutter="0" w:footer="0" w:header="0"/>
        </w:sectPr>
      </w:pPr>
    </w:p>
    <w:bookmarkStart w:id="384" w:name="page385"/>
    <w:bookmarkEnd w:id="3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259" w:lineRule="auto"/>
        <w:rPr>
          <w:sz w:val="20"/>
          <w:szCs w:val="20"/>
          <w:color w:val="auto"/>
        </w:rPr>
      </w:pPr>
      <w:r>
        <w:rPr>
          <w:rFonts w:ascii="Arial" w:cs="Arial" w:eastAsia="Arial" w:hAnsi="Arial"/>
          <w:sz w:val="12"/>
          <w:szCs w:val="12"/>
          <w:color w:val="auto"/>
        </w:rPr>
        <w:t>in cash. Additionally, $75.0 million was deposited into a segregated escrow account for the purpose of fulfilling indemnification obligations of RSL that may become due to Sumitomo. The full escrow amount of $75.0 million was disbursed to the Company in June 2021. In connection with the Sumitomo Transaction, RSL’s board of directors approved an exchange and offer to repurchase RSL equity securities for up to $1.0 billion of the proceeds received from Sumitomo.</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Concurrently with the Sumitomo Transaction Agreement, (i) RSL, Sumitomo and Sumitovant entered into a transition services agreement,</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whereby each of the parties thereto agreed to provide certain services to one another at cost for a period of time following the Sumitomo Closing Date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(ii) RSL and Sumitomo entered into a strategic cooperation agreement relating to certain ongoing technology-related collaborations between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parties. Pursuant to the terms of the transition services agreement and strategic cooperation agreement, RSL billed Sumitovant $0.3 million and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$0.4 million, net of amounts billed by Sumitovant to RSL, during the three months ended June 30, 2021 and 2020, respectively, for costs incurred 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behalf of Sumitovant, which were recorded as offsets to the general and administrative expenses initially charged. The period for certain services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provided under the Transition Services Agreement expired in December 2020.</w:t>
      </w:r>
    </w:p>
    <w:p>
      <w:pPr>
        <w:spacing w:after="0" w:line="141"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In conjunction with the Sumitomo Transaction, certain employees of the Company became employees of Sumitovant or its subsidiaries. The Company issued certain instruments to these employees that vest based on the achievement of time-based, performance or liquidity event requirements. As of June 30, 2021 and 2020, there were 1,863,451 and 1,873,480 outstanding instruments, respectively, held by Sumitovant employees for which aggregate fair value was recorded against the gain on sale of business.</w:t>
      </w:r>
    </w:p>
    <w:p>
      <w:pPr>
        <w:spacing w:after="0" w:line="111" w:lineRule="exact"/>
        <w:rPr>
          <w:sz w:val="20"/>
          <w:szCs w:val="20"/>
          <w:color w:val="auto"/>
        </w:rPr>
      </w:pPr>
    </w:p>
    <w:p>
      <w:pPr>
        <w:ind w:left="1980" w:right="879" w:firstLine="294"/>
        <w:spacing w:after="0" w:line="305" w:lineRule="auto"/>
        <w:rPr>
          <w:sz w:val="20"/>
          <w:szCs w:val="20"/>
          <w:color w:val="auto"/>
        </w:rPr>
      </w:pPr>
      <w:r>
        <w:rPr>
          <w:rFonts w:ascii="Arial" w:cs="Arial" w:eastAsia="Arial" w:hAnsi="Arial"/>
          <w:sz w:val="10"/>
          <w:szCs w:val="10"/>
          <w:color w:val="auto"/>
        </w:rPr>
        <w:t>In May 2021, the Company entered into an Asset Purchase Agreement with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the Company’s equity interests in the Option Vants (the “Sumitomo Options”); (ii) the Company transferred and assigned to SPC all of its intellectual property, development and commercialization rights for</w:t>
      </w:r>
    </w:p>
    <w:p>
      <w:pPr>
        <w:ind w:left="1980" w:right="899" w:hanging="8"/>
        <w:spacing w:after="0" w:line="279" w:lineRule="auto"/>
        <w:tabs>
          <w:tab w:leader="none" w:pos="2143" w:val="left"/>
        </w:tabs>
        <w:numPr>
          <w:ilvl w:val="0"/>
          <w:numId w:val="194"/>
        </w:numPr>
        <w:rPr>
          <w:rFonts w:ascii="Arial" w:cs="Arial" w:eastAsia="Arial" w:hAnsi="Arial"/>
          <w:sz w:val="11"/>
          <w:szCs w:val="11"/>
          <w:color w:val="auto"/>
        </w:rPr>
      </w:pPr>
      <w:r>
        <w:rPr>
          <w:rFonts w:ascii="Arial" w:cs="Arial" w:eastAsia="Arial" w:hAnsi="Arial"/>
          <w:sz w:val="11"/>
          <w:szCs w:val="11"/>
          <w:color w:val="auto"/>
        </w:rPr>
        <w:t>lefamulin in Mainland China, Taiwan, Hong Kong, and Macau (collectively “Greater China”), (b) vibegron in Mainland China, (c) rodatristat ethyl in Greater China and South Korea and (d) RVT-802 in Greater China and South Korea; (iii) Sumitomo agreed to pay the Company $5.0 million in cash; and (iv) Sumitomo entered into an agreement with the Company to pursue future collaborations with Genevant. The Company received the cash payment, net of certain withholding taxes, in August 2021. The Company recorded a gain on the termination of the Sumitomo Options of $66.5 million, consisting of the fair value of the Sumitomo Options on the date of termination and the expected cash payment, in the accompanying condensed consolidated statements of operations for the three months ended June 30, 2021.</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5—Balance Sheet Components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Other Current Assets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Other current assets at June 30, 2021 and March 31, 2021 consisted of the following (in thousands):</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2"/>
              </w:rPr>
              <w:t>June 30, 2021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7"/>
              </w:rPr>
              <w:t>March 31, 2021</w:t>
            </w:r>
          </w:p>
        </w:tc>
        <w:tc>
          <w:tcPr>
            <w:tcW w:w="40" w:type="dxa"/>
            <w:vAlign w:val="bottom"/>
          </w:tcPr>
          <w:p>
            <w:pPr>
              <w:spacing w:after="0"/>
              <w:rPr>
                <w:sz w:val="10"/>
                <w:szCs w:val="10"/>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Prepaid expenses</w:t>
            </w:r>
          </w:p>
        </w:tc>
        <w:tc>
          <w:tcPr>
            <w:tcW w:w="1960" w:type="dxa"/>
            <w:vAlign w:val="bottom"/>
            <w:gridSpan w:val="2"/>
            <w:shd w:val="clear" w:color="auto" w:fill="CCEEFF"/>
          </w:tcPr>
          <w:p>
            <w:pPr>
              <w:ind w:left="1820"/>
              <w:spacing w:after="0" w:line="133"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44,941</w:t>
            </w:r>
          </w:p>
        </w:tc>
        <w:tc>
          <w:tcPr>
            <w:tcW w:w="6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39,544</w:t>
            </w:r>
          </w:p>
        </w:tc>
      </w:tr>
      <w:tr>
        <w:trPr>
          <w:trHeight w:val="144"/>
        </w:trPr>
        <w:tc>
          <w:tcPr>
            <w:tcW w:w="2040" w:type="dxa"/>
            <w:vAlign w:val="bottom"/>
          </w:tcPr>
          <w:p>
            <w:pPr>
              <w:spacing w:after="0"/>
              <w:rPr>
                <w:sz w:val="20"/>
                <w:szCs w:val="20"/>
                <w:color w:val="auto"/>
              </w:rPr>
            </w:pPr>
            <w:r>
              <w:rPr>
                <w:rFonts w:ascii="Arial" w:cs="Arial" w:eastAsia="Arial" w:hAnsi="Arial"/>
                <w:sz w:val="12"/>
                <w:szCs w:val="12"/>
                <w:color w:val="auto"/>
              </w:rPr>
              <w:t>Trade receivables, net</w:t>
            </w: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3,416</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11,222</w:t>
            </w:r>
          </w:p>
        </w:tc>
      </w:tr>
      <w:tr>
        <w:trPr>
          <w:trHeight w:val="144"/>
        </w:trPr>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Income tax receivable</w:t>
            </w: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1,993</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1,803</w:t>
            </w:r>
          </w:p>
        </w:tc>
      </w:tr>
      <w:tr>
        <w:trPr>
          <w:trHeight w:val="144"/>
        </w:trPr>
        <w:tc>
          <w:tcPr>
            <w:tcW w:w="2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7,815</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w:t>
            </w:r>
          </w:p>
        </w:tc>
        <w:tc>
          <w:tcPr>
            <w:tcW w:w="40" w:type="dxa"/>
            <w:vAlign w:val="bottom"/>
            <w:tcBorders>
              <w:bottom w:val="single" w:sz="8" w:color="CCEEFF"/>
            </w:tcBorders>
          </w:tcPr>
          <w:p>
            <w:pPr>
              <w:spacing w:after="0"/>
              <w:rPr>
                <w:sz w:val="12"/>
                <w:szCs w:val="12"/>
                <w:color w:val="auto"/>
              </w:rPr>
            </w:pPr>
          </w:p>
        </w:tc>
      </w:tr>
      <w:tr>
        <w:trPr>
          <w:trHeight w:val="149"/>
        </w:trPr>
        <w:tc>
          <w:tcPr>
            <w:tcW w:w="2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current assets</w:t>
            </w:r>
          </w:p>
        </w:tc>
        <w:tc>
          <w:tcPr>
            <w:tcW w:w="1960" w:type="dxa"/>
            <w:vAlign w:val="bottom"/>
            <w:gridSpan w:val="2"/>
            <w:shd w:val="clear" w:color="auto" w:fill="CCEEFF"/>
          </w:tcPr>
          <w:p>
            <w:pPr>
              <w:ind w:left="18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58,165</w:t>
            </w: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54,250</w:t>
            </w:r>
          </w:p>
        </w:tc>
        <w:tc>
          <w:tcPr>
            <w:tcW w:w="40" w:type="dxa"/>
            <w:vAlign w:val="bottom"/>
            <w:shd w:val="clear" w:color="auto" w:fill="CCEEFF"/>
          </w:tcPr>
          <w:p>
            <w:pPr>
              <w:spacing w:after="0"/>
              <w:rPr>
                <w:sz w:val="12"/>
                <w:szCs w:val="12"/>
                <w:color w:val="auto"/>
              </w:rPr>
            </w:pPr>
          </w:p>
        </w:tc>
      </w:tr>
      <w:tr>
        <w:trPr>
          <w:trHeight w:val="252"/>
        </w:trPr>
        <w:tc>
          <w:tcPr>
            <w:tcW w:w="2040" w:type="dxa"/>
            <w:vAlign w:val="bottom"/>
          </w:tcPr>
          <w:p>
            <w:pPr>
              <w:spacing w:after="0"/>
              <w:rPr>
                <w:sz w:val="21"/>
                <w:szCs w:val="21"/>
                <w:color w:val="auto"/>
              </w:rPr>
            </w:pPr>
          </w:p>
        </w:tc>
        <w:tc>
          <w:tcPr>
            <w:tcW w:w="1820" w:type="dxa"/>
            <w:vAlign w:val="bottom"/>
          </w:tcPr>
          <w:p>
            <w:pPr>
              <w:ind w:left="640"/>
              <w:spacing w:after="0"/>
              <w:rPr>
                <w:sz w:val="20"/>
                <w:szCs w:val="20"/>
                <w:color w:val="auto"/>
              </w:rPr>
            </w:pPr>
            <w:r>
              <w:rPr>
                <w:rFonts w:ascii="Arial" w:cs="Arial" w:eastAsia="Arial" w:hAnsi="Arial"/>
                <w:sz w:val="12"/>
                <w:szCs w:val="12"/>
                <w:color w:val="auto"/>
              </w:rPr>
              <w:t>F-55</w:t>
            </w: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72" w:right="1440" w:bottom="1440" w:gutter="0" w:footer="0" w:header="0"/>
        </w:sectPr>
      </w:pPr>
    </w:p>
    <w:bookmarkStart w:id="385" w:name="page386"/>
    <w:bookmarkEnd w:id="3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Accrued Expenses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Accrued expenses at June 30, 2021 and March 31, 2021 consisted of the following (in thousands):</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0"/>
                <w:szCs w:val="10"/>
                <w:b w:val="1"/>
                <w:bCs w:val="1"/>
                <w:color w:val="auto"/>
                <w:w w:val="79"/>
              </w:rPr>
              <w:t>June 30, 2021</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w w:val="92"/>
              </w:rPr>
              <w:t>March 31, 2021</w:t>
            </w:r>
          </w:p>
        </w:tc>
      </w:tr>
      <w:tr>
        <w:trPr>
          <w:trHeight w:val="20"/>
        </w:trPr>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3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rPr>
              <w:t>28,347</w:t>
            </w: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20,755</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Compensation-related expenses</w:t>
            </w:r>
          </w:p>
        </w:tc>
        <w:tc>
          <w:tcPr>
            <w:tcW w:w="140" w:type="dxa"/>
            <w:vAlign w:val="bottom"/>
          </w:tcPr>
          <w:p>
            <w:pPr>
              <w:spacing w:after="0"/>
              <w:rPr>
                <w:sz w:val="12"/>
                <w:szCs w:val="12"/>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color w:val="auto"/>
              </w:rPr>
              <w:t>15,242</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38,552</w:t>
            </w:r>
          </w:p>
        </w:tc>
      </w:tr>
      <w:tr>
        <w:trPr>
          <w:trHeight w:val="144"/>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Professional services expenses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16,489</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10,267</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Other general and administrative expenses</w:t>
            </w:r>
          </w:p>
        </w:tc>
        <w:tc>
          <w:tcPr>
            <w:tcW w:w="140" w:type="dxa"/>
            <w:vAlign w:val="bottom"/>
          </w:tcPr>
          <w:p>
            <w:pPr>
              <w:spacing w:after="0"/>
              <w:rPr>
                <w:sz w:val="12"/>
                <w:szCs w:val="12"/>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color w:val="auto"/>
              </w:rPr>
              <w:t>13,710</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7,362</w:t>
            </w:r>
          </w:p>
        </w:tc>
      </w:tr>
      <w:tr>
        <w:trPr>
          <w:trHeight w:val="20"/>
        </w:trPr>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accrued expenses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73,788</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76,936</w:t>
            </w:r>
          </w:p>
        </w:tc>
      </w:tr>
      <w:tr>
        <w:trPr>
          <w:trHeight w:val="27"/>
        </w:trPr>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Other Current Liabilities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Other current liabilities at June 30, 2021 and March 31, 2021 consisted of the following (in thousands):</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82"/>
              </w:rPr>
              <w:t>June 30, 2021</w:t>
            </w:r>
          </w:p>
        </w:tc>
        <w:tc>
          <w:tcPr>
            <w:tcW w:w="620" w:type="dxa"/>
            <w:vAlign w:val="bottom"/>
            <w:gridSpan w:val="2"/>
          </w:tcPr>
          <w:p>
            <w:pPr>
              <w:spacing w:after="0"/>
              <w:rPr>
                <w:sz w:val="10"/>
                <w:szCs w:val="10"/>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89"/>
              </w:rPr>
              <w:t>March 31, 2021</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Deferred revenue</w:t>
            </w:r>
          </w:p>
        </w:tc>
        <w:tc>
          <w:tcPr>
            <w:tcW w:w="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4"/>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3,777</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5,918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Income tax payable</w:t>
            </w:r>
          </w:p>
        </w:tc>
        <w:tc>
          <w:tcPr>
            <w:tcW w:w="180" w:type="dxa"/>
            <w:vAlign w:val="bottom"/>
          </w:tcPr>
          <w:p>
            <w:pPr>
              <w:spacing w:after="0"/>
              <w:rPr>
                <w:sz w:val="12"/>
                <w:szCs w:val="12"/>
                <w:color w:val="auto"/>
              </w:rPr>
            </w:pPr>
          </w:p>
        </w:tc>
        <w:tc>
          <w:tcPr>
            <w:tcW w:w="720" w:type="dxa"/>
            <w:vAlign w:val="bottom"/>
            <w:gridSpan w:val="4"/>
          </w:tcPr>
          <w:p>
            <w:pPr>
              <w:jc w:val="right"/>
              <w:ind w:right="280"/>
              <w:spacing w:after="0"/>
              <w:rPr>
                <w:sz w:val="20"/>
                <w:szCs w:val="20"/>
                <w:color w:val="auto"/>
              </w:rPr>
            </w:pPr>
            <w:r>
              <w:rPr>
                <w:rFonts w:ascii="Arial" w:cs="Arial" w:eastAsia="Arial" w:hAnsi="Arial"/>
                <w:sz w:val="12"/>
                <w:szCs w:val="12"/>
                <w:color w:val="auto"/>
              </w:rPr>
              <w:t>199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4,325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3,037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tcPr>
          <w:p>
            <w:pPr>
              <w:ind w:left="240"/>
              <w:spacing w:after="0"/>
              <w:rPr>
                <w:sz w:val="20"/>
                <w:szCs w:val="20"/>
                <w:color w:val="auto"/>
              </w:rPr>
            </w:pPr>
            <w:r>
              <w:rPr>
                <w:rFonts w:ascii="Arial" w:cs="Arial" w:eastAsia="Arial" w:hAnsi="Arial"/>
                <w:sz w:val="12"/>
                <w:szCs w:val="12"/>
                <w:color w:val="auto"/>
              </w:rPr>
              <w:t>Total other current liabilities</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280"/>
              <w:spacing w:after="0"/>
              <w:rPr>
                <w:sz w:val="20"/>
                <w:szCs w:val="20"/>
                <w:color w:val="auto"/>
              </w:rPr>
            </w:pPr>
            <w:r>
              <w:rPr>
                <w:rFonts w:ascii="Arial" w:cs="Arial" w:eastAsia="Arial" w:hAnsi="Arial"/>
                <w:sz w:val="12"/>
                <w:szCs w:val="12"/>
                <w:color w:val="auto"/>
              </w:rPr>
              <w:t>8,301</w:t>
            </w:r>
          </w:p>
        </w:tc>
        <w:tc>
          <w:tcPr>
            <w:tcW w:w="28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9,162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4600" w:type="dxa"/>
            <w:vAlign w:val="bottom"/>
            <w:gridSpan w:val="3"/>
          </w:tcPr>
          <w:p>
            <w:pPr>
              <w:spacing w:after="0"/>
              <w:rPr>
                <w:sz w:val="20"/>
                <w:szCs w:val="20"/>
                <w:color w:val="auto"/>
              </w:rPr>
            </w:pPr>
            <w:r>
              <w:rPr>
                <w:rFonts w:ascii="Arial" w:cs="Arial" w:eastAsia="Arial" w:hAnsi="Arial"/>
                <w:sz w:val="12"/>
                <w:szCs w:val="12"/>
                <w:b w:val="1"/>
                <w:bCs w:val="1"/>
                <w:color w:val="auto"/>
              </w:rPr>
              <w:t>Note 6—Long-Term Debt and Loan Commitment</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2"/>
                <w:szCs w:val="12"/>
                <w:b w:val="1"/>
                <w:bCs w:val="1"/>
                <w:color w:val="auto"/>
              </w:rPr>
              <w:t>(A) Long-Term Debt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ind w:left="280"/>
              <w:spacing w:after="0"/>
              <w:rPr>
                <w:sz w:val="20"/>
                <w:szCs w:val="20"/>
                <w:color w:val="auto"/>
              </w:rPr>
            </w:pPr>
            <w:r>
              <w:rPr>
                <w:rFonts w:ascii="Arial" w:cs="Arial" w:eastAsia="Arial" w:hAnsi="Arial"/>
                <w:sz w:val="12"/>
                <w:szCs w:val="12"/>
                <w:color w:val="auto"/>
              </w:rPr>
              <w:t>Long-term debt, net consists of the following (in thousands):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4"/>
          </w:tcPr>
          <w:p>
            <w:pPr>
              <w:spacing w:after="0"/>
              <w:rPr>
                <w:sz w:val="20"/>
                <w:szCs w:val="20"/>
                <w:color w:val="auto"/>
              </w:rPr>
            </w:pPr>
            <w:r>
              <w:rPr>
                <w:rFonts w:ascii="Arial" w:cs="Arial" w:eastAsia="Arial" w:hAnsi="Arial"/>
                <w:sz w:val="10"/>
                <w:szCs w:val="10"/>
                <w:b w:val="1"/>
                <w:bCs w:val="1"/>
                <w:color w:val="auto"/>
              </w:rPr>
              <w:t>June 30, 2021</w:t>
            </w:r>
          </w:p>
        </w:tc>
        <w:tc>
          <w:tcPr>
            <w:tcW w:w="980" w:type="dxa"/>
            <w:vAlign w:val="bottom"/>
            <w:gridSpan w:val="5"/>
          </w:tcPr>
          <w:p>
            <w:pPr>
              <w:ind w:left="260"/>
              <w:spacing w:after="0"/>
              <w:rPr>
                <w:sz w:val="20"/>
                <w:szCs w:val="20"/>
                <w:color w:val="auto"/>
              </w:rPr>
            </w:pPr>
            <w:r>
              <w:rPr>
                <w:rFonts w:ascii="Arial" w:cs="Arial" w:eastAsia="Arial" w:hAnsi="Arial"/>
                <w:sz w:val="10"/>
                <w:szCs w:val="10"/>
                <w:b w:val="1"/>
                <w:bCs w:val="1"/>
                <w:color w:val="auto"/>
                <w:w w:val="98"/>
              </w:rPr>
              <w:t>March 31, 2021</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Principal amount</w:t>
            </w:r>
          </w:p>
        </w:tc>
        <w:tc>
          <w:tcPr>
            <w:tcW w:w="1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60"/>
              <w:spacing w:after="0" w:line="133"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195,200</w:t>
            </w:r>
          </w:p>
        </w:tc>
        <w:tc>
          <w:tcPr>
            <w:tcW w:w="2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60"/>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170,100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020" w:type="dxa"/>
            <w:vAlign w:val="bottom"/>
            <w:gridSpan w:val="2"/>
          </w:tcPr>
          <w:p>
            <w:pPr>
              <w:spacing w:after="0"/>
              <w:rPr>
                <w:sz w:val="20"/>
                <w:szCs w:val="20"/>
                <w:color w:val="auto"/>
              </w:rPr>
            </w:pPr>
            <w:r>
              <w:rPr>
                <w:rFonts w:ascii="Arial" w:cs="Arial" w:eastAsia="Arial" w:hAnsi="Arial"/>
                <w:sz w:val="12"/>
                <w:szCs w:val="12"/>
                <w:color w:val="auto"/>
              </w:rPr>
              <w:t>Exit fee / end of term charge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5,000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1,390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unamortized debt discount and issuance costs</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(13,850)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(1,210)</w:t>
            </w:r>
          </w:p>
        </w:tc>
        <w:tc>
          <w:tcPr>
            <w:tcW w:w="0" w:type="dxa"/>
            <w:vAlign w:val="bottom"/>
          </w:tcPr>
          <w:p>
            <w:pPr>
              <w:spacing w:after="0"/>
              <w:rPr>
                <w:sz w:val="1"/>
                <w:szCs w:val="1"/>
                <w:color w:val="auto"/>
              </w:rPr>
            </w:pPr>
          </w:p>
        </w:tc>
      </w:tr>
      <w:tr>
        <w:trPr>
          <w:trHeight w:val="142"/>
        </w:trPr>
        <w:tc>
          <w:tcPr>
            <w:tcW w:w="4600" w:type="dxa"/>
            <w:vAlign w:val="bottom"/>
            <w:gridSpan w:val="3"/>
          </w:tcPr>
          <w:p>
            <w:pPr>
              <w:ind w:left="580"/>
              <w:spacing w:after="0"/>
              <w:rPr>
                <w:sz w:val="20"/>
                <w:szCs w:val="20"/>
                <w:color w:val="auto"/>
              </w:rPr>
            </w:pPr>
            <w:r>
              <w:rPr>
                <w:rFonts w:ascii="Arial" w:cs="Arial" w:eastAsia="Arial" w:hAnsi="Arial"/>
                <w:sz w:val="12"/>
                <w:szCs w:val="12"/>
                <w:color w:val="auto"/>
              </w:rPr>
              <w:t>Total debt, net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96"/>
              </w:rPr>
              <w:t>186,350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170,280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3"/>
          </w:tcPr>
          <w:p>
            <w:pPr>
              <w:ind w:left="580"/>
              <w:spacing w:after="0"/>
              <w:rPr>
                <w:sz w:val="20"/>
                <w:szCs w:val="20"/>
                <w:color w:val="auto"/>
              </w:rPr>
            </w:pPr>
            <w:r>
              <w:rPr>
                <w:rFonts w:ascii="Arial" w:cs="Arial" w:eastAsia="Arial" w:hAnsi="Arial"/>
                <w:sz w:val="12"/>
                <w:szCs w:val="12"/>
                <w:color w:val="auto"/>
              </w:rPr>
              <w:t>Total long-term debt, net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w w:val="96"/>
              </w:rPr>
              <w:t>186,350</w:t>
            </w:r>
          </w:p>
        </w:tc>
        <w:tc>
          <w:tcPr>
            <w:tcW w:w="280" w:type="dxa"/>
            <w:vAlign w:val="bottom"/>
          </w:tcPr>
          <w:p>
            <w:pPr>
              <w:spacing w:after="0"/>
              <w:rPr>
                <w:sz w:val="12"/>
                <w:szCs w:val="12"/>
                <w:color w:val="auto"/>
              </w:rPr>
            </w:pPr>
          </w:p>
        </w:tc>
        <w:tc>
          <w:tcPr>
            <w:tcW w:w="340" w:type="dxa"/>
            <w:vAlign w:val="bottom"/>
            <w:gridSpan w:val="2"/>
          </w:tcPr>
          <w:p>
            <w:pPr>
              <w:ind w:left="260"/>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170,280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Dermavant</w:t>
      </w:r>
    </w:p>
    <w:p>
      <w:pPr>
        <w:spacing w:after="0" w:line="78"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In May 2019, Dermavant entered into a loan and security agreement (the “Hercules Loan Agreement”) with Hercules Capital, Inc. (“Hercules”), pursuant to which Dermavant borrowed an aggregate of $20.0 million, which bore interest at a variable per annum rate at the greater of (i) 9.95% or</w:t>
      </w:r>
    </w:p>
    <w:p>
      <w:pPr>
        <w:spacing w:after="0" w:line="1" w:lineRule="exact"/>
        <w:rPr>
          <w:sz w:val="20"/>
          <w:szCs w:val="20"/>
          <w:color w:val="auto"/>
        </w:rPr>
      </w:pPr>
    </w:p>
    <w:p>
      <w:pPr>
        <w:ind w:left="1980" w:right="859" w:hanging="8"/>
        <w:spacing w:after="0" w:line="273" w:lineRule="auto"/>
        <w:tabs>
          <w:tab w:leader="none" w:pos="2157" w:val="left"/>
        </w:tabs>
        <w:numPr>
          <w:ilvl w:val="0"/>
          <w:numId w:val="195"/>
        </w:numPr>
        <w:rPr>
          <w:rFonts w:ascii="Arial" w:cs="Arial" w:eastAsia="Arial" w:hAnsi="Arial"/>
          <w:sz w:val="11"/>
          <w:szCs w:val="11"/>
          <w:color w:val="auto"/>
        </w:rPr>
      </w:pPr>
      <w:r>
        <w:rPr>
          <w:rFonts w:ascii="Arial" w:cs="Arial" w:eastAsia="Arial" w:hAnsi="Arial"/>
          <w:sz w:val="11"/>
          <w:szCs w:val="11"/>
          <w:color w:val="auto"/>
        </w:rPr>
        <w:t>the prime rate plus 4.45%. Dermavant was also obligated to pay an end of term charge of $1.4 million. Following the achievement of certain milestones, the term loan maturity was extended to June 1, 2023 with interest-only monthly payments through December 2021. All amounts outstanding under the Hercules Loan Agreement were repaid in May 2021 using the proceeds from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w:t>
      </w:r>
    </w:p>
    <w:p>
      <w:pPr>
        <w:ind w:left="1980" w:right="1139"/>
        <w:spacing w:after="0" w:line="260" w:lineRule="auto"/>
        <w:rPr>
          <w:rFonts w:ascii="Arial" w:cs="Arial" w:eastAsia="Arial" w:hAnsi="Arial"/>
          <w:sz w:val="11"/>
          <w:szCs w:val="11"/>
          <w:color w:val="auto"/>
        </w:rPr>
      </w:pPr>
      <w:r>
        <w:rPr>
          <w:rFonts w:ascii="Arial" w:cs="Arial" w:eastAsia="Arial" w:hAnsi="Arial"/>
          <w:sz w:val="12"/>
          <w:szCs w:val="12"/>
          <w:color w:val="auto"/>
        </w:rPr>
        <w:t>date. Dermavant is also obligated to pay an exit fee of $5.0 million. The exit fee can be reduced to $4.0 million upon achievement of certain equity milestones defined in the agreement, which are not deemed likely as of June 30, 2021. In connection with the</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72" w:right="1440" w:bottom="1440" w:gutter="0" w:footer="0" w:header="0"/>
        </w:sectPr>
      </w:pPr>
    </w:p>
    <w:bookmarkStart w:id="386" w:name="page387"/>
    <w:bookmarkEnd w:id="3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funding of the Credit Facility, Dermavant issued a warrant to XYQ Luxco to purchase 1,199,072 common shares of Dermavant at an exercise price of $0.01 per common share.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Dermavant’s acquisition of tapinarof from GlaxoSmithKline Intellectual Property Development Ltd. and Glaxo Group Limited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(collectively “GSK”) pursuant to an asset purchase agreement (the “GSK Agreement”), Dermavant and NovaQuest Co-Investment Fund VIII, L.P.</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(“NovaQuest”) entered into a funding agreement (the “NovaQuest Agreement”). Pursuant to the NovaQuest Agreement, Dermavant borrowed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$100.0 million in August 2018 and $17.5 million in October 2018 in exchange for an obligation to make certain variable future payments calculated as a</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function of the achievement of regulatory and commercial milestones or events of termination. The aggregate maximum amount of regulatory milestone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payments that Dermavant could be required to make under the NovaQuest Agreement is $440.6 million, and the maximum aggregate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commercial milestone payments is $141.0 million. In some circumstances, Dermavant may be able to offset certain of the regulatory milestone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payments with up to $88.1 million of the commercial milestone payments. At issuance, the Company concluded that certain features of the long-term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debt would be considered derivatives that would require bifurcation. In lieu of bifurcating various features in the agreement, the Company has elected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fair value option for this financial instrument and will record the changes in the fair value within the statements of operations at the end of each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reporting period. Direct costs and fees related to the debt issued under the NovaQuest Agreement were recognized in earnings. As of June 30, 2021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March 31, 2021, the fair value of the debt was $155.2 million and $150.1 million, respectively. Refer to Note 11, “Fair Value Measurements” for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additional details regarding the fair value measurement.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Loan Commitment</w:t>
      </w:r>
    </w:p>
    <w:p>
      <w:pPr>
        <w:spacing w:after="0" w:line="82" w:lineRule="exact"/>
        <w:rPr>
          <w:sz w:val="20"/>
          <w:szCs w:val="20"/>
          <w:color w:val="auto"/>
        </w:rPr>
      </w:pPr>
    </w:p>
    <w:p>
      <w:pPr>
        <w:ind w:left="1980" w:right="939" w:firstLine="294"/>
        <w:spacing w:after="0" w:line="279" w:lineRule="auto"/>
        <w:rPr>
          <w:sz w:val="20"/>
          <w:szCs w:val="20"/>
          <w:color w:val="auto"/>
        </w:rPr>
      </w:pPr>
      <w:r>
        <w:rPr>
          <w:rFonts w:ascii="Arial" w:cs="Arial" w:eastAsia="Arial" w:hAnsi="Arial"/>
          <w:sz w:val="11"/>
          <w:szCs w:val="11"/>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(collectively, the “Purchasers”), together with U.S. Bank National Association, as collateral agent. Under the terms of the RIPSA, the Purchasers procured a capped single-digit revenue interest in net sales of tapinarof for all dermatological indications in the United States in exchange for $160.0 million in committed funding to be paid to Dermavant, conditional based on the approval of tapinarof by the FDA. The agreement will be canceled if funding has not occurred by July 2023. Dermavant acquired the worldwide rights to tapinarof (other than with respect to certain rights in China) in August 2018 pursuant to the GSK Agreement. Dermavant intends to use the RIPSA proceeds for the payment of certain one-time milestone obligations that become payable upon the approval and commercialization of tapinarof for the treatment of psoriasis in the United States as well as for other general corporate purposes.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7—Shareholders’ Equity and Redeemable Noncontrolling Interest</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Business Combination Agreement</w:t>
      </w:r>
    </w:p>
    <w:p>
      <w:pPr>
        <w:spacing w:after="0" w:line="78"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On May 1, 2021, the Company entered into a Business Combination Agreement (the “Business Combination Agreement”) with Montes Archimedes Acquisition Corporation (“MAAC”) and Rhine Merger Sub, Inc. (“Merger Sub”). MAAC was incorporated in Delaware on July 6, 2020 and was formed as a blank check company for the purpose of effecting a merger, share exchange, asset acquisition, stock purchase, recapitalization, reorganization or similar business combination with one or more businesses. Pursuant to the Business Combination Agreement, and assuming a favorable vote by MAAC’s stockholders at a special meeting of MAAC’s stockholders convened for purposes of approving the transactions contemplated by the Business Combination Agreement (the “Business Combination”), and the satisfaction or waiver of all other closing conditions pursuant to the Business Combination Agreement, Merger Sub will merge with and into MAAC, with MAAC surviving the merger as the Company’s wholly owned subsidiary.</w:t>
      </w:r>
    </w:p>
    <w:p>
      <w:pPr>
        <w:spacing w:after="0" w:line="12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For financial accounting and reporting purposes, MAAC will be treated as the acquired company. Accordingly, because MAAC does not represent a business for accounting purposes and its primary asset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F-57</w:t>
      </w:r>
    </w:p>
    <w:p>
      <w:pPr>
        <w:sectPr>
          <w:pgSz w:w="11900" w:h="16838" w:orient="portrait"/>
          <w:cols w:equalWidth="0" w:num="1">
            <w:col w:w="10159"/>
          </w:cols>
          <w:pgMar w:left="300" w:top="372" w:right="1440" w:bottom="1440" w:gutter="0" w:footer="0" w:header="0"/>
        </w:sectPr>
      </w:pPr>
    </w:p>
    <w:bookmarkStart w:id="387" w:name="page388"/>
    <w:bookmarkEnd w:id="3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represents cash and cash equivalents, the Business Combination will be treated as an equity contribution in exchange for the issuance of RSL shares. The net assets of MAAC will be stated at historical cost, with no goodwill or other intangible assets recorded. RSL will be deemed both the accounting predecessor and the successor SEC registrant, which means that the Company’s financial statements for previous periods will be disclosed in the Company’s future periodic reports filed with the SEC.</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8—Share-Based Compensation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RSL 2015 Equity Incentive Plan</w:t>
      </w:r>
    </w:p>
    <w:p>
      <w:pPr>
        <w:spacing w:after="0" w:line="82"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As of June 30, 2021, 22,800,000 of the Company’s common shares (the “Share Reserve”) are reserved for issuance under the RSL Amended and Restated 2015 Equity Incentive Plan (the “RSL 2015 EIP”). At June 30, 2021, a total of 786,125 common shares are available for future grants under the RSL 2015 EIP. The Company’s employees, directors, and consultants are eligible to receive nonstatutory and incentive stock options, stock appreciation rights, restricted stock awards, restricted stock unit awards, and other stock awards under the RSL 2015 EIP.</w:t>
      </w:r>
    </w:p>
    <w:p>
      <w:pPr>
        <w:spacing w:after="0" w:line="111" w:lineRule="exact"/>
        <w:rPr>
          <w:sz w:val="20"/>
          <w:szCs w:val="20"/>
          <w:color w:val="auto"/>
        </w:rPr>
      </w:pPr>
    </w:p>
    <w:p>
      <w:pPr>
        <w:jc w:val="both"/>
        <w:ind w:left="1980" w:right="999" w:firstLine="294"/>
        <w:spacing w:after="0" w:line="298" w:lineRule="auto"/>
        <w:rPr>
          <w:sz w:val="20"/>
          <w:szCs w:val="20"/>
          <w:color w:val="auto"/>
        </w:rPr>
      </w:pPr>
      <w:r>
        <w:rPr>
          <w:rFonts w:ascii="Arial" w:cs="Arial" w:eastAsia="Arial" w:hAnsi="Arial"/>
          <w:sz w:val="11"/>
          <w:szCs w:val="11"/>
          <w:color w:val="auto"/>
        </w:rPr>
        <w:t>As of June 30, 2021, an aggregate of 26,558,238 of the Company’s common shares (the “Special Reserve”) are reserved for the granting under RSL 2015 EIP of performance stock options (“Performance Options”) and capped value appreciation rights (“CVARs”) to the Company’s employees, directors and consultants. At June 30, 2021, there are no common shares available for future grant under the Special Reserve.</w:t>
      </w:r>
    </w:p>
    <w:p>
      <w:pPr>
        <w:spacing w:after="0" w:line="177"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Stock Options</w:t>
      </w:r>
    </w:p>
    <w:p>
      <w:pPr>
        <w:spacing w:after="0" w:line="78"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During the three months ended June 30, 2021 and 2020, the Company recorded share-based compensation expense related to stock options issued under the RSL 2015 EIP to employees and directors of approximately $10.3 million and $7.8 million, respectively, and was included in research and development and general and administrative expenses in the accompanying condensed consolidated statements of operations.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summary of stock option activity and data under the RSL 2015 EIP for the three months ended June 30, 2021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1"/>
              </w:rPr>
              <w:t>Number of</w:t>
            </w:r>
          </w:p>
        </w:tc>
        <w:tc>
          <w:tcPr>
            <w:tcW w:w="60" w:type="dxa"/>
            <w:vAlign w:val="bottom"/>
          </w:tcPr>
          <w:p>
            <w:pPr>
              <w:spacing w:after="0"/>
              <w:rPr>
                <w:sz w:val="10"/>
                <w:szCs w:val="10"/>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Weighted</w:t>
            </w:r>
          </w:p>
        </w:tc>
      </w:tr>
      <w:tr>
        <w:trPr>
          <w:trHeight w:val="99"/>
        </w:trPr>
        <w:tc>
          <w:tcPr>
            <w:tcW w:w="3880" w:type="dxa"/>
            <w:vAlign w:val="bottom"/>
          </w:tcPr>
          <w:p>
            <w:pPr>
              <w:spacing w:after="0"/>
              <w:rPr>
                <w:sz w:val="8"/>
                <w:szCs w:val="8"/>
                <w:color w:val="auto"/>
              </w:rPr>
            </w:pPr>
          </w:p>
        </w:tc>
        <w:tc>
          <w:tcPr>
            <w:tcW w:w="1080" w:type="dxa"/>
            <w:vAlign w:val="bottom"/>
            <w:gridSpan w:val="3"/>
          </w:tcPr>
          <w:p>
            <w:pPr>
              <w:jc w:val="center"/>
              <w:ind w:right="500"/>
              <w:spacing w:after="0" w:line="99" w:lineRule="exact"/>
              <w:rPr>
                <w:sz w:val="20"/>
                <w:szCs w:val="20"/>
                <w:color w:val="auto"/>
              </w:rPr>
            </w:pPr>
            <w:r>
              <w:rPr>
                <w:rFonts w:ascii="Arial" w:cs="Arial" w:eastAsia="Arial" w:hAnsi="Arial"/>
                <w:sz w:val="10"/>
                <w:szCs w:val="10"/>
                <w:b w:val="1"/>
                <w:bCs w:val="1"/>
                <w:color w:val="auto"/>
                <w:w w:val="80"/>
              </w:rPr>
              <w:t>Stock</w:t>
            </w:r>
          </w:p>
        </w:tc>
        <w:tc>
          <w:tcPr>
            <w:tcW w:w="60" w:type="dxa"/>
            <w:vAlign w:val="bottom"/>
          </w:tcPr>
          <w:p>
            <w:pPr>
              <w:spacing w:after="0"/>
              <w:rPr>
                <w:sz w:val="8"/>
                <w:szCs w:val="8"/>
                <w:color w:val="auto"/>
              </w:rPr>
            </w:pPr>
          </w:p>
        </w:tc>
        <w:tc>
          <w:tcPr>
            <w:tcW w:w="5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113"/>
        </w:trPr>
        <w:tc>
          <w:tcPr>
            <w:tcW w:w="3880" w:type="dxa"/>
            <w:vAlign w:val="bottom"/>
          </w:tcPr>
          <w:p>
            <w:pPr>
              <w:spacing w:after="0"/>
              <w:rPr>
                <w:sz w:val="9"/>
                <w:szCs w:val="9"/>
                <w:color w:val="auto"/>
              </w:rPr>
            </w:pPr>
          </w:p>
        </w:tc>
        <w:tc>
          <w:tcPr>
            <w:tcW w:w="1080" w:type="dxa"/>
            <w:vAlign w:val="bottom"/>
            <w:gridSpan w:val="3"/>
          </w:tcPr>
          <w:p>
            <w:pPr>
              <w:jc w:val="center"/>
              <w:ind w:right="500"/>
              <w:spacing w:after="0" w:line="114" w:lineRule="exact"/>
              <w:rPr>
                <w:sz w:val="20"/>
                <w:szCs w:val="20"/>
                <w:color w:val="auto"/>
              </w:rPr>
            </w:pPr>
            <w:r>
              <w:rPr>
                <w:rFonts w:ascii="Arial" w:cs="Arial" w:eastAsia="Arial" w:hAnsi="Arial"/>
                <w:sz w:val="10"/>
                <w:szCs w:val="10"/>
                <w:b w:val="1"/>
                <w:bCs w:val="1"/>
                <w:color w:val="auto"/>
                <w:w w:val="89"/>
              </w:rPr>
              <w:t>Options</w:t>
            </w:r>
          </w:p>
        </w:tc>
        <w:tc>
          <w:tcPr>
            <w:tcW w:w="6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w w:val="87"/>
              </w:rPr>
              <w:t>Exercise Price</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Stock options outstanding at March 31, 2021</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9,389,371</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26.61</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Granted</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3,798,605</w:t>
            </w:r>
          </w:p>
        </w:tc>
        <w:tc>
          <w:tcPr>
            <w:tcW w:w="4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29.26</w:t>
            </w:r>
          </w:p>
        </w:tc>
      </w:tr>
      <w:tr>
        <w:trPr>
          <w:trHeight w:val="14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(106,428)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30.27</w:t>
            </w:r>
          </w:p>
        </w:tc>
      </w:tr>
      <w:tr>
        <w:trPr>
          <w:trHeight w:val="149"/>
        </w:trPr>
        <w:tc>
          <w:tcPr>
            <w:tcW w:w="3880" w:type="dxa"/>
            <w:vAlign w:val="bottom"/>
          </w:tcPr>
          <w:p>
            <w:pPr>
              <w:spacing w:after="0"/>
              <w:rPr>
                <w:sz w:val="20"/>
                <w:szCs w:val="20"/>
                <w:color w:val="auto"/>
              </w:rPr>
            </w:pPr>
            <w:r>
              <w:rPr>
                <w:rFonts w:ascii="Arial" w:cs="Arial" w:eastAsia="Arial" w:hAnsi="Arial"/>
                <w:sz w:val="12"/>
                <w:szCs w:val="12"/>
                <w:color w:val="auto"/>
              </w:rPr>
              <w:t>Stock options outstanding at June 30,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13,081,548</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27.35</w:t>
            </w:r>
          </w:p>
        </w:tc>
      </w:tr>
    </w:tbl>
    <w:p>
      <w:pPr>
        <w:spacing w:after="0" w:line="21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78" w:lineRule="exact"/>
        <w:rPr>
          <w:sz w:val="20"/>
          <w:szCs w:val="20"/>
          <w:color w:val="auto"/>
        </w:rPr>
      </w:pPr>
    </w:p>
    <w:p>
      <w:pPr>
        <w:ind w:left="1980" w:right="999" w:firstLine="294"/>
        <w:spacing w:after="0" w:line="255" w:lineRule="auto"/>
        <w:rPr>
          <w:sz w:val="20"/>
          <w:szCs w:val="20"/>
          <w:color w:val="auto"/>
        </w:rPr>
      </w:pPr>
      <w:r>
        <w:rPr>
          <w:rFonts w:ascii="Arial" w:cs="Arial" w:eastAsia="Arial" w:hAnsi="Arial"/>
          <w:sz w:val="12"/>
          <w:szCs w:val="12"/>
          <w:color w:val="auto"/>
        </w:rPr>
        <w:t>Restricted stock units will generally vest upon the achievement of both time-based service requirements and liquidity requirements on or before the grant expiration date. Certain restricted stock units have also been granted that will vest upon the achievement of development milestones and liquidity requirements. As of June 30, 2021, the liquidity event requirement had not been met and was deemed not probable of being met. During the three months ended June 30, 2021 and 2020, the Company recorded no share-based compensation expense related to these restricted stock units. The Company will recognize the expense upon achievement of both the time-based service requirement and liquidity requirements through the requisite service period.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72" w:right="1440" w:bottom="1440" w:gutter="0" w:footer="0" w:header="0"/>
        </w:sectPr>
      </w:pPr>
    </w:p>
    <w:bookmarkStart w:id="388" w:name="page389"/>
    <w:bookmarkEnd w:id="3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summary of restricted stock units under the RSL 2015 EIP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Number of</w:t>
            </w:r>
          </w:p>
        </w:tc>
      </w:tr>
      <w:tr>
        <w:trPr>
          <w:trHeight w:val="99"/>
        </w:trPr>
        <w:tc>
          <w:tcPr>
            <w:tcW w:w="4220" w:type="dxa"/>
            <w:vAlign w:val="bottom"/>
          </w:tcPr>
          <w:p>
            <w:pPr>
              <w:spacing w:after="0"/>
              <w:rPr>
                <w:sz w:val="8"/>
                <w:szCs w:val="8"/>
                <w:color w:val="auto"/>
              </w:rPr>
            </w:pPr>
          </w:p>
        </w:tc>
        <w:tc>
          <w:tcPr>
            <w:tcW w:w="76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3"/>
              </w:rPr>
              <w:t>Restricted Stock</w:t>
            </w:r>
          </w:p>
        </w:tc>
      </w:tr>
      <w:tr>
        <w:trPr>
          <w:trHeight w:val="113"/>
        </w:trPr>
        <w:tc>
          <w:tcPr>
            <w:tcW w:w="4220" w:type="dxa"/>
            <w:vAlign w:val="bottom"/>
          </w:tcPr>
          <w:p>
            <w:pPr>
              <w:spacing w:after="0"/>
              <w:rPr>
                <w:sz w:val="9"/>
                <w:szCs w:val="9"/>
                <w:color w:val="auto"/>
              </w:rPr>
            </w:pPr>
          </w:p>
        </w:tc>
        <w:tc>
          <w:tcPr>
            <w:tcW w:w="76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7"/>
              </w:rPr>
              <w:t>Units</w:t>
            </w:r>
          </w:p>
        </w:tc>
      </w:tr>
      <w:tr>
        <w:trPr>
          <w:trHeight w:val="133"/>
        </w:trPr>
        <w:tc>
          <w:tcPr>
            <w:tcW w:w="42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2021</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2,292,738</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4220" w:type="dxa"/>
            <w:vAlign w:val="bottom"/>
          </w:tcPr>
          <w:p>
            <w:pPr>
              <w:spacing w:after="0"/>
              <w:rPr>
                <w:sz w:val="20"/>
                <w:szCs w:val="20"/>
                <w:color w:val="auto"/>
              </w:rPr>
            </w:pPr>
            <w:r>
              <w:rPr>
                <w:rFonts w:ascii="Arial" w:cs="Arial" w:eastAsia="Arial" w:hAnsi="Arial"/>
                <w:sz w:val="12"/>
                <w:szCs w:val="12"/>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5,939,340</w:t>
            </w:r>
          </w:p>
        </w:tc>
        <w:tc>
          <w:tcPr>
            <w:tcW w:w="60" w:type="dxa"/>
            <w:vAlign w:val="bottom"/>
          </w:tcPr>
          <w:p>
            <w:pPr>
              <w:spacing w:after="0"/>
              <w:rPr>
                <w:sz w:val="12"/>
                <w:szCs w:val="12"/>
                <w:color w:val="auto"/>
              </w:rPr>
            </w:pP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(119,285)</w:t>
            </w:r>
          </w:p>
        </w:tc>
      </w:tr>
      <w:tr>
        <w:trPr>
          <w:trHeight w:val="149"/>
        </w:trPr>
        <w:tc>
          <w:tcPr>
            <w:tcW w:w="4220" w:type="dxa"/>
            <w:vAlign w:val="bottom"/>
          </w:tcPr>
          <w:p>
            <w:pPr>
              <w:spacing w:after="0"/>
              <w:rPr>
                <w:sz w:val="20"/>
                <w:szCs w:val="20"/>
                <w:color w:val="auto"/>
              </w:rPr>
            </w:pPr>
            <w:r>
              <w:rPr>
                <w:rFonts w:ascii="Arial" w:cs="Arial" w:eastAsia="Arial" w:hAnsi="Arial"/>
                <w:sz w:val="12"/>
                <w:szCs w:val="12"/>
                <w:color w:val="auto"/>
              </w:rPr>
              <w:t>Non-vested balance at June 30,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8,112,793</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25"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Performance Options</w:t>
      </w:r>
    </w:p>
    <w:p>
      <w:pPr>
        <w:spacing w:after="0" w:line="78"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Performance Options will vest upon the achievement of both time-based service requirements and liquidity requirements on or before the grant expiration date of March 31, 2026. As of June 30, 2021, the liquidity event requirement had not been met and was deemed not probable of being met. During the three months ended June 30, 2021 and 2020, the Company recorded no share-based compensation expense related to these Performance Options. The Company will recognize the expense upon achievement of both the time-based service requirement and liquidity requirements through the requisite service period.</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 summary of Performance Option activity and data under the RSL 2015 EIP for the three months ended June 30, 2021 is as follows:</w:t>
      </w:r>
    </w:p>
    <w:p>
      <w:pPr>
        <w:spacing w:after="0" w:line="15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580" w:type="dxa"/>
            <w:vAlign w:val="bottom"/>
          </w:tcPr>
          <w:p>
            <w:pPr>
              <w:jc w:val="right"/>
              <w:ind w:right="5"/>
              <w:spacing w:after="0"/>
              <w:rPr>
                <w:sz w:val="20"/>
                <w:szCs w:val="20"/>
                <w:color w:val="auto"/>
              </w:rPr>
            </w:pPr>
            <w:r>
              <w:rPr>
                <w:rFonts w:ascii="Arial" w:cs="Arial" w:eastAsia="Arial" w:hAnsi="Arial"/>
                <w:sz w:val="10"/>
                <w:szCs w:val="10"/>
                <w:b w:val="1"/>
                <w:bCs w:val="1"/>
                <w:color w:val="auto"/>
                <w:w w:val="99"/>
              </w:rPr>
              <w:t>Number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45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0"/>
                <w:szCs w:val="10"/>
                <w:b w:val="1"/>
                <w:bCs w:val="1"/>
                <w:color w:val="auto"/>
                <w:w w:val="88"/>
              </w:rPr>
              <w:t>Performance</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113"/>
        </w:trPr>
        <w:tc>
          <w:tcPr>
            <w:tcW w:w="4560" w:type="dxa"/>
            <w:vAlign w:val="bottom"/>
          </w:tcPr>
          <w:p>
            <w:pPr>
              <w:spacing w:after="0"/>
              <w:rPr>
                <w:sz w:val="9"/>
                <w:szCs w:val="9"/>
                <w:color w:val="auto"/>
              </w:rPr>
            </w:pPr>
          </w:p>
        </w:tc>
        <w:tc>
          <w:tcPr>
            <w:tcW w:w="580" w:type="dxa"/>
            <w:vAlign w:val="bottom"/>
            <w:tcBorders>
              <w:bottom w:val="single" w:sz="8" w:color="auto"/>
            </w:tcBorders>
          </w:tcPr>
          <w:p>
            <w:pPr>
              <w:jc w:val="right"/>
              <w:ind w:right="65"/>
              <w:spacing w:after="0" w:line="114" w:lineRule="exact"/>
              <w:rPr>
                <w:sz w:val="20"/>
                <w:szCs w:val="20"/>
                <w:color w:val="auto"/>
              </w:rPr>
            </w:pPr>
            <w:r>
              <w:rPr>
                <w:rFonts w:ascii="Arial" w:cs="Arial" w:eastAsia="Arial" w:hAnsi="Arial"/>
                <w:sz w:val="10"/>
                <w:szCs w:val="10"/>
                <w:b w:val="1"/>
                <w:bCs w:val="1"/>
                <w:color w:val="auto"/>
              </w:rPr>
              <w:t>Options</w:t>
            </w:r>
          </w:p>
        </w:tc>
        <w:tc>
          <w:tcPr>
            <w:tcW w:w="400" w:type="dxa"/>
            <w:vAlign w:val="bottom"/>
          </w:tcPr>
          <w:p>
            <w:pPr>
              <w:spacing w:after="0"/>
              <w:rPr>
                <w:sz w:val="9"/>
                <w:szCs w:val="9"/>
                <w:color w:val="auto"/>
              </w:rPr>
            </w:pPr>
          </w:p>
        </w:tc>
        <w:tc>
          <w:tcPr>
            <w:tcW w:w="60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w w:val="84"/>
              </w:rPr>
              <w:t>Exercise Price</w:t>
            </w:r>
          </w:p>
        </w:tc>
        <w:tc>
          <w:tcPr>
            <w:tcW w:w="40" w:type="dxa"/>
            <w:vAlign w:val="bottom"/>
          </w:tcPr>
          <w:p>
            <w:pPr>
              <w:spacing w:after="0"/>
              <w:rPr>
                <w:sz w:val="9"/>
                <w:szCs w:val="9"/>
                <w:color w:val="auto"/>
              </w:rPr>
            </w:pPr>
          </w:p>
        </w:tc>
      </w:tr>
      <w:tr>
        <w:trPr>
          <w:trHeight w:val="133"/>
        </w:trPr>
        <w:tc>
          <w:tcPr>
            <w:tcW w:w="4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Performance Options outstanding at March 31, 2021</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14,425,663</w:t>
            </w:r>
          </w:p>
        </w:tc>
        <w:tc>
          <w:tcPr>
            <w:tcW w:w="48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38.93</w:t>
            </w:r>
          </w:p>
        </w:tc>
        <w:tc>
          <w:tcPr>
            <w:tcW w:w="40" w:type="dxa"/>
            <w:vAlign w:val="bottom"/>
            <w:shd w:val="clear" w:color="auto" w:fill="CCEEFF"/>
          </w:tcPr>
          <w:p>
            <w:pPr>
              <w:spacing w:after="0"/>
              <w:rPr>
                <w:sz w:val="11"/>
                <w:szCs w:val="11"/>
                <w:color w:val="auto"/>
              </w:rPr>
            </w:pP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Granted</w:t>
            </w:r>
          </w:p>
        </w:tc>
        <w:tc>
          <w:tcPr>
            <w:tcW w:w="58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400"/>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ind w:left="340"/>
              <w:spacing w:after="0"/>
              <w:rPr>
                <w:sz w:val="20"/>
                <w:szCs w:val="20"/>
                <w:color w:val="auto"/>
              </w:rPr>
            </w:pPr>
            <w:r>
              <w:rPr>
                <w:rFonts w:ascii="Arial" w:cs="Arial" w:eastAsia="Arial" w:hAnsi="Arial"/>
                <w:sz w:val="12"/>
                <w:szCs w:val="12"/>
                <w:color w:val="auto"/>
              </w:rPr>
              <w:t>—</w:t>
            </w:r>
          </w:p>
        </w:tc>
      </w:tr>
      <w:tr>
        <w:trPr>
          <w:trHeight w:val="14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r>
      <w:tr>
        <w:trPr>
          <w:trHeight w:val="149"/>
        </w:trPr>
        <w:tc>
          <w:tcPr>
            <w:tcW w:w="4560" w:type="dxa"/>
            <w:vAlign w:val="bottom"/>
          </w:tcPr>
          <w:p>
            <w:pPr>
              <w:spacing w:after="0"/>
              <w:rPr>
                <w:sz w:val="20"/>
                <w:szCs w:val="20"/>
                <w:color w:val="auto"/>
              </w:rPr>
            </w:pPr>
            <w:r>
              <w:rPr>
                <w:rFonts w:ascii="Arial" w:cs="Arial" w:eastAsia="Arial" w:hAnsi="Arial"/>
                <w:sz w:val="12"/>
                <w:szCs w:val="12"/>
                <w:color w:val="auto"/>
              </w:rPr>
              <w:t>Performance Options outstanding at June 30,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14,425,663</w:t>
            </w:r>
          </w:p>
        </w:tc>
        <w:tc>
          <w:tcPr>
            <w:tcW w:w="480" w:type="dxa"/>
            <w:vAlign w:val="bottom"/>
            <w:gridSpan w:val="2"/>
          </w:tcPr>
          <w:p>
            <w:pPr>
              <w:ind w:left="4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38.93</w:t>
            </w:r>
          </w:p>
        </w:tc>
        <w:tc>
          <w:tcPr>
            <w:tcW w:w="40" w:type="dxa"/>
            <w:vAlign w:val="bottom"/>
          </w:tcPr>
          <w:p>
            <w:pPr>
              <w:spacing w:after="0"/>
              <w:rPr>
                <w:sz w:val="12"/>
                <w:szCs w:val="12"/>
                <w:color w:val="auto"/>
              </w:rPr>
            </w:pPr>
          </w:p>
        </w:tc>
      </w:tr>
    </w:tbl>
    <w:p>
      <w:pPr>
        <w:spacing w:after="0" w:line="21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CVARs</w:t>
      </w:r>
    </w:p>
    <w:p>
      <w:pPr>
        <w:spacing w:after="0" w:line="78"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CVARs will vest upon the achievement of both time-based service requirements and liquidity requirements on or before the grant expiration date of March 31, 2026. At settlement, each CVAR pays the excess in shares of (a) the lesser of (i) the fair market value of a common share as of the settlement date or (ii) the cap of $37.10, over (b) the hurdle price of either $18.70 or $33.63, as applicable to each grant. As of June 30, 2021, the liquidity event requirement had not been met and was deemed not probable of being met. During the three months ended June 30, 2021 and 2020, the Company recorded no share-based compensation expense related to these CVARs. The Company will recognize the expense upon achievement of both the time-based service requirement and liquidity requirements through the requisite service period.</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summary of CVARs under the RSL 2015 EIP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r>
      <w:tr>
        <w:trPr>
          <w:trHeight w:val="113"/>
        </w:trPr>
        <w:tc>
          <w:tcPr>
            <w:tcW w:w="2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CVARs</w:t>
            </w:r>
          </w:p>
        </w:tc>
        <w:tc>
          <w:tcPr>
            <w:tcW w:w="40" w:type="dxa"/>
            <w:vAlign w:val="bottom"/>
          </w:tcPr>
          <w:p>
            <w:pPr>
              <w:spacing w:after="0"/>
              <w:rPr>
                <w:sz w:val="9"/>
                <w:szCs w:val="9"/>
                <w:color w:val="auto"/>
              </w:rPr>
            </w:pPr>
          </w:p>
        </w:tc>
      </w:tr>
      <w:tr>
        <w:trPr>
          <w:trHeight w:val="133"/>
        </w:trPr>
        <w:tc>
          <w:tcPr>
            <w:tcW w:w="2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2021</w:t>
            </w:r>
          </w:p>
        </w:tc>
        <w:tc>
          <w:tcPr>
            <w:tcW w:w="286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11,088,658</w:t>
            </w:r>
          </w:p>
        </w:tc>
      </w:tr>
      <w:tr>
        <w:trPr>
          <w:trHeight w:val="144"/>
        </w:trPr>
        <w:tc>
          <w:tcPr>
            <w:tcW w:w="2120" w:type="dxa"/>
            <w:vAlign w:val="bottom"/>
          </w:tcPr>
          <w:p>
            <w:pPr>
              <w:spacing w:after="0"/>
              <w:rPr>
                <w:sz w:val="20"/>
                <w:szCs w:val="20"/>
                <w:color w:val="auto"/>
              </w:rPr>
            </w:pPr>
            <w:r>
              <w:rPr>
                <w:rFonts w:ascii="Arial" w:cs="Arial" w:eastAsia="Arial" w:hAnsi="Arial"/>
                <w:sz w:val="12"/>
                <w:szCs w:val="12"/>
                <w:color w:val="auto"/>
              </w:rPr>
              <w:t>Granted</w:t>
            </w:r>
          </w:p>
        </w:tc>
        <w:tc>
          <w:tcPr>
            <w:tcW w:w="210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2"/>
                <w:szCs w:val="12"/>
                <w:color w:val="auto"/>
              </w:rPr>
              <w:t>—</w:t>
            </w:r>
          </w:p>
        </w:tc>
      </w:tr>
      <w:tr>
        <w:trPr>
          <w:trHeight w:val="144"/>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2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12"/>
                <w:szCs w:val="12"/>
                <w:color w:val="auto"/>
              </w:rPr>
              <w:t>Non-vested balance at June 30, 2021</w:t>
            </w:r>
          </w:p>
        </w:tc>
        <w:tc>
          <w:tcPr>
            <w:tcW w:w="2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11,088,658</w:t>
            </w:r>
          </w:p>
        </w:tc>
        <w:tc>
          <w:tcPr>
            <w:tcW w:w="40" w:type="dxa"/>
            <w:vAlign w:val="bottom"/>
          </w:tcPr>
          <w:p>
            <w:pPr>
              <w:spacing w:after="0"/>
              <w:rPr>
                <w:sz w:val="13"/>
                <w:szCs w:val="13"/>
                <w:color w:val="auto"/>
              </w:rPr>
            </w:pPr>
          </w:p>
        </w:tc>
      </w:tr>
      <w:tr>
        <w:trPr>
          <w:trHeight w:val="250"/>
        </w:trPr>
        <w:tc>
          <w:tcPr>
            <w:tcW w:w="2120" w:type="dxa"/>
            <w:vAlign w:val="bottom"/>
          </w:tcPr>
          <w:p>
            <w:pPr>
              <w:spacing w:after="0"/>
              <w:rPr>
                <w:sz w:val="21"/>
                <w:szCs w:val="21"/>
                <w:color w:val="auto"/>
              </w:rPr>
            </w:pPr>
          </w:p>
        </w:tc>
        <w:tc>
          <w:tcPr>
            <w:tcW w:w="2860" w:type="dxa"/>
            <w:vAlign w:val="bottom"/>
            <w:gridSpan w:val="3"/>
          </w:tcPr>
          <w:p>
            <w:pPr>
              <w:ind w:left="260"/>
              <w:spacing w:after="0"/>
              <w:rPr>
                <w:sz w:val="20"/>
                <w:szCs w:val="20"/>
                <w:color w:val="auto"/>
              </w:rPr>
            </w:pPr>
            <w:r>
              <w:rPr>
                <w:rFonts w:ascii="Arial" w:cs="Arial" w:eastAsia="Arial" w:hAnsi="Arial"/>
                <w:sz w:val="12"/>
                <w:szCs w:val="12"/>
                <w:color w:val="auto"/>
              </w:rPr>
              <w:t>F-59</w:t>
            </w:r>
          </w:p>
        </w:tc>
      </w:tr>
    </w:tbl>
    <w:p>
      <w:pPr>
        <w:sectPr>
          <w:pgSz w:w="11900" w:h="16838" w:orient="portrait"/>
          <w:cols w:equalWidth="0" w:num="1">
            <w:col w:w="10159"/>
          </w:cols>
          <w:pgMar w:left="300" w:top="372" w:right="1440" w:bottom="1440" w:gutter="0" w:footer="0" w:header="0"/>
        </w:sectPr>
      </w:pPr>
    </w:p>
    <w:bookmarkStart w:id="389" w:name="page390"/>
    <w:bookmarkEnd w:id="3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RSL 2015 Restricted Stock Unit Plan</w:t>
      </w:r>
    </w:p>
    <w:p>
      <w:pPr>
        <w:spacing w:after="0" w:line="8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Under the Amended and Restated RSL 2015 Restricted Stock Unit Plan (the “pRSU Plan”), as of June 30, 2021, there are 200,000 of the Company’s common shares reserved for the granting under the pRSU Plan of restricted stock units (“Performance RSUs”) to the Company’s employees, officers, directors and consultants. The Performance RSUs expire eight years after the date of grant. At June 30, 2021, there are no common shares available for future grants under this plan.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summary of Performance RSU activity under the pRSU Plan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Number of</w:t>
            </w:r>
          </w:p>
        </w:tc>
      </w:tr>
      <w:tr>
        <w:trPr>
          <w:trHeight w:val="99"/>
        </w:trPr>
        <w:tc>
          <w:tcPr>
            <w:tcW w:w="440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Arial" w:cs="Arial" w:eastAsia="Arial" w:hAnsi="Arial"/>
                <w:sz w:val="10"/>
                <w:szCs w:val="10"/>
                <w:b w:val="1"/>
                <w:bCs w:val="1"/>
                <w:color w:val="auto"/>
                <w:w w:val="84"/>
              </w:rPr>
              <w:t>Performance</w:t>
            </w:r>
          </w:p>
        </w:tc>
      </w:tr>
      <w:tr>
        <w:trPr>
          <w:trHeight w:val="113"/>
        </w:trPr>
        <w:tc>
          <w:tcPr>
            <w:tcW w:w="4400" w:type="dxa"/>
            <w:vAlign w:val="bottom"/>
          </w:tcPr>
          <w:p>
            <w:pPr>
              <w:spacing w:after="0"/>
              <w:rPr>
                <w:sz w:val="9"/>
                <w:szCs w:val="9"/>
                <w:color w:val="auto"/>
              </w:rPr>
            </w:pPr>
          </w:p>
        </w:tc>
        <w:tc>
          <w:tcPr>
            <w:tcW w:w="58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RSUs</w:t>
            </w:r>
          </w:p>
        </w:tc>
      </w:tr>
      <w:tr>
        <w:trPr>
          <w:trHeight w:val="133"/>
        </w:trPr>
        <w:tc>
          <w:tcPr>
            <w:tcW w:w="4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2021</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200,000</w:t>
            </w:r>
          </w:p>
        </w:tc>
        <w:tc>
          <w:tcPr>
            <w:tcW w:w="40" w:type="dxa"/>
            <w:vAlign w:val="bottom"/>
            <w:shd w:val="clear" w:color="auto" w:fill="CCEEFF"/>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Granted</w:t>
            </w:r>
          </w:p>
        </w:tc>
        <w:tc>
          <w:tcPr>
            <w:tcW w:w="580" w:type="dxa"/>
            <w:vAlign w:val="bottom"/>
            <w:gridSpan w:val="2"/>
          </w:tcPr>
          <w:p>
            <w:pPr>
              <w:ind w:left="360"/>
              <w:spacing w:after="0"/>
              <w:rPr>
                <w:sz w:val="20"/>
                <w:szCs w:val="20"/>
                <w:color w:val="auto"/>
              </w:rPr>
            </w:pPr>
            <w:r>
              <w:rPr>
                <w:rFonts w:ascii="Arial" w:cs="Arial" w:eastAsia="Arial" w:hAnsi="Arial"/>
                <w:sz w:val="12"/>
                <w:szCs w:val="12"/>
                <w:color w:val="auto"/>
              </w:rPr>
              <w:t>—</w:t>
            </w:r>
          </w:p>
        </w:tc>
      </w:tr>
      <w:tr>
        <w:trPr>
          <w:trHeight w:val="144"/>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r>
      <w:tr>
        <w:trPr>
          <w:trHeight w:val="149"/>
        </w:trPr>
        <w:tc>
          <w:tcPr>
            <w:tcW w:w="4400" w:type="dxa"/>
            <w:vAlign w:val="bottom"/>
          </w:tcPr>
          <w:p>
            <w:pPr>
              <w:spacing w:after="0"/>
              <w:rPr>
                <w:sz w:val="20"/>
                <w:szCs w:val="20"/>
                <w:color w:val="auto"/>
              </w:rPr>
            </w:pPr>
            <w:r>
              <w:rPr>
                <w:rFonts w:ascii="Arial" w:cs="Arial" w:eastAsia="Arial" w:hAnsi="Arial"/>
                <w:sz w:val="12"/>
                <w:szCs w:val="12"/>
                <w:color w:val="auto"/>
              </w:rPr>
              <w:t>Non-vested balance at June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200,000</w:t>
            </w:r>
          </w:p>
        </w:tc>
        <w:tc>
          <w:tcPr>
            <w:tcW w:w="40" w:type="dxa"/>
            <w:vAlign w:val="bottom"/>
          </w:tcPr>
          <w:p>
            <w:pPr>
              <w:spacing w:after="0"/>
              <w:rPr>
                <w:sz w:val="12"/>
                <w:szCs w:val="12"/>
                <w:color w:val="auto"/>
              </w:rPr>
            </w:pPr>
          </w:p>
        </w:tc>
      </w:tr>
    </w:tbl>
    <w:p>
      <w:pPr>
        <w:spacing w:after="0" w:line="14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These Performance RSUs will vest to the extent certain performance criteria are achieved and certain liquidity conditions are satisfied within specified years of the grant date, provided that the recipient has provided continued service through such date. As of June 30, 2021, the performance conditions had not been met and were deemed not probable of being met. During the three months ended June 30, 2021 and 2020, the Company recorded no share-based compensation expense related to these Performance RSUs. The Company will recognize the expense upon achievement of the performance and liquidity conditions through the requisite service period.</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RSL Restricted Common Stock</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summary of RSL restricted common stock activity as of June 30, 2021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Number of</w:t>
            </w:r>
          </w:p>
        </w:tc>
      </w:tr>
      <w:tr>
        <w:trPr>
          <w:trHeight w:val="99"/>
        </w:trPr>
        <w:tc>
          <w:tcPr>
            <w:tcW w:w="4300" w:type="dxa"/>
            <w:vAlign w:val="bottom"/>
          </w:tcPr>
          <w:p>
            <w:pPr>
              <w:spacing w:after="0"/>
              <w:rPr>
                <w:sz w:val="8"/>
                <w:szCs w:val="8"/>
                <w:color w:val="auto"/>
              </w:rPr>
            </w:pPr>
          </w:p>
        </w:tc>
        <w:tc>
          <w:tcPr>
            <w:tcW w:w="6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Restricted</w:t>
            </w:r>
          </w:p>
        </w:tc>
      </w:tr>
      <w:tr>
        <w:trPr>
          <w:trHeight w:val="113"/>
        </w:trPr>
        <w:tc>
          <w:tcPr>
            <w:tcW w:w="4300" w:type="dxa"/>
            <w:vAlign w:val="bottom"/>
          </w:tcPr>
          <w:p>
            <w:pPr>
              <w:spacing w:after="0"/>
              <w:rPr>
                <w:sz w:val="9"/>
                <w:szCs w:val="9"/>
                <w:color w:val="auto"/>
              </w:rPr>
            </w:pPr>
          </w:p>
        </w:tc>
        <w:tc>
          <w:tcPr>
            <w:tcW w:w="68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4"/>
              </w:rPr>
              <w:t>Common Stock</w:t>
            </w:r>
          </w:p>
        </w:tc>
      </w:tr>
      <w:tr>
        <w:trPr>
          <w:trHeight w:val="133"/>
        </w:trPr>
        <w:tc>
          <w:tcPr>
            <w:tcW w:w="43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Non-vested balance at March 31, 2021</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587,824</w:t>
            </w:r>
          </w:p>
        </w:tc>
        <w:tc>
          <w:tcPr>
            <w:tcW w:w="40" w:type="dxa"/>
            <w:vAlign w:val="bottom"/>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Granted</w:t>
            </w:r>
          </w:p>
        </w:tc>
        <w:tc>
          <w:tcPr>
            <w:tcW w:w="680" w:type="dxa"/>
            <w:vAlign w:val="bottom"/>
            <w:gridSpan w:val="2"/>
          </w:tcPr>
          <w:p>
            <w:pPr>
              <w:ind w:left="460"/>
              <w:spacing w:after="0"/>
              <w:rPr>
                <w:sz w:val="20"/>
                <w:szCs w:val="20"/>
                <w:color w:val="auto"/>
              </w:rPr>
            </w:pPr>
            <w:r>
              <w:rPr>
                <w:rFonts w:ascii="Arial" w:cs="Arial" w:eastAsia="Arial" w:hAnsi="Arial"/>
                <w:sz w:val="12"/>
                <w:szCs w:val="12"/>
                <w:color w:val="auto"/>
              </w:rPr>
              <w:t>—</w:t>
            </w: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r>
      <w:tr>
        <w:trPr>
          <w:trHeight w:val="149"/>
        </w:trPr>
        <w:tc>
          <w:tcPr>
            <w:tcW w:w="4300" w:type="dxa"/>
            <w:vAlign w:val="bottom"/>
          </w:tcPr>
          <w:p>
            <w:pPr>
              <w:spacing w:after="0"/>
              <w:rPr>
                <w:sz w:val="20"/>
                <w:szCs w:val="20"/>
                <w:color w:val="auto"/>
              </w:rPr>
            </w:pPr>
            <w:r>
              <w:rPr>
                <w:rFonts w:ascii="Arial" w:cs="Arial" w:eastAsia="Arial" w:hAnsi="Arial"/>
                <w:sz w:val="12"/>
                <w:szCs w:val="12"/>
                <w:color w:val="auto"/>
              </w:rPr>
              <w:t>Non-vested balance at June 30,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587,824</w:t>
            </w:r>
          </w:p>
        </w:tc>
        <w:tc>
          <w:tcPr>
            <w:tcW w:w="40" w:type="dxa"/>
            <w:vAlign w:val="bottom"/>
          </w:tcPr>
          <w:p>
            <w:pPr>
              <w:spacing w:after="0"/>
              <w:rPr>
                <w:sz w:val="12"/>
                <w:szCs w:val="12"/>
                <w:color w:val="auto"/>
              </w:rPr>
            </w:pPr>
          </w:p>
        </w:tc>
      </w:tr>
    </w:tbl>
    <w:p>
      <w:pPr>
        <w:spacing w:after="0" w:line="14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For the three months ended June 30, 2021, the Company recorded share-based compensation expense of $0.8 million in relation to the RSL restricted common stock. The RSL restricted common stock will vest upon the achievement of time-based service requirements.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Subsidiary Equity Incentive Plans</w:t>
      </w:r>
    </w:p>
    <w:p>
      <w:pPr>
        <w:spacing w:after="0" w:line="82"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Standard option grants have time-based vesting requirements, generally vesting over a period of four years with a contractual term of ten years. Such time-based stock options use the Black-Scholes option pricing model. The grant date fair value of awards subject to market conditions is estimated using a Monte Carlo valuation model. For the three months ended June 31, 2021 and 2020, the Company recorded share-based compensation expense of $8.2 million and $6.5 million, respectively, in relation to subsidiary EIPs.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72" w:right="1440" w:bottom="1440" w:gutter="0" w:footer="0" w:header="0"/>
        </w:sectPr>
      </w:pPr>
    </w:p>
    <w:bookmarkStart w:id="390" w:name="page391"/>
    <w:bookmarkEnd w:id="3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 Share-Based Compensation Expense</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Share-based compensation expense was as follows (in thousands):</w:t>
      </w:r>
    </w:p>
    <w:p>
      <w:pPr>
        <w:spacing w:after="0" w:line="156" w:lineRule="exact"/>
        <w:rPr>
          <w:sz w:val="20"/>
          <w:szCs w:val="20"/>
          <w:color w:val="auto"/>
        </w:rPr>
      </w:pPr>
    </w:p>
    <w:p>
      <w:pPr>
        <w:jc w:val="center"/>
        <w:ind w:left="4400"/>
        <w:spacing w:after="0"/>
        <w:rPr>
          <w:sz w:val="20"/>
          <w:szCs w:val="20"/>
          <w:color w:val="auto"/>
        </w:rPr>
      </w:pPr>
      <w:r>
        <w:rPr>
          <w:rFonts w:ascii="Arial" w:cs="Arial" w:eastAsia="Arial" w:hAnsi="Arial"/>
          <w:sz w:val="10"/>
          <w:szCs w:val="10"/>
          <w:b w:val="1"/>
          <w:bCs w:val="1"/>
          <w:color w:val="auto"/>
        </w:rPr>
        <w:t>Three Months Ended</w:t>
      </w:r>
    </w:p>
    <w:p>
      <w:pPr>
        <w:jc w:val="center"/>
        <w:ind w:left="4400"/>
        <w:spacing w:after="0" w:line="215" w:lineRule="auto"/>
        <w:rPr>
          <w:sz w:val="20"/>
          <w:szCs w:val="20"/>
          <w:color w:val="auto"/>
        </w:rPr>
      </w:pPr>
      <w:r>
        <w:rPr>
          <w:rFonts w:ascii="Arial" w:cs="Arial" w:eastAsia="Arial" w:hAnsi="Arial"/>
          <w:sz w:val="10"/>
          <w:szCs w:val="10"/>
          <w:b w:val="1"/>
          <w:bCs w:val="1"/>
          <w:color w:val="auto"/>
        </w:rPr>
        <w:t>June 30,</w:t>
      </w:r>
    </w:p>
    <w:tbl>
      <w:tblPr>
        <w:tblLayout w:type="fixed"/>
        <w:tblInd w:w="2860" w:type="dxa"/>
        <w:tblCellMar>
          <w:top w:w="0" w:type="dxa"/>
          <w:left w:w="0" w:type="dxa"/>
          <w:bottom w:w="0" w:type="dxa"/>
          <w:right w:w="0" w:type="dxa"/>
        </w:tblCellMar>
      </w:tblPr>
      <w:tr>
        <w:trPr>
          <w:trHeight w:val="97"/>
        </w:trPr>
        <w:tc>
          <w:tcPr>
            <w:tcW w:w="44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3"/>
              <w:spacing w:after="0" w:line="97" w:lineRule="exact"/>
              <w:rPr>
                <w:sz w:val="20"/>
                <w:szCs w:val="20"/>
                <w:color w:val="auto"/>
              </w:rPr>
            </w:pPr>
            <w:r>
              <w:rPr>
                <w:rFonts w:ascii="Arial" w:cs="Arial" w:eastAsia="Arial" w:hAnsi="Arial"/>
                <w:sz w:val="10"/>
                <w:szCs w:val="10"/>
                <w:b w:val="1"/>
                <w:bCs w:val="1"/>
                <w:color w:val="auto"/>
                <w:w w:val="98"/>
              </w:rPr>
              <w:t>2021</w:t>
            </w:r>
          </w:p>
        </w:tc>
        <w:tc>
          <w:tcPr>
            <w:tcW w:w="3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3"/>
              <w:spacing w:after="0" w:line="97" w:lineRule="exact"/>
              <w:rPr>
                <w:sz w:val="20"/>
                <w:szCs w:val="20"/>
                <w:color w:val="auto"/>
              </w:rPr>
            </w:pPr>
            <w:r>
              <w:rPr>
                <w:rFonts w:ascii="Arial" w:cs="Arial" w:eastAsia="Arial" w:hAnsi="Arial"/>
                <w:sz w:val="10"/>
                <w:szCs w:val="10"/>
                <w:b w:val="1"/>
                <w:bCs w:val="1"/>
                <w:color w:val="auto"/>
                <w:w w:val="98"/>
              </w:rPr>
              <w:t>2020</w:t>
            </w:r>
          </w:p>
        </w:tc>
        <w:tc>
          <w:tcPr>
            <w:tcW w:w="40" w:type="dxa"/>
            <w:vAlign w:val="bottom"/>
            <w:tcBorders>
              <w:bottom w:val="single" w:sz="8" w:color="CCEEFF"/>
            </w:tcBorders>
          </w:tcPr>
          <w:p>
            <w:pPr>
              <w:spacing w:after="0"/>
              <w:rPr>
                <w:sz w:val="8"/>
                <w:szCs w:val="8"/>
                <w:color w:val="auto"/>
              </w:rPr>
            </w:pPr>
          </w:p>
        </w:tc>
      </w:tr>
      <w:tr>
        <w:trPr>
          <w:trHeight w:val="133"/>
        </w:trPr>
        <w:tc>
          <w:tcPr>
            <w:tcW w:w="4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Share-based compensation expense recognized as: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R&amp;D expenses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1,615</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1,119</w:t>
            </w: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G&amp;A expenses</w:t>
            </w:r>
          </w:p>
        </w:tc>
        <w:tc>
          <w:tcPr>
            <w:tcW w:w="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17,654</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13,159</w:t>
            </w:r>
          </w:p>
        </w:tc>
        <w:tc>
          <w:tcPr>
            <w:tcW w:w="4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2"/>
                <w:szCs w:val="12"/>
                <w:color w:val="auto"/>
              </w:rPr>
              <w:t>Total</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19,269</w:t>
            </w:r>
          </w:p>
        </w:tc>
        <w:tc>
          <w:tcPr>
            <w:tcW w:w="3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14,278</w:t>
            </w:r>
          </w:p>
        </w:tc>
        <w:tc>
          <w:tcPr>
            <w:tcW w:w="40" w:type="dxa"/>
            <w:vAlign w:val="bottom"/>
          </w:tcPr>
          <w:p>
            <w:pPr>
              <w:spacing w:after="0"/>
              <w:rPr>
                <w:sz w:val="12"/>
                <w:szCs w:val="12"/>
                <w:color w:val="auto"/>
              </w:rPr>
            </w:pPr>
          </w:p>
        </w:tc>
      </w:tr>
    </w:tbl>
    <w:p>
      <w:pPr>
        <w:spacing w:after="0" w:line="117"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The classification of share-based compensation expense between R&amp;D and G&amp;A expenses in the accompanying condensed consolidated statements of operations is consistent with the classification of grantee’s salary expense.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9—Income Taxes</w:t>
      </w:r>
    </w:p>
    <w:p>
      <w:pPr>
        <w:spacing w:after="0" w:line="8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Company’s effective tax rate for the three months ended June 30, 2021 and 2020 was (0.1)% and (18.1)%, respectively, and is driven by the Company’s jurisdictional earnings by location and a valuation allowance that eliminates the Company’s global net deferred tax assets. However, for the three months ended June 30, 2020, the effective tax rate was also favorably impacted by the non-taxable gains associated with the deconsolidation of subsidiary and changes in fair value of investments.</w:t>
      </w:r>
    </w:p>
    <w:p>
      <w:pPr>
        <w:spacing w:after="0" w:line="124"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10—Commitments and Contingencies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 Significant Agreements</w:t>
      </w:r>
    </w:p>
    <w:p>
      <w:pPr>
        <w:spacing w:after="0" w:line="82" w:lineRule="exact"/>
        <w:rPr>
          <w:sz w:val="20"/>
          <w:szCs w:val="20"/>
          <w:color w:val="auto"/>
        </w:rPr>
      </w:pPr>
    </w:p>
    <w:p>
      <w:pPr>
        <w:ind w:left="1980" w:right="919" w:firstLine="294"/>
        <w:spacing w:after="0" w:line="316" w:lineRule="auto"/>
        <w:rPr>
          <w:sz w:val="20"/>
          <w:szCs w:val="20"/>
          <w:color w:val="auto"/>
        </w:rPr>
      </w:pPr>
      <w:r>
        <w:rPr>
          <w:rFonts w:ascii="Arial" w:cs="Arial" w:eastAsia="Arial" w:hAnsi="Arial"/>
          <w:sz w:val="10"/>
          <w:szCs w:val="10"/>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Loss Contingencies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 The Company is currently not involved in any legal proceedings with a probable and estimable material loss.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 Intellectual Property Agreements</w:t>
      </w:r>
    </w:p>
    <w:p>
      <w:pPr>
        <w:spacing w:after="0" w:line="73" w:lineRule="exact"/>
        <w:rPr>
          <w:sz w:val="20"/>
          <w:szCs w:val="20"/>
          <w:color w:val="auto"/>
        </w:rPr>
      </w:pPr>
    </w:p>
    <w:p>
      <w:pPr>
        <w:ind w:left="1980" w:right="899" w:firstLine="294"/>
        <w:spacing w:after="0" w:line="234" w:lineRule="auto"/>
        <w:rPr>
          <w:sz w:val="20"/>
          <w:szCs w:val="20"/>
          <w:color w:val="auto"/>
        </w:rPr>
      </w:pPr>
      <w:r>
        <w:rPr>
          <w:rFonts w:ascii="Arial" w:cs="Arial" w:eastAsia="Arial" w:hAnsi="Arial"/>
          <w:sz w:val="12"/>
          <w:szCs w:val="12"/>
          <w:color w:val="auto"/>
        </w:rPr>
        <w:t>As of June 30, 2021, the Company did not have any ongoing material financial commitments, other than pursuant to various asset acquisition and license agreements.</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65405</wp:posOffset>
            </wp:positionV>
            <wp:extent cx="7214870" cy="539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335" w:lineRule="exact"/>
        <w:rPr>
          <w:sz w:val="20"/>
          <w:szCs w:val="20"/>
          <w:color w:val="auto"/>
        </w:rPr>
      </w:pPr>
    </w:p>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 COVID-19 Pandemic</w:t>
      </w:r>
    </w:p>
    <w:p>
      <w:pPr>
        <w:spacing w:after="0" w:line="82"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The Company has been actively monitoring the impact of the COVID-19 pandemic on its employees and business. Based on guidance issued by federal, state and local authorities, the Company transitioned to a remote work model for its employees in March 2020 and its workforce continues to primarily work remotely.</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The COVID-19 pandemic has had a variable impact on clinical trials by disrupting certain study sites. In the conduct of business activities, the Company continues to take actions designed to protect the safety and well-being of its patients and employees. Although some of the Company’s clinical development timelines have been impacted by delays related to the COVID-19 pandemic, the Company has not experienced material financial impacts on its business and operations as a result of the COVID-19 pandemic. However, the impact on the Company’s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11—Fair Value Measurements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Recurring Fair Value Measurements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sets forth the Company’s assets and liabilities that are measured at fair value on a recurring basis as of June 30, 2021 and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31, 2021, by level, within the fair value hierarchy (in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As of June 30, 2021</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As of March 31, 2021</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2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center"/>
              <w:ind w:right="24"/>
              <w:spacing w:after="0" w:line="74" w:lineRule="exact"/>
              <w:rPr>
                <w:sz w:val="20"/>
                <w:szCs w:val="20"/>
                <w:color w:val="auto"/>
              </w:rPr>
            </w:pPr>
            <w:r>
              <w:rPr>
                <w:rFonts w:ascii="Arial" w:cs="Arial" w:eastAsia="Arial" w:hAnsi="Arial"/>
                <w:sz w:val="8"/>
                <w:szCs w:val="8"/>
                <w:b w:val="1"/>
                <w:bCs w:val="1"/>
                <w:color w:val="auto"/>
              </w:rPr>
              <w:t>Balance as</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jc w:val="center"/>
              <w:ind w:right="23"/>
              <w:spacing w:after="0" w:line="74" w:lineRule="exact"/>
              <w:rPr>
                <w:sz w:val="20"/>
                <w:szCs w:val="20"/>
                <w:color w:val="auto"/>
              </w:rPr>
            </w:pPr>
            <w:r>
              <w:rPr>
                <w:rFonts w:ascii="Arial" w:cs="Arial" w:eastAsia="Arial" w:hAnsi="Arial"/>
                <w:sz w:val="8"/>
                <w:szCs w:val="8"/>
                <w:b w:val="1"/>
                <w:bCs w:val="1"/>
                <w:color w:val="auto"/>
              </w:rPr>
              <w:t>Balance as</w:t>
            </w:r>
          </w:p>
        </w:tc>
        <w:tc>
          <w:tcPr>
            <w:tcW w:w="40" w:type="dxa"/>
            <w:vAlign w:val="bottom"/>
          </w:tcPr>
          <w:p>
            <w:pPr>
              <w:spacing w:after="0"/>
              <w:rPr>
                <w:sz w:val="6"/>
                <w:szCs w:val="6"/>
                <w:color w:val="auto"/>
              </w:rPr>
            </w:pPr>
          </w:p>
        </w:tc>
      </w:tr>
      <w:tr>
        <w:trPr>
          <w:trHeight w:val="99"/>
        </w:trPr>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4"/>
              </w:rPr>
              <w:t>of June 30,</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9"/>
              </w:rPr>
              <w:t>of March 31,</w:t>
            </w:r>
          </w:p>
        </w:tc>
      </w:tr>
      <w:tr>
        <w:trPr>
          <w:trHeight w:val="113"/>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Level 1</w:t>
            </w: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2"/>
              </w:rPr>
              <w:t>Level 2</w:t>
            </w:r>
          </w:p>
        </w:tc>
        <w:tc>
          <w:tcPr>
            <w:tcW w:w="80" w:type="dxa"/>
            <w:vAlign w:val="bottom"/>
          </w:tcPr>
          <w:p>
            <w:pPr>
              <w:spacing w:after="0"/>
              <w:rPr>
                <w:sz w:val="9"/>
                <w:szCs w:val="9"/>
                <w:color w:val="auto"/>
              </w:rPr>
            </w:pPr>
          </w:p>
        </w:tc>
        <w:tc>
          <w:tcPr>
            <w:tcW w:w="52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Level 3</w:t>
            </w:r>
          </w:p>
        </w:tc>
        <w:tc>
          <w:tcPr>
            <w:tcW w:w="80" w:type="dxa"/>
            <w:vAlign w:val="bottom"/>
          </w:tcPr>
          <w:p>
            <w:pPr>
              <w:spacing w:after="0"/>
              <w:rPr>
                <w:sz w:val="9"/>
                <w:szCs w:val="9"/>
                <w:color w:val="auto"/>
              </w:rPr>
            </w:pPr>
          </w:p>
        </w:tc>
        <w:tc>
          <w:tcPr>
            <w:tcW w:w="52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Level 1</w:t>
            </w:r>
          </w:p>
        </w:tc>
        <w:tc>
          <w:tcPr>
            <w:tcW w:w="60" w:type="dxa"/>
            <w:vAlign w:val="bottom"/>
          </w:tcPr>
          <w:p>
            <w:pPr>
              <w:spacing w:after="0"/>
              <w:rPr>
                <w:sz w:val="9"/>
                <w:szCs w:val="9"/>
                <w:color w:val="auto"/>
              </w:rPr>
            </w:pPr>
          </w:p>
        </w:tc>
        <w:tc>
          <w:tcPr>
            <w:tcW w:w="4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Level 2</w:t>
            </w:r>
          </w:p>
        </w:tc>
        <w:tc>
          <w:tcPr>
            <w:tcW w:w="80" w:type="dxa"/>
            <w:vAlign w:val="bottom"/>
          </w:tcPr>
          <w:p>
            <w:pPr>
              <w:spacing w:after="0"/>
              <w:rPr>
                <w:sz w:val="9"/>
                <w:szCs w:val="9"/>
                <w:color w:val="auto"/>
              </w:rPr>
            </w:pPr>
          </w:p>
        </w:tc>
        <w:tc>
          <w:tcPr>
            <w:tcW w:w="5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Level 3</w:t>
            </w:r>
          </w:p>
        </w:tc>
        <w:tc>
          <w:tcPr>
            <w:tcW w:w="80" w:type="dxa"/>
            <w:vAlign w:val="bottom"/>
          </w:tcPr>
          <w:p>
            <w:pPr>
              <w:spacing w:after="0"/>
              <w:rPr>
                <w:sz w:val="9"/>
                <w:szCs w:val="9"/>
                <w:color w:val="auto"/>
              </w:rPr>
            </w:pPr>
          </w:p>
        </w:tc>
        <w:tc>
          <w:tcPr>
            <w:tcW w:w="560" w:type="dxa"/>
            <w:vAlign w:val="bottom"/>
          </w:tcPr>
          <w:p>
            <w:pPr>
              <w:jc w:val="center"/>
              <w:ind w:right="23"/>
              <w:spacing w:after="0" w:line="114" w:lineRule="exact"/>
              <w:rPr>
                <w:sz w:val="20"/>
                <w:szCs w:val="20"/>
                <w:color w:val="auto"/>
              </w:rPr>
            </w:pPr>
            <w:r>
              <w:rPr>
                <w:rFonts w:ascii="Arial" w:cs="Arial" w:eastAsia="Arial" w:hAnsi="Arial"/>
                <w:sz w:val="10"/>
                <w:szCs w:val="10"/>
                <w:b w:val="1"/>
                <w:bCs w:val="1"/>
                <w:color w:val="auto"/>
                <w:w w:val="89"/>
              </w:rPr>
              <w:t>2021</w:t>
            </w:r>
          </w:p>
        </w:tc>
        <w:tc>
          <w:tcPr>
            <w:tcW w:w="40" w:type="dxa"/>
            <w:vAlign w:val="bottom"/>
          </w:tcPr>
          <w:p>
            <w:pPr>
              <w:spacing w:after="0"/>
              <w:rPr>
                <w:sz w:val="9"/>
                <w:szCs w:val="9"/>
                <w:color w:val="auto"/>
              </w:rPr>
            </w:pP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Money market funds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1,340,662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1,340,662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1,420,597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1,420,597</w:t>
            </w: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Investment in Sio common shares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50,716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50,716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48,487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48,487</w:t>
            </w: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Investment in Arbutus common shares</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48,521</w:t>
            </w:r>
          </w:p>
        </w:tc>
        <w:tc>
          <w:tcPr>
            <w:tcW w:w="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48,521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53,325</w:t>
            </w:r>
          </w:p>
        </w:tc>
        <w:tc>
          <w:tcPr>
            <w:tcW w:w="60" w:type="dxa"/>
            <w:vAlign w:val="bottom"/>
          </w:tcPr>
          <w:p>
            <w:pPr>
              <w:spacing w:after="0"/>
              <w:rPr>
                <w:sz w:val="12"/>
                <w:szCs w:val="12"/>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53,325</w:t>
            </w:r>
          </w:p>
        </w:tc>
      </w:tr>
      <w:tr>
        <w:trPr>
          <w:trHeight w:val="135"/>
        </w:trPr>
        <w:tc>
          <w:tcPr>
            <w:tcW w:w="2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Investment in Arbutus convertible preferred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2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69,187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69,187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76,037</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76,037</w:t>
            </w: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Other investment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11,935</w:t>
            </w:r>
          </w:p>
        </w:tc>
        <w:tc>
          <w:tcPr>
            <w:tcW w:w="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11,935</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11,129</w:t>
            </w:r>
          </w:p>
        </w:tc>
        <w:tc>
          <w:tcPr>
            <w:tcW w:w="60" w:type="dxa"/>
            <w:vAlign w:val="bottom"/>
          </w:tcPr>
          <w:p>
            <w:pPr>
              <w:spacing w:after="0"/>
              <w:rPr>
                <w:sz w:val="12"/>
                <w:szCs w:val="12"/>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11,129</w:t>
            </w:r>
          </w:p>
        </w:tc>
      </w:tr>
      <w:tr>
        <w:trPr>
          <w:trHeight w:val="20"/>
        </w:trPr>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Total assets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1,451,834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69,187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1,521,021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1,533,538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76,037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1,609,575</w:t>
            </w:r>
          </w:p>
        </w:tc>
      </w:tr>
      <w:tr>
        <w:trPr>
          <w:trHeight w:val="153"/>
        </w:trPr>
        <w:tc>
          <w:tcPr>
            <w:tcW w:w="2260" w:type="dxa"/>
            <w:vAlign w:val="bottom"/>
          </w:tcPr>
          <w:p>
            <w:pPr>
              <w:spacing w:after="0"/>
              <w:rPr>
                <w:sz w:val="20"/>
                <w:szCs w:val="20"/>
                <w:color w:val="auto"/>
              </w:rPr>
            </w:pPr>
            <w:r>
              <w:rPr>
                <w:rFonts w:ascii="Arial" w:cs="Arial" w:eastAsia="Arial" w:hAnsi="Arial"/>
                <w:sz w:val="12"/>
                <w:szCs w:val="12"/>
                <w:color w:val="auto"/>
              </w:rPr>
              <w:t>Liabilities: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Debt issued by Dermavant to NovaQuest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155,200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150,100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150,100</w:t>
            </w: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w w:val="98"/>
              </w:rPr>
              <w:t>Liability instruments measured at fair value</w:t>
            </w:r>
          </w:p>
        </w:tc>
        <w:tc>
          <w:tcPr>
            <w:tcW w:w="8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5,906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5,906</w:t>
            </w:r>
          </w:p>
        </w:tc>
        <w:tc>
          <w:tcPr>
            <w:tcW w:w="10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67,893</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67,893</w:t>
            </w:r>
          </w:p>
        </w:tc>
      </w:tr>
      <w:tr>
        <w:trPr>
          <w:trHeight w:val="20"/>
        </w:trPr>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161,106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161,106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217,993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217,993</w:t>
            </w:r>
          </w:p>
        </w:tc>
      </w:tr>
      <w:tr>
        <w:trPr>
          <w:trHeight w:val="27"/>
        </w:trPr>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There were no transfers of assets between Level 1 and Level 2 of the fair value measurement hierarchy that occurred during the three months ended June 30, 2021.</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72" w:right="1440" w:bottom="1440" w:gutter="0" w:footer="0" w:header="0"/>
        </w:sectPr>
      </w:pPr>
    </w:p>
    <w:bookmarkStart w:id="391" w:name="page392"/>
    <w:bookmarkEnd w:id="3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Level 3 Disclosures</w:t>
      </w:r>
    </w:p>
    <w:p>
      <w:pPr>
        <w:spacing w:after="0" w:line="78" w:lineRule="exact"/>
        <w:rPr>
          <w:sz w:val="20"/>
          <w:szCs w:val="20"/>
          <w:color w:val="auto"/>
        </w:rPr>
      </w:pPr>
    </w:p>
    <w:p>
      <w:pPr>
        <w:ind w:left="1980" w:right="2040" w:firstLine="294"/>
        <w:spacing w:after="0" w:line="285" w:lineRule="auto"/>
        <w:rPr>
          <w:sz w:val="20"/>
          <w:szCs w:val="20"/>
          <w:color w:val="auto"/>
        </w:rPr>
      </w:pPr>
      <w:r>
        <w:rPr>
          <w:rFonts w:ascii="Arial" w:cs="Arial" w:eastAsia="Arial" w:hAnsi="Arial"/>
          <w:sz w:val="11"/>
          <w:szCs w:val="11"/>
          <w:color w:val="auto"/>
        </w:rPr>
        <w:t>The Company measures its Level 3 liabilities at fair value based on significant inputs not observable in the market, which causes them to be classified as a Level 3 measurement within the fair value hierarchy.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13" w:lineRule="exact"/>
        <w:rPr>
          <w:sz w:val="20"/>
          <w:szCs w:val="20"/>
          <w:color w:val="auto"/>
        </w:rPr>
      </w:pPr>
    </w:p>
    <w:p>
      <w:pPr>
        <w:ind w:left="1980" w:right="2000" w:firstLine="294"/>
        <w:spacing w:after="0" w:line="289" w:lineRule="auto"/>
        <w:rPr>
          <w:sz w:val="20"/>
          <w:szCs w:val="20"/>
          <w:color w:val="auto"/>
        </w:rPr>
      </w:pPr>
      <w:r>
        <w:rPr>
          <w:rFonts w:ascii="Arial" w:cs="Arial" w:eastAsia="Arial" w:hAnsi="Arial"/>
          <w:sz w:val="11"/>
          <w:szCs w:val="11"/>
          <w:color w:val="auto"/>
        </w:rPr>
        <w:t>The fair value of Level 3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11"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The changes in fair value of the Level 3 liabilities during the three months ended June 30, 2021 and 2020 were as follows (in thousands):</w:t>
      </w:r>
    </w:p>
    <w:p>
      <w:pPr>
        <w:spacing w:after="0" w:line="177"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$191,473</w:t>
            </w:r>
          </w:p>
        </w:tc>
        <w:tc>
          <w:tcPr>
            <w:tcW w:w="80" w:type="dxa"/>
            <w:vAlign w:val="bottom"/>
            <w:shd w:val="clear" w:color="auto" w:fill="CCEEFF"/>
          </w:tcPr>
          <w:p>
            <w:pPr>
              <w:spacing w:after="0"/>
              <w:rPr>
                <w:sz w:val="12"/>
                <w:szCs w:val="12"/>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Changes in fair value of debt and liability instruments, included in net loss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17,125</w:t>
            </w: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Liability instruments disposed due to deconsolidation of subsidiary</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(3,325)</w:t>
            </w:r>
          </w:p>
        </w:tc>
      </w:tr>
      <w:tr>
        <w:trPr>
          <w:trHeight w:val="149"/>
        </w:trPr>
        <w:tc>
          <w:tcPr>
            <w:tcW w:w="444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205,273</w:t>
            </w:r>
          </w:p>
        </w:tc>
        <w:tc>
          <w:tcPr>
            <w:tcW w:w="80" w:type="dxa"/>
            <w:vAlign w:val="bottom"/>
          </w:tcPr>
          <w:p>
            <w:pPr>
              <w:spacing w:after="0"/>
              <w:rPr>
                <w:sz w:val="12"/>
                <w:szCs w:val="12"/>
                <w:color w:val="auto"/>
              </w:rPr>
            </w:pPr>
          </w:p>
        </w:tc>
      </w:tr>
      <w:tr>
        <w:trPr>
          <w:trHeight w:val="63"/>
        </w:trPr>
        <w:tc>
          <w:tcPr>
            <w:tcW w:w="4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$217,993</w:t>
            </w:r>
          </w:p>
        </w:tc>
        <w:tc>
          <w:tcPr>
            <w:tcW w:w="80" w:type="dxa"/>
            <w:vAlign w:val="bottom"/>
            <w:shd w:val="clear" w:color="auto" w:fill="CCEEFF"/>
          </w:tcPr>
          <w:p>
            <w:pPr>
              <w:spacing w:after="0"/>
              <w:rPr>
                <w:sz w:val="12"/>
                <w:szCs w:val="12"/>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Changes in fair value of debt and liability instruments, included in net loss</w:t>
            </w:r>
          </w:p>
        </w:tc>
        <w:tc>
          <w:tcPr>
            <w:tcW w:w="460" w:type="dxa"/>
            <w:vAlign w:val="bottom"/>
          </w:tcPr>
          <w:p>
            <w:pPr>
              <w:jc w:val="right"/>
              <w:spacing w:after="0"/>
              <w:rPr>
                <w:sz w:val="20"/>
                <w:szCs w:val="20"/>
                <w:color w:val="auto"/>
              </w:rPr>
            </w:pPr>
            <w:r>
              <w:rPr>
                <w:rFonts w:ascii="Arial" w:cs="Arial" w:eastAsia="Arial" w:hAnsi="Arial"/>
                <w:sz w:val="12"/>
                <w:szCs w:val="12"/>
                <w:color w:val="auto"/>
              </w:rPr>
              <w:t>4,585</w:t>
            </w:r>
          </w:p>
        </w:tc>
        <w:tc>
          <w:tcPr>
            <w:tcW w:w="80" w:type="dxa"/>
            <w:vAlign w:val="bottom"/>
          </w:tcPr>
          <w:p>
            <w:pPr>
              <w:spacing w:after="0"/>
              <w:rPr>
                <w:sz w:val="12"/>
                <w:szCs w:val="12"/>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Termination of DSP Options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(61,472)</w:t>
            </w:r>
          </w:p>
        </w:tc>
      </w:tr>
      <w:tr>
        <w:trPr>
          <w:trHeight w:val="149"/>
        </w:trPr>
        <w:tc>
          <w:tcPr>
            <w:tcW w:w="444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161,106</w:t>
            </w:r>
          </w:p>
        </w:tc>
        <w:tc>
          <w:tcPr>
            <w:tcW w:w="8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Debt issued by Dermavant to NovaQuest</w:t>
      </w:r>
    </w:p>
    <w:p>
      <w:pPr>
        <w:spacing w:after="0" w:line="82" w:lineRule="exact"/>
        <w:rPr>
          <w:sz w:val="20"/>
          <w:szCs w:val="20"/>
          <w:color w:val="auto"/>
        </w:rPr>
      </w:pPr>
    </w:p>
    <w:p>
      <w:pPr>
        <w:ind w:left="1980" w:right="2100" w:firstLine="294"/>
        <w:spacing w:after="0" w:line="256" w:lineRule="auto"/>
        <w:rPr>
          <w:sz w:val="20"/>
          <w:szCs w:val="20"/>
          <w:color w:val="auto"/>
        </w:rPr>
      </w:pPr>
      <w:r>
        <w:rPr>
          <w:rFonts w:ascii="Arial" w:cs="Arial" w:eastAsia="Arial" w:hAnsi="Arial"/>
          <w:sz w:val="12"/>
          <w:szCs w:val="12"/>
          <w:color w:val="auto"/>
        </w:rPr>
        <w:t>The fair value of the debt instrument as of June 30, 2021 and March 31, 2021 represents the fair value of amounts payable to NovaQuest using a Monte Carlo simulation model under the income approach determined by using probability assessments of the expected future payments through 2032 and applying discount rates ranging from 11% to 12%.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Sumitomo Options</w:t>
      </w:r>
    </w:p>
    <w:p>
      <w:pPr>
        <w:spacing w:after="0" w:line="82" w:lineRule="exact"/>
        <w:rPr>
          <w:sz w:val="20"/>
          <w:szCs w:val="20"/>
          <w:color w:val="auto"/>
        </w:rPr>
      </w:pPr>
    </w:p>
    <w:p>
      <w:pPr>
        <w:ind w:left="1980" w:right="2100" w:firstLine="294"/>
        <w:spacing w:after="0" w:line="298" w:lineRule="auto"/>
        <w:rPr>
          <w:sz w:val="20"/>
          <w:szCs w:val="20"/>
          <w:color w:val="auto"/>
        </w:rPr>
      </w:pPr>
      <w:r>
        <w:rPr>
          <w:rFonts w:ascii="Arial" w:cs="Arial" w:eastAsia="Arial" w:hAnsi="Arial"/>
          <w:sz w:val="11"/>
          <w:szCs w:val="11"/>
          <w:color w:val="auto"/>
        </w:rPr>
        <w:t>In June 2021, the Company completed a transaction with Sumitomo pursuant to which the Sumitomo Options were terminated, resulting in the extinguishment of the related liability. As of the termination date, the fair value of the Sumitomo Options was $61.5 million, and as of March 31, 2021, the fair value was $62.4 million. See Note 4, “Sumitomo Transaction Agreement” for additional information.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20" w:type="dxa"/>
            <w:vAlign w:val="bottom"/>
            <w:gridSpan w:val="2"/>
          </w:tcPr>
          <w:p>
            <w:pPr>
              <w:jc w:val="right"/>
              <w:ind w:right="1432"/>
              <w:spacing w:after="0"/>
              <w:rPr>
                <w:sz w:val="20"/>
                <w:szCs w:val="20"/>
                <w:color w:val="auto"/>
              </w:rPr>
            </w:pPr>
            <w:r>
              <w:rPr>
                <w:rFonts w:ascii="Arial" w:cs="Arial" w:eastAsia="Arial" w:hAnsi="Arial"/>
                <w:sz w:val="12"/>
                <w:szCs w:val="12"/>
                <w:color w:val="auto"/>
              </w:rPr>
              <w:t>F-63</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72"/>
        </w:trPr>
        <w:tc>
          <w:tcPr>
            <w:tcW w:w="88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246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r>
      <w:tr>
        <w:trPr>
          <w:trHeight w:val="20"/>
        </w:trPr>
        <w:tc>
          <w:tcPr>
            <w:tcW w:w="8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r>
      <w:tr>
        <w:trPr>
          <w:trHeight w:val="309"/>
        </w:trPr>
        <w:tc>
          <w:tcPr>
            <w:tcW w:w="5320" w:type="dxa"/>
            <w:vAlign w:val="bottom"/>
            <w:gridSpan w:val="3"/>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Table of Contents</w:t>
              </w:r>
            </w:hyperlink>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49"/>
        </w:trPr>
        <w:tc>
          <w:tcPr>
            <w:tcW w:w="880" w:type="dxa"/>
            <w:vAlign w:val="bottom"/>
            <w:tcBorders>
              <w:top w:val="single" w:sz="8" w:color="0000EE"/>
            </w:tcBorders>
          </w:tcPr>
          <w:p>
            <w:pPr>
              <w:spacing w:after="0"/>
              <w:rPr>
                <w:sz w:val="24"/>
                <w:szCs w:val="24"/>
                <w:color w:val="auto"/>
              </w:rPr>
            </w:pPr>
          </w:p>
        </w:tc>
        <w:tc>
          <w:tcPr>
            <w:tcW w:w="4440" w:type="dxa"/>
            <w:vAlign w:val="bottom"/>
            <w:gridSpan w:val="2"/>
          </w:tcPr>
          <w:p>
            <w:pPr>
              <w:ind w:left="1100"/>
              <w:spacing w:after="0"/>
              <w:rPr>
                <w:sz w:val="20"/>
                <w:szCs w:val="20"/>
                <w:color w:val="auto"/>
              </w:rPr>
            </w:pPr>
            <w:r>
              <w:rPr>
                <w:rFonts w:ascii="Arial" w:cs="Arial" w:eastAsia="Arial" w:hAnsi="Arial"/>
                <w:sz w:val="12"/>
                <w:szCs w:val="12"/>
                <w:b w:val="1"/>
                <w:bCs w:val="1"/>
                <w:color w:val="auto"/>
              </w:rPr>
              <w:t>Note 12—Other (Income) Expense, Net</w:t>
            </w: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4440" w:type="dxa"/>
            <w:vAlign w:val="bottom"/>
            <w:gridSpan w:val="2"/>
          </w:tcPr>
          <w:p>
            <w:pPr>
              <w:ind w:left="1380"/>
              <w:spacing w:after="0"/>
              <w:rPr>
                <w:sz w:val="20"/>
                <w:szCs w:val="20"/>
                <w:color w:val="auto"/>
              </w:rPr>
            </w:pPr>
            <w:r>
              <w:rPr>
                <w:rFonts w:ascii="Arial" w:cs="Arial" w:eastAsia="Arial" w:hAnsi="Arial"/>
                <w:sz w:val="12"/>
                <w:szCs w:val="12"/>
                <w:color w:val="auto"/>
                <w:w w:val="96"/>
              </w:rPr>
              <w:t>Other (income) expense, net was as follows (in thousands):</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47"/>
        </w:trPr>
        <w:tc>
          <w:tcPr>
            <w:tcW w:w="8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80" w:type="dxa"/>
            <w:vAlign w:val="bottom"/>
            <w:gridSpan w:val="6"/>
          </w:tcPr>
          <w:p>
            <w:pPr>
              <w:jc w:val="center"/>
              <w:ind w:right="3020"/>
              <w:spacing w:after="0"/>
              <w:rPr>
                <w:sz w:val="20"/>
                <w:szCs w:val="20"/>
                <w:color w:val="auto"/>
              </w:rPr>
            </w:pPr>
            <w:r>
              <w:rPr>
                <w:rFonts w:ascii="Arial" w:cs="Arial" w:eastAsia="Arial" w:hAnsi="Arial"/>
                <w:sz w:val="10"/>
                <w:szCs w:val="10"/>
                <w:b w:val="1"/>
                <w:bCs w:val="1"/>
                <w:color w:val="auto"/>
                <w:w w:val="86"/>
              </w:rPr>
              <w:t>Three Months Ended</w:t>
            </w:r>
          </w:p>
        </w:tc>
      </w:tr>
      <w:tr>
        <w:trPr>
          <w:trHeight w:val="113"/>
        </w:trPr>
        <w:tc>
          <w:tcPr>
            <w:tcW w:w="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720" w:type="dxa"/>
            <w:vAlign w:val="bottom"/>
            <w:gridSpan w:val="4"/>
          </w:tcPr>
          <w:p>
            <w:pPr>
              <w:jc w:val="center"/>
              <w:ind w:right="3380"/>
              <w:spacing w:after="0" w:line="114" w:lineRule="exact"/>
              <w:rPr>
                <w:sz w:val="20"/>
                <w:szCs w:val="20"/>
                <w:color w:val="auto"/>
              </w:rPr>
            </w:pPr>
            <w:r>
              <w:rPr>
                <w:rFonts w:ascii="Arial" w:cs="Arial" w:eastAsia="Arial" w:hAnsi="Arial"/>
                <w:sz w:val="10"/>
                <w:szCs w:val="10"/>
                <w:b w:val="1"/>
                <w:bCs w:val="1"/>
                <w:color w:val="auto"/>
                <w:w w:val="84"/>
              </w:rPr>
              <w:t>June 30,</w:t>
            </w:r>
          </w:p>
        </w:tc>
      </w:tr>
      <w:tr>
        <w:trPr>
          <w:trHeight w:val="97"/>
        </w:trPr>
        <w:tc>
          <w:tcPr>
            <w:tcW w:w="8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3"/>
              <w:spacing w:after="0" w:line="97" w:lineRule="exact"/>
              <w:rPr>
                <w:sz w:val="20"/>
                <w:szCs w:val="20"/>
                <w:color w:val="auto"/>
              </w:rPr>
            </w:pPr>
            <w:r>
              <w:rPr>
                <w:rFonts w:ascii="Arial" w:cs="Arial" w:eastAsia="Arial" w:hAnsi="Arial"/>
                <w:sz w:val="10"/>
                <w:szCs w:val="10"/>
                <w:b w:val="1"/>
                <w:bCs w:val="1"/>
                <w:color w:val="auto"/>
                <w:w w:val="89"/>
              </w:rPr>
              <w:t>2021</w:t>
            </w:r>
          </w:p>
        </w:tc>
        <w:tc>
          <w:tcPr>
            <w:tcW w:w="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8"/>
                <w:szCs w:val="8"/>
                <w:color w:val="auto"/>
              </w:rPr>
            </w:pPr>
          </w:p>
        </w:tc>
        <w:tc>
          <w:tcPr>
            <w:tcW w:w="2880" w:type="dxa"/>
            <w:vAlign w:val="bottom"/>
          </w:tcPr>
          <w:p>
            <w:pPr>
              <w:spacing w:after="0"/>
              <w:rPr>
                <w:sz w:val="8"/>
                <w:szCs w:val="8"/>
                <w:color w:val="auto"/>
              </w:rPr>
            </w:pPr>
          </w:p>
        </w:tc>
      </w:tr>
      <w:tr>
        <w:trPr>
          <w:trHeight w:val="133"/>
        </w:trPr>
        <w:tc>
          <w:tcPr>
            <w:tcW w:w="8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from equity method investment</w:t>
            </w:r>
          </w:p>
        </w:tc>
        <w:tc>
          <w:tcPr>
            <w:tcW w:w="19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$ 3,750</w:t>
            </w:r>
          </w:p>
        </w:tc>
        <w:tc>
          <w:tcPr>
            <w:tcW w:w="2880" w:type="dxa"/>
            <w:vAlign w:val="bottom"/>
          </w:tcPr>
          <w:p>
            <w:pPr>
              <w:spacing w:after="0"/>
              <w:rPr>
                <w:sz w:val="11"/>
                <w:szCs w:val="11"/>
                <w:color w:val="auto"/>
              </w:rPr>
            </w:pPr>
          </w:p>
        </w:tc>
      </w:tr>
      <w:tr>
        <w:trPr>
          <w:trHeight w:val="144"/>
        </w:trPr>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Interest income</w:t>
            </w: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(71)</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(621)</w:t>
            </w:r>
          </w:p>
        </w:tc>
        <w:tc>
          <w:tcPr>
            <w:tcW w:w="288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2,513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791</w:t>
            </w:r>
          </w:p>
        </w:tc>
        <w:tc>
          <w:tcPr>
            <w:tcW w:w="288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Other income</w:t>
            </w: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89"/>
              </w:rPr>
              <w:t>(2,576)</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color w:val="auto"/>
              </w:rPr>
              <w:t>(1,078)</w:t>
            </w:r>
          </w:p>
        </w:tc>
        <w:tc>
          <w:tcPr>
            <w:tcW w:w="2880" w:type="dxa"/>
            <w:vAlign w:val="bottom"/>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42"/>
        </w:trPr>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$ 2,842</w:t>
            </w:r>
          </w:p>
        </w:tc>
        <w:tc>
          <w:tcPr>
            <w:tcW w:w="2880" w:type="dxa"/>
            <w:vAlign w:val="bottom"/>
          </w:tcPr>
          <w:p>
            <w:pPr>
              <w:spacing w:after="0"/>
              <w:rPr>
                <w:sz w:val="12"/>
                <w:szCs w:val="12"/>
                <w:color w:val="auto"/>
              </w:rPr>
            </w:pPr>
          </w:p>
        </w:tc>
      </w:tr>
      <w:tr>
        <w:trPr>
          <w:trHeight w:val="27"/>
        </w:trPr>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-1412240</wp:posOffset>
            </wp:positionV>
            <wp:extent cx="31115" cy="539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1115" cy="539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-1412240</wp:posOffset>
            </wp:positionV>
            <wp:extent cx="31115" cy="539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1115" cy="53975"/>
                    </a:xfrm>
                    <a:prstGeom prst="rect">
                      <a:avLst/>
                    </a:prstGeom>
                    <a:noFill/>
                  </pic:spPr>
                </pic:pic>
              </a:graphicData>
            </a:graphic>
          </wp:anchor>
        </w:drawing>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13—Net Loss per Common Share</w:t>
      </w:r>
    </w:p>
    <w:p>
      <w:pPr>
        <w:spacing w:after="0" w:line="82" w:lineRule="exact"/>
        <w:rPr>
          <w:sz w:val="20"/>
          <w:szCs w:val="20"/>
          <w:color w:val="auto"/>
        </w:rPr>
      </w:pPr>
    </w:p>
    <w:p>
      <w:pPr>
        <w:ind w:left="1980" w:right="2140" w:firstLine="294"/>
        <w:spacing w:after="0" w:line="263" w:lineRule="auto"/>
        <w:rPr>
          <w:sz w:val="20"/>
          <w:szCs w:val="20"/>
          <w:color w:val="auto"/>
        </w:rPr>
      </w:pPr>
      <w:r>
        <w:rPr>
          <w:rFonts w:ascii="Arial" w:cs="Arial" w:eastAsia="Arial" w:hAnsi="Arial"/>
          <w:sz w:val="12"/>
          <w:szCs w:val="12"/>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pacing w:after="0" w:line="122" w:lineRule="exact"/>
        <w:rPr>
          <w:sz w:val="20"/>
          <w:szCs w:val="20"/>
          <w:color w:val="auto"/>
        </w:rPr>
      </w:pPr>
    </w:p>
    <w:p>
      <w:pPr>
        <w:ind w:left="1980" w:right="2040" w:firstLine="294"/>
        <w:spacing w:after="0" w:line="259" w:lineRule="auto"/>
        <w:rPr>
          <w:sz w:val="20"/>
          <w:szCs w:val="20"/>
          <w:color w:val="auto"/>
        </w:rPr>
      </w:pPr>
      <w:r>
        <w:rPr>
          <w:rFonts w:ascii="Arial" w:cs="Arial" w:eastAsia="Arial" w:hAnsi="Arial"/>
          <w:sz w:val="12"/>
          <w:szCs w:val="12"/>
          <w:color w:val="auto"/>
        </w:rPr>
        <w:t>For periods of loss, diluted loss per share is calculated similar to basic loss per share as the effect of including all potentially dilutive common share equivalents is anti-dilutive. All outstanding common stock equivalents have been excluded from the computation of diluted loss per share because their effect was anti-dilutive due to the net loss. Refer to Note 8, “Share-Based Compensation” and Note 4, “Sumitomo Transaction Agreement” for additional detail regarding outstanding common stock equivalents.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14—Subsequent Events</w:t>
      </w:r>
    </w:p>
    <w:p>
      <w:pPr>
        <w:spacing w:after="0" w:line="82"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Proteovant</w:t>
      </w:r>
    </w:p>
    <w:p>
      <w:pPr>
        <w:spacing w:after="0" w:line="78" w:lineRule="exact"/>
        <w:rPr>
          <w:sz w:val="20"/>
          <w:szCs w:val="20"/>
          <w:color w:val="auto"/>
        </w:rPr>
      </w:pPr>
    </w:p>
    <w:p>
      <w:pPr>
        <w:ind w:left="1980" w:right="2180" w:firstLine="294"/>
        <w:spacing w:after="0" w:line="256" w:lineRule="auto"/>
        <w:rPr>
          <w:sz w:val="20"/>
          <w:szCs w:val="20"/>
          <w:color w:val="auto"/>
        </w:rPr>
      </w:pPr>
      <w:r>
        <w:rPr>
          <w:rFonts w:ascii="Arial" w:cs="Arial" w:eastAsia="Arial" w:hAnsi="Arial"/>
          <w:sz w:val="12"/>
          <w:szCs w:val="12"/>
          <w:color w:val="auto"/>
        </w:rPr>
        <w:t>In July 2021, Proteovant Sciences, Inc. (“Proteovant”) received the second $100.0 million payment due under a subscription agreement entered into with SK, Inc. (“SK”) in December 2020 pursuant to which SK agreed to make a $200.0 million equity investment in Proteovant, representing an ownership interest of 40.0% on the closing date. The second $100.0 million payment was classified as a subscription receivable in the accompanying condensed consolidated balance sheets and condensed consolidated statements of shareholders’ equity and redeemable noncontrolling interest as of June 30, 2021.</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Datavant</w:t>
      </w:r>
    </w:p>
    <w:p>
      <w:pPr>
        <w:spacing w:after="0" w:line="78" w:lineRule="exact"/>
        <w:rPr>
          <w:sz w:val="20"/>
          <w:szCs w:val="20"/>
          <w:color w:val="auto"/>
        </w:rPr>
      </w:pPr>
    </w:p>
    <w:p>
      <w:pPr>
        <w:ind w:left="1980" w:right="2180" w:firstLine="294"/>
        <w:spacing w:after="0" w:line="276" w:lineRule="auto"/>
        <w:rPr>
          <w:sz w:val="20"/>
          <w:szCs w:val="20"/>
          <w:color w:val="auto"/>
        </w:rPr>
      </w:pPr>
      <w:r>
        <w:rPr>
          <w:rFonts w:ascii="Arial" w:cs="Arial" w:eastAsia="Arial" w:hAnsi="Arial"/>
          <w:sz w:val="12"/>
          <w:szCs w:val="12"/>
          <w:color w:val="auto"/>
        </w:rPr>
        <w:t>In July 2021, Datavant closed its merger with CIOX Health, LLC. At closing, RSL received approximately $320 million in cash and a minority equity stake in the combined company.</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1320"/>
          </w:cols>
          <w:pgMar w:left="300" w:top="372" w:right="279" w:bottom="1440" w:gutter="0" w:footer="0" w:header="0"/>
        </w:sectPr>
      </w:pPr>
    </w:p>
    <w:bookmarkStart w:id="392" w:name="page393"/>
    <w:bookmarkEnd w:id="3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Stockholders and Board of Directors of</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Montes Archimedes Acquisition Corp.</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Opinion on the Financial Statements</w:t>
      </w:r>
    </w:p>
    <w:p>
      <w:pPr>
        <w:spacing w:after="0" w:line="82"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 have audited the accompanying balance sheet of Montes Archimedes Acquisition Corp. (the “Company”) as of December 31, 2020, the related statements of operations, changes in stockholders’ equity and cash flows for the period from July 6,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6, 2020 (inception) through December 31, 2020, in conformity with accounting principles generally accepted in the United States of America.</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Restatement of the 2020 Financial Statements</w:t>
      </w:r>
    </w:p>
    <w:p>
      <w:pPr>
        <w:spacing w:after="0" w:line="82"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discussed in Note 2 to the financial statements, the accompanying financial statements as of December 31, 2020 and for period from July 6, 2020 (inception) through December 31, 2020, have been restated.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Basis for Opinion</w:t>
      </w:r>
    </w:p>
    <w:p>
      <w:pPr>
        <w:spacing w:after="0" w:line="82"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8"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/s/ Marcum </w:t>
      </w:r>
      <w:r>
        <w:rPr>
          <w:rFonts w:ascii="Arial" w:cs="Arial" w:eastAsia="Arial" w:hAnsi="Arial"/>
          <w:sz w:val="9"/>
          <w:szCs w:val="9"/>
          <w:color w:val="auto"/>
        </w:rPr>
        <w:t>LLP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Marcum </w:t>
      </w:r>
      <w:r>
        <w:rPr>
          <w:rFonts w:ascii="Arial" w:cs="Arial" w:eastAsia="Arial" w:hAnsi="Arial"/>
          <w:sz w:val="9"/>
          <w:szCs w:val="9"/>
          <w:color w:val="auto"/>
        </w:rPr>
        <w:t>LLP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Houston, Texas</w:t>
      </w:r>
    </w:p>
    <w:p>
      <w:pPr>
        <w:spacing w:after="0" w:line="15" w:lineRule="exact"/>
        <w:rPr>
          <w:sz w:val="20"/>
          <w:szCs w:val="20"/>
          <w:color w:val="auto"/>
        </w:rPr>
      </w:pPr>
    </w:p>
    <w:p>
      <w:pPr>
        <w:ind w:left="1980" w:right="879"/>
        <w:spacing w:after="0" w:line="260" w:lineRule="auto"/>
        <w:rPr>
          <w:sz w:val="20"/>
          <w:szCs w:val="20"/>
          <w:color w:val="auto"/>
        </w:rPr>
      </w:pPr>
      <w:r>
        <w:rPr>
          <w:rFonts w:ascii="Arial" w:cs="Arial" w:eastAsia="Arial" w:hAnsi="Arial"/>
          <w:sz w:val="12"/>
          <w:szCs w:val="12"/>
          <w:color w:val="auto"/>
        </w:rPr>
        <w:t>March 22, 2021 except for the effects of the restatement discussed in Note 2 and subsequent events discussed in Note 11 as to which the date is May 13, 2021</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72" w:right="1440" w:bottom="1440" w:gutter="0" w:footer="0" w:header="0"/>
        </w:sectPr>
      </w:pPr>
    </w:p>
    <w:bookmarkStart w:id="393" w:name="page394"/>
    <w:bookmarkEnd w:id="3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6520" w:type="dxa"/>
            <w:vAlign w:val="bottom"/>
          </w:tcPr>
          <w:p>
            <w:pPr>
              <w:jc w:val="center"/>
              <w:ind w:left="760"/>
              <w:spacing w:after="0"/>
              <w:rPr>
                <w:sz w:val="20"/>
                <w:szCs w:val="20"/>
                <w:color w:val="auto"/>
              </w:rPr>
            </w:pPr>
            <w:r>
              <w:rPr>
                <w:rFonts w:ascii="Arial" w:cs="Arial" w:eastAsia="Arial" w:hAnsi="Arial"/>
                <w:sz w:val="12"/>
                <w:szCs w:val="12"/>
                <w:b w:val="1"/>
                <w:bCs w:val="1"/>
                <w:color w:val="auto"/>
              </w:rPr>
              <w:t>MONTES ARCHIMEDES ACQUISITION CORP.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6520" w:type="dxa"/>
            <w:vAlign w:val="bottom"/>
          </w:tcPr>
          <w:p>
            <w:pPr>
              <w:jc w:val="center"/>
              <w:ind w:left="760"/>
              <w:spacing w:after="0"/>
              <w:rPr>
                <w:sz w:val="20"/>
                <w:szCs w:val="20"/>
                <w:color w:val="auto"/>
              </w:rPr>
            </w:pPr>
            <w:r>
              <w:rPr>
                <w:rFonts w:ascii="Arial" w:cs="Arial" w:eastAsia="Arial" w:hAnsi="Arial"/>
                <w:sz w:val="12"/>
                <w:szCs w:val="12"/>
                <w:b w:val="1"/>
                <w:bCs w:val="1"/>
                <w:color w:val="auto"/>
                <w:w w:val="99"/>
              </w:rPr>
              <w:t>BALANCE SHEET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75"/>
        </w:trPr>
        <w:tc>
          <w:tcPr>
            <w:tcW w:w="6520" w:type="dxa"/>
            <w:vAlign w:val="bottom"/>
          </w:tcPr>
          <w:p>
            <w:pPr>
              <w:jc w:val="center"/>
              <w:ind w:left="740"/>
              <w:spacing w:after="0"/>
              <w:rPr>
                <w:sz w:val="20"/>
                <w:szCs w:val="20"/>
                <w:color w:val="auto"/>
              </w:rPr>
            </w:pPr>
            <w:r>
              <w:rPr>
                <w:rFonts w:ascii="Arial" w:cs="Arial" w:eastAsia="Arial" w:hAnsi="Arial"/>
                <w:sz w:val="12"/>
                <w:szCs w:val="12"/>
                <w:b w:val="1"/>
                <w:bCs w:val="1"/>
                <w:color w:val="auto"/>
                <w:w w:val="88"/>
              </w:rPr>
              <w:t>December 31, 2020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57"/>
        </w:trPr>
        <w:tc>
          <w:tcPr>
            <w:tcW w:w="6520" w:type="dxa"/>
            <w:vAlign w:val="bottom"/>
          </w:tcPr>
          <w:p>
            <w:pPr>
              <w:jc w:val="center"/>
              <w:ind w:left="760"/>
              <w:spacing w:after="0"/>
              <w:rPr>
                <w:sz w:val="20"/>
                <w:szCs w:val="20"/>
                <w:color w:val="auto"/>
              </w:rPr>
            </w:pPr>
            <w:r>
              <w:rPr>
                <w:rFonts w:ascii="Arial" w:cs="Arial" w:eastAsia="Arial" w:hAnsi="Arial"/>
                <w:sz w:val="12"/>
                <w:szCs w:val="12"/>
                <w:b w:val="1"/>
                <w:bCs w:val="1"/>
                <w:color w:val="auto"/>
                <w:w w:val="89"/>
              </w:rPr>
              <w:t>(Restated—See Note 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1,696,491</w:t>
            </w: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276,093</w:t>
            </w: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Due from underwriters</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2"/>
        </w:trPr>
        <w:tc>
          <w:tcPr>
            <w:tcW w:w="652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1,977,461</w:t>
            </w: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Marketable Securities held in Trust Account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2"/>
              </w:rPr>
              <w:t>410,803,411</w:t>
            </w:r>
          </w:p>
        </w:tc>
        <w:tc>
          <w:tcPr>
            <w:tcW w:w="60" w:type="dxa"/>
            <w:vAlign w:val="bottom"/>
            <w:shd w:val="clear" w:color="auto" w:fill="CCEEFF"/>
          </w:tcPr>
          <w:p>
            <w:pPr>
              <w:spacing w:after="0"/>
              <w:rPr>
                <w:sz w:val="12"/>
                <w:szCs w:val="12"/>
                <w:color w:val="auto"/>
              </w:rPr>
            </w:pPr>
          </w:p>
        </w:tc>
      </w:tr>
      <w:tr>
        <w:trPr>
          <w:trHeight w:val="153"/>
        </w:trPr>
        <w:tc>
          <w:tcPr>
            <w:tcW w:w="652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412,780,872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207,029</w:t>
            </w: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240,402</w:t>
            </w: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income tax</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16,709</w:t>
            </w:r>
          </w:p>
        </w:tc>
      </w:tr>
      <w:tr>
        <w:trPr>
          <w:trHeight w:val="144"/>
        </w:trPr>
        <w:tc>
          <w:tcPr>
            <w:tcW w:w="6520" w:type="dxa"/>
            <w:vAlign w:val="bottom"/>
          </w:tcPr>
          <w:p>
            <w:pPr>
              <w:ind w:left="240"/>
              <w:spacing w:after="0"/>
              <w:rPr>
                <w:sz w:val="20"/>
                <w:szCs w:val="20"/>
                <w:color w:val="auto"/>
              </w:rPr>
            </w:pPr>
            <w:r>
              <w:rPr>
                <w:rFonts w:ascii="Arial" w:cs="Arial" w:eastAsia="Arial" w:hAnsi="Arial"/>
                <w:sz w:val="12"/>
                <w:szCs w:val="12"/>
                <w:color w:val="auto"/>
              </w:rPr>
              <w:t>Franchise tax payable</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88,583</w:t>
            </w:r>
          </w:p>
        </w:tc>
        <w:tc>
          <w:tcPr>
            <w:tcW w:w="80" w:type="dxa"/>
            <w:vAlign w:val="bottom"/>
            <w:gridSpan w:val="2"/>
          </w:tcPr>
          <w:p>
            <w:pPr>
              <w:spacing w:after="0"/>
              <w:rPr>
                <w:sz w:val="12"/>
                <w:szCs w:val="12"/>
                <w:color w:val="auto"/>
              </w:rPr>
            </w:pPr>
          </w:p>
        </w:tc>
      </w:tr>
      <w:tr>
        <w:trPr>
          <w:trHeight w:val="142"/>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liabilities</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552,723</w:t>
            </w: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Derivative warrant liability</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49,097,230</w:t>
            </w: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Deferred underwriting commissions</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14,375,138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3"/>
        </w:trPr>
        <w:tc>
          <w:tcPr>
            <w:tcW w:w="6520" w:type="dxa"/>
            <w:vAlign w:val="bottom"/>
          </w:tcPr>
          <w:p>
            <w:pPr>
              <w:spacing w:after="0"/>
              <w:rPr>
                <w:sz w:val="20"/>
                <w:szCs w:val="20"/>
                <w:color w:val="auto"/>
              </w:rPr>
            </w:pPr>
            <w:r>
              <w:rPr>
                <w:rFonts w:ascii="Arial" w:cs="Arial" w:eastAsia="Arial" w:hAnsi="Arial"/>
                <w:sz w:val="12"/>
                <w:szCs w:val="12"/>
                <w:b w:val="1"/>
                <w:bCs w:val="1"/>
                <w:color w:val="auto"/>
              </w:rPr>
              <w:t>Total liabilities</w:t>
            </w: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64,025,091</w:t>
            </w:r>
          </w:p>
        </w:tc>
        <w:tc>
          <w:tcPr>
            <w:tcW w:w="60" w:type="dxa"/>
            <w:vAlign w:val="bottom"/>
          </w:tcPr>
          <w:p>
            <w:pPr>
              <w:spacing w:after="0"/>
              <w:rPr>
                <w:sz w:val="13"/>
                <w:szCs w:val="13"/>
                <w:color w:val="auto"/>
              </w:rPr>
            </w:pPr>
          </w:p>
        </w:tc>
      </w:tr>
      <w:tr>
        <w:trPr>
          <w:trHeight w:val="148"/>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3"/>
        </w:trPr>
        <w:tc>
          <w:tcPr>
            <w:tcW w:w="6520" w:type="dxa"/>
            <w:vAlign w:val="bottom"/>
          </w:tcPr>
          <w:p>
            <w:pPr>
              <w:spacing w:after="0"/>
              <w:rPr>
                <w:sz w:val="20"/>
                <w:szCs w:val="20"/>
                <w:color w:val="auto"/>
              </w:rPr>
            </w:pPr>
            <w:r>
              <w:rPr>
                <w:rFonts w:ascii="Arial" w:cs="Arial" w:eastAsia="Arial" w:hAnsi="Arial"/>
                <w:sz w:val="12"/>
                <w:szCs w:val="12"/>
                <w:color w:val="auto"/>
              </w:rPr>
              <w:t>Class A common stock, $0.0001 par value; 34,375,578 shares subject to possible redemption at $10.00 per share</w:t>
            </w: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343,755,780</w:t>
            </w:r>
          </w:p>
        </w:tc>
        <w:tc>
          <w:tcPr>
            <w:tcW w:w="60" w:type="dxa"/>
            <w:vAlign w:val="bottom"/>
          </w:tcPr>
          <w:p>
            <w:pPr>
              <w:spacing w:after="0"/>
              <w:rPr>
                <w:sz w:val="13"/>
                <w:szCs w:val="13"/>
                <w:color w:val="auto"/>
              </w:rPr>
            </w:pPr>
          </w:p>
        </w:tc>
      </w:tr>
      <w:tr>
        <w:trPr>
          <w:trHeight w:val="63"/>
        </w:trPr>
        <w:tc>
          <w:tcPr>
            <w:tcW w:w="6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Preferred stock, $0.0001 par value; 1,000,000 shares authorized; none issued and outstanding</w:t>
            </w:r>
          </w:p>
        </w:tc>
        <w:tc>
          <w:tcPr>
            <w:tcW w:w="10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65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Class A common stock, $0.0001 par value; 400,000,000 shares authorized; 6,696,245 shares issued and outstanding (excluding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34,375,578 shares subject to possible redemption)</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670</w:t>
            </w:r>
          </w:p>
        </w:tc>
        <w:tc>
          <w:tcPr>
            <w:tcW w:w="60" w:type="dxa"/>
            <w:vAlign w:val="bottom"/>
            <w:shd w:val="clear" w:color="auto" w:fill="CCEEFF"/>
          </w:tcPr>
          <w:p>
            <w:pPr>
              <w:spacing w:after="0"/>
              <w:rPr>
                <w:sz w:val="13"/>
                <w:szCs w:val="13"/>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Class B common stock, $0.0001 par value; 40,000,000 shares authorized; 10,267,956 shares issued and outstanding</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1,027</w:t>
            </w:r>
          </w:p>
        </w:tc>
        <w:tc>
          <w:tcPr>
            <w:tcW w:w="60" w:type="dxa"/>
            <w:vAlign w:val="bottom"/>
          </w:tcPr>
          <w:p>
            <w:pPr>
              <w:spacing w:after="0"/>
              <w:rPr>
                <w:sz w:val="12"/>
                <w:szCs w:val="12"/>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15,772,622</w:t>
            </w:r>
          </w:p>
        </w:tc>
        <w:tc>
          <w:tcPr>
            <w:tcW w:w="6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w w:val="96"/>
              </w:rPr>
              <w:t>(10,774,318)</w:t>
            </w:r>
          </w:p>
        </w:tc>
      </w:tr>
      <w:tr>
        <w:trPr>
          <w:trHeight w:val="142"/>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5,000,001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52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412,780,872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F-66</w:t>
      </w:r>
    </w:p>
    <w:p>
      <w:pPr>
        <w:sectPr>
          <w:pgSz w:w="11900" w:h="16838" w:orient="portrait"/>
          <w:cols w:equalWidth="0" w:num="1">
            <w:col w:w="10159"/>
          </w:cols>
          <w:pgMar w:left="300" w:top="372" w:right="1440" w:bottom="1440" w:gutter="0" w:footer="0" w:header="0"/>
        </w:sectPr>
      </w:pPr>
    </w:p>
    <w:bookmarkStart w:id="394" w:name="page395"/>
    <w:bookmarkEnd w:id="3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OPERATIONS</w:t>
      </w:r>
    </w:p>
    <w:p>
      <w:pPr>
        <w:spacing w:after="0" w:line="13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Period From July 6, 2020 (Inception) Through December 31, 2020</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(Restated—See Note 2)</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338,227</w:t>
            </w:r>
          </w:p>
        </w:tc>
      </w:tr>
      <w:tr>
        <w:trPr>
          <w:trHeight w:val="144"/>
        </w:trPr>
        <w:tc>
          <w:tcPr>
            <w:tcW w:w="5700" w:type="dxa"/>
            <w:vAlign w:val="bottom"/>
          </w:tcPr>
          <w:p>
            <w:pPr>
              <w:spacing w:after="0"/>
              <w:rPr>
                <w:sz w:val="20"/>
                <w:szCs w:val="20"/>
                <w:color w:val="auto"/>
              </w:rPr>
            </w:pPr>
            <w:r>
              <w:rPr>
                <w:rFonts w:ascii="Arial" w:cs="Arial" w:eastAsia="Arial" w:hAnsi="Arial"/>
                <w:sz w:val="12"/>
                <w:szCs w:val="12"/>
                <w:color w:val="auto"/>
              </w:rPr>
              <w:t>Administrative expenses—related party</w:t>
            </w:r>
          </w:p>
        </w:tc>
        <w:tc>
          <w:tcPr>
            <w:tcW w:w="92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28,065</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Franchise tax expense</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88,583</w:t>
            </w:r>
          </w:p>
        </w:tc>
      </w:tr>
      <w:tr>
        <w:trPr>
          <w:trHeight w:val="144"/>
        </w:trPr>
        <w:tc>
          <w:tcPr>
            <w:tcW w:w="5700" w:type="dxa"/>
            <w:vAlign w:val="bottom"/>
          </w:tcPr>
          <w:p>
            <w:pPr>
              <w:ind w:left="240"/>
              <w:spacing w:after="0"/>
              <w:rPr>
                <w:sz w:val="20"/>
                <w:szCs w:val="20"/>
                <w:color w:val="auto"/>
              </w:rPr>
            </w:pPr>
            <w:r>
              <w:rPr>
                <w:rFonts w:ascii="Arial" w:cs="Arial" w:eastAsia="Arial" w:hAnsi="Arial"/>
                <w:sz w:val="12"/>
                <w:szCs w:val="12"/>
                <w:b w:val="1"/>
                <w:bCs w:val="1"/>
                <w:color w:val="auto"/>
              </w:rPr>
              <w:t>Loss from operations</w:t>
            </w: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(454,875)</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Other Income:</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4"/>
        </w:trPr>
        <w:tc>
          <w:tcPr>
            <w:tcW w:w="5700" w:type="dxa"/>
            <w:vAlign w:val="bottom"/>
          </w:tcPr>
          <w:p>
            <w:pPr>
              <w:spacing w:after="0"/>
              <w:rPr>
                <w:sz w:val="20"/>
                <w:szCs w:val="20"/>
                <w:color w:val="auto"/>
              </w:rPr>
            </w:pPr>
            <w:r>
              <w:rPr>
                <w:rFonts w:ascii="Arial" w:cs="Arial" w:eastAsia="Arial" w:hAnsi="Arial"/>
                <w:sz w:val="12"/>
                <w:szCs w:val="12"/>
                <w:color w:val="auto"/>
              </w:rPr>
              <w:t>Change in fair value of derivative warrant liability</w:t>
            </w:r>
          </w:p>
        </w:tc>
        <w:tc>
          <w:tcPr>
            <w:tcW w:w="9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(3,587,890)</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Financing costs—derivative warrant liability</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(6,800,025)</w:t>
            </w:r>
          </w:p>
        </w:tc>
      </w:tr>
      <w:tr>
        <w:trPr>
          <w:trHeight w:val="144"/>
        </w:trPr>
        <w:tc>
          <w:tcPr>
            <w:tcW w:w="5700" w:type="dxa"/>
            <w:vAlign w:val="bottom"/>
          </w:tcPr>
          <w:p>
            <w:pPr>
              <w:spacing w:after="0"/>
              <w:rPr>
                <w:sz w:val="20"/>
                <w:szCs w:val="20"/>
                <w:color w:val="auto"/>
              </w:rPr>
            </w:pPr>
            <w:r>
              <w:rPr>
                <w:rFonts w:ascii="Arial" w:cs="Arial" w:eastAsia="Arial" w:hAnsi="Arial"/>
                <w:sz w:val="12"/>
                <w:szCs w:val="12"/>
                <w:color w:val="auto"/>
              </w:rPr>
              <w:t>Interest earned on marketable securities held in Trust Account</w:t>
            </w:r>
          </w:p>
        </w:tc>
        <w:tc>
          <w:tcPr>
            <w:tcW w:w="92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79,568</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Unrealized gain on marketable securities held in Trust Account</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5,613</w:t>
            </w:r>
          </w:p>
        </w:tc>
      </w:tr>
      <w:tr>
        <w:trPr>
          <w:trHeight w:val="144"/>
        </w:trPr>
        <w:tc>
          <w:tcPr>
            <w:tcW w:w="5700" w:type="dxa"/>
            <w:vAlign w:val="bottom"/>
          </w:tcPr>
          <w:p>
            <w:pPr>
              <w:ind w:left="240"/>
              <w:spacing w:after="0"/>
              <w:rPr>
                <w:sz w:val="20"/>
                <w:szCs w:val="20"/>
                <w:color w:val="auto"/>
              </w:rPr>
            </w:pPr>
            <w:r>
              <w:rPr>
                <w:rFonts w:ascii="Arial" w:cs="Arial" w:eastAsia="Arial" w:hAnsi="Arial"/>
                <w:sz w:val="12"/>
                <w:szCs w:val="12"/>
                <w:b w:val="1"/>
                <w:bCs w:val="1"/>
                <w:color w:val="auto"/>
              </w:rPr>
              <w:t>Net loss before taxes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w w:val="93"/>
              </w:rPr>
              <w:t>(10,757,609)</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16,709</w:t>
            </w:r>
          </w:p>
        </w:tc>
      </w:tr>
      <w:tr>
        <w:trPr>
          <w:trHeight w:val="144"/>
        </w:trPr>
        <w:tc>
          <w:tcPr>
            <w:tcW w:w="5700" w:type="dxa"/>
            <w:vAlign w:val="bottom"/>
          </w:tcPr>
          <w:p>
            <w:pPr>
              <w:ind w:left="240"/>
              <w:spacing w:after="0"/>
              <w:rPr>
                <w:sz w:val="20"/>
                <w:szCs w:val="20"/>
                <w:color w:val="auto"/>
              </w:rPr>
            </w:pPr>
            <w:r>
              <w:rPr>
                <w:rFonts w:ascii="Arial" w:cs="Arial" w:eastAsia="Arial" w:hAnsi="Arial"/>
                <w:sz w:val="12"/>
                <w:szCs w:val="12"/>
                <w:b w:val="1"/>
                <w:bCs w:val="1"/>
                <w:color w:val="auto"/>
              </w:rPr>
              <w:t>Net loss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w w:val="93"/>
              </w:rPr>
              <w:t>(10,774,318)</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 average shares outstanding of common stock subject to redemption, basic and diluted</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34,386,548</w:t>
            </w:r>
          </w:p>
        </w:tc>
      </w:tr>
      <w:tr>
        <w:trPr>
          <w:trHeight w:val="144"/>
        </w:trPr>
        <w:tc>
          <w:tcPr>
            <w:tcW w:w="5700" w:type="dxa"/>
            <w:vAlign w:val="bottom"/>
          </w:tcPr>
          <w:p>
            <w:pPr>
              <w:spacing w:after="0"/>
              <w:rPr>
                <w:sz w:val="20"/>
                <w:szCs w:val="20"/>
                <w:color w:val="auto"/>
              </w:rPr>
            </w:pPr>
            <w:r>
              <w:rPr>
                <w:rFonts w:ascii="Arial" w:cs="Arial" w:eastAsia="Arial" w:hAnsi="Arial"/>
                <w:sz w:val="12"/>
                <w:szCs w:val="12"/>
                <w:b w:val="1"/>
                <w:bCs w:val="1"/>
                <w:color w:val="auto"/>
              </w:rPr>
              <w:t>Basic and diluted net income per share, common stock subject to redemption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 average shares outstanding of common stock, basic and diluted</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13,324,191</w:t>
            </w:r>
          </w:p>
        </w:tc>
      </w:tr>
      <w:tr>
        <w:trPr>
          <w:trHeight w:val="157"/>
        </w:trPr>
        <w:tc>
          <w:tcPr>
            <w:tcW w:w="5700" w:type="dxa"/>
            <w:vAlign w:val="bottom"/>
          </w:tcPr>
          <w:p>
            <w:pPr>
              <w:spacing w:after="0"/>
              <w:rPr>
                <w:sz w:val="20"/>
                <w:szCs w:val="20"/>
                <w:color w:val="auto"/>
              </w:rPr>
            </w:pPr>
            <w:r>
              <w:rPr>
                <w:rFonts w:ascii="Arial" w:cs="Arial" w:eastAsia="Arial" w:hAnsi="Arial"/>
                <w:sz w:val="12"/>
                <w:szCs w:val="12"/>
                <w:b w:val="1"/>
                <w:bCs w:val="1"/>
                <w:color w:val="auto"/>
              </w:rPr>
              <w:t>Basic and diluted net loss per share, common stock</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(0.81)</w:t>
            </w:r>
          </w:p>
        </w:tc>
      </w:tr>
    </w:tbl>
    <w:p>
      <w:pPr>
        <w:spacing w:after="0" w:line="122"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F-67</w:t>
      </w:r>
    </w:p>
    <w:p>
      <w:pPr>
        <w:sectPr>
          <w:pgSz w:w="11900" w:h="16838" w:orient="portrait"/>
          <w:cols w:equalWidth="0" w:num="1">
            <w:col w:w="10159"/>
          </w:cols>
          <w:pgMar w:left="300" w:top="372" w:right="1440" w:bottom="1440" w:gutter="0" w:footer="0" w:header="0"/>
        </w:sectPr>
      </w:pPr>
    </w:p>
    <w:bookmarkStart w:id="395" w:name="page396"/>
    <w:bookmarkEnd w:id="3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CHANGES IN STOCKHOLDERS’ EQUITY</w:t>
      </w:r>
    </w:p>
    <w:p>
      <w:pPr>
        <w:spacing w:after="0" w:line="137"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Period From July 6, 2020 (Inception) Through December 31, 2020</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(Restated—See Note 2)</w:t>
      </w:r>
    </w:p>
    <w:p>
      <w:pPr>
        <w:spacing w:after="0" w:line="14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4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8"/>
              </w:rPr>
              <w:t>Additional</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760" w:type="dxa"/>
            <w:vAlign w:val="bottom"/>
            <w:tcBorders>
              <w:bottom w:val="single" w:sz="8" w:color="auto"/>
            </w:tcBorders>
            <w:gridSpan w:val="3"/>
          </w:tcPr>
          <w:p>
            <w:pPr>
              <w:jc w:val="right"/>
              <w:ind w:right="40"/>
              <w:spacing w:after="0" w:line="88" w:lineRule="exact"/>
              <w:rPr>
                <w:sz w:val="20"/>
                <w:szCs w:val="20"/>
                <w:color w:val="auto"/>
              </w:rPr>
            </w:pPr>
            <w:r>
              <w:rPr>
                <w:rFonts w:ascii="Arial" w:cs="Arial" w:eastAsia="Arial" w:hAnsi="Arial"/>
                <w:sz w:val="10"/>
                <w:szCs w:val="10"/>
                <w:b w:val="1"/>
                <w:bCs w:val="1"/>
                <w:color w:val="auto"/>
              </w:rPr>
              <w:t>Class A</w:t>
            </w: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Class B</w:t>
            </w: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340"/>
              <w:spacing w:after="0" w:line="79" w:lineRule="exact"/>
              <w:rPr>
                <w:sz w:val="20"/>
                <w:szCs w:val="20"/>
                <w:color w:val="auto"/>
              </w:rPr>
            </w:pPr>
            <w:r>
              <w:rPr>
                <w:rFonts w:ascii="Arial" w:cs="Arial" w:eastAsia="Arial" w:hAnsi="Arial"/>
                <w:sz w:val="8"/>
                <w:szCs w:val="8"/>
                <w:b w:val="1"/>
                <w:bCs w:val="1"/>
                <w:color w:val="auto"/>
              </w:rPr>
              <w:t>Paid-In</w:t>
            </w:r>
          </w:p>
        </w:tc>
        <w:tc>
          <w:tcPr>
            <w:tcW w:w="800" w:type="dxa"/>
            <w:vAlign w:val="bottom"/>
            <w:gridSpan w:val="3"/>
          </w:tcPr>
          <w:p>
            <w:pPr>
              <w:jc w:val="right"/>
              <w:ind w:right="158"/>
              <w:spacing w:after="0" w:line="79" w:lineRule="exact"/>
              <w:rPr>
                <w:sz w:val="20"/>
                <w:szCs w:val="20"/>
                <w:color w:val="auto"/>
              </w:rPr>
            </w:pPr>
            <w:r>
              <w:rPr>
                <w:rFonts w:ascii="Arial" w:cs="Arial" w:eastAsia="Arial" w:hAnsi="Arial"/>
                <w:sz w:val="8"/>
                <w:szCs w:val="8"/>
                <w:b w:val="1"/>
                <w:bCs w:val="1"/>
                <w:color w:val="auto"/>
              </w:rPr>
              <w:t>Accumulated</w:t>
            </w:r>
          </w:p>
        </w:tc>
        <w:tc>
          <w:tcPr>
            <w:tcW w:w="60" w:type="dxa"/>
            <w:vAlign w:val="bottom"/>
          </w:tcPr>
          <w:p>
            <w:pPr>
              <w:spacing w:after="0"/>
              <w:rPr>
                <w:sz w:val="8"/>
                <w:szCs w:val="8"/>
                <w:color w:val="auto"/>
              </w:rPr>
            </w:pPr>
          </w:p>
        </w:tc>
        <w:tc>
          <w:tcPr>
            <w:tcW w:w="720" w:type="dxa"/>
            <w:vAlign w:val="bottom"/>
            <w:gridSpan w:val="2"/>
          </w:tcPr>
          <w:p>
            <w:pPr>
              <w:jc w:val="center"/>
              <w:ind w:right="140"/>
              <w:spacing w:after="0" w:line="79"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760" w:type="dxa"/>
            <w:vAlign w:val="bottom"/>
            <w:gridSpan w:val="3"/>
          </w:tcPr>
          <w:p>
            <w:pPr>
              <w:jc w:val="right"/>
              <w:ind w:right="320"/>
              <w:spacing w:after="0" w:line="97" w:lineRule="exact"/>
              <w:rPr>
                <w:sz w:val="20"/>
                <w:szCs w:val="20"/>
                <w:color w:val="auto"/>
              </w:rPr>
            </w:pPr>
            <w:r>
              <w:rPr>
                <w:rFonts w:ascii="Arial" w:cs="Arial" w:eastAsia="Arial" w:hAnsi="Arial"/>
                <w:sz w:val="10"/>
                <w:szCs w:val="10"/>
                <w:b w:val="1"/>
                <w:bCs w:val="1"/>
                <w:color w:val="auto"/>
              </w:rPr>
              <w:t>Shares</w:t>
            </w:r>
          </w:p>
        </w:tc>
        <w:tc>
          <w:tcPr>
            <w:tcW w:w="380" w:type="dxa"/>
            <w:vAlign w:val="bottom"/>
            <w:gridSpan w:val="2"/>
          </w:tcPr>
          <w:p>
            <w:pPr>
              <w:jc w:val="right"/>
              <w:spacing w:after="0" w:line="97"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8"/>
                <w:szCs w:val="8"/>
                <w:color w:val="auto"/>
              </w:rPr>
            </w:pPr>
          </w:p>
        </w:tc>
        <w:tc>
          <w:tcPr>
            <w:tcW w:w="720" w:type="dxa"/>
            <w:vAlign w:val="bottom"/>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w w:val="84"/>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340"/>
              <w:spacing w:after="0" w:line="97" w:lineRule="exact"/>
              <w:rPr>
                <w:sz w:val="20"/>
                <w:szCs w:val="20"/>
                <w:color w:val="auto"/>
              </w:rPr>
            </w:pPr>
            <w:r>
              <w:rPr>
                <w:rFonts w:ascii="Arial" w:cs="Arial" w:eastAsia="Arial" w:hAnsi="Arial"/>
                <w:sz w:val="10"/>
                <w:szCs w:val="10"/>
                <w:b w:val="1"/>
                <w:bCs w:val="1"/>
                <w:color w:val="auto"/>
              </w:rPr>
              <w:t>Capital</w:t>
            </w:r>
          </w:p>
        </w:tc>
        <w:tc>
          <w:tcPr>
            <w:tcW w:w="60" w:type="dxa"/>
            <w:vAlign w:val="bottom"/>
          </w:tcPr>
          <w:p>
            <w:pPr>
              <w:spacing w:after="0"/>
              <w:rPr>
                <w:sz w:val="8"/>
                <w:szCs w:val="8"/>
                <w:color w:val="auto"/>
              </w:rPr>
            </w:pPr>
          </w:p>
        </w:tc>
        <w:tc>
          <w:tcPr>
            <w:tcW w:w="7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8"/>
                <w:szCs w:val="8"/>
                <w:color w:val="auto"/>
              </w:rPr>
            </w:pPr>
          </w:p>
        </w:tc>
        <w:tc>
          <w:tcPr>
            <w:tcW w:w="720" w:type="dxa"/>
            <w:vAlign w:val="bottom"/>
            <w:gridSpan w:val="2"/>
          </w:tcPr>
          <w:p>
            <w:pPr>
              <w:jc w:val="center"/>
              <w:ind w:right="160"/>
              <w:spacing w:after="0" w:line="97" w:lineRule="exact"/>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33"/>
        </w:trPr>
        <w:tc>
          <w:tcPr>
            <w:tcW w:w="2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Balance—July 6, 2020 (inception)</w:t>
            </w:r>
          </w:p>
        </w:tc>
        <w:tc>
          <w:tcPr>
            <w:tcW w:w="62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3"/>
              <w:spacing w:after="0" w:line="13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ind w:right="4"/>
              <w:spacing w:after="0" w:line="13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ind w:left="400"/>
              <w:spacing w:after="0" w:line="133" w:lineRule="exact"/>
              <w:rPr>
                <w:sz w:val="20"/>
                <w:szCs w:val="20"/>
                <w:color w:val="auto"/>
              </w:rPr>
            </w:pPr>
            <w:r>
              <w:rPr>
                <w:rFonts w:ascii="Arial" w:cs="Arial" w:eastAsia="Arial" w:hAnsi="Arial"/>
                <w:sz w:val="12"/>
                <w:szCs w:val="12"/>
                <w:b w:val="1"/>
                <w:bCs w:val="1"/>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ind w:right="4"/>
              <w:spacing w:after="0" w:line="133" w:lineRule="exact"/>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Arial" w:cs="Arial" w:eastAsia="Arial" w:hAnsi="Arial"/>
                <w:sz w:val="12"/>
                <w:szCs w:val="12"/>
                <w:color w:val="auto"/>
              </w:rPr>
              <w:t>Issuance of Class B common stock to initial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93"/>
              </w:rPr>
              <w:t>11,500,000</w:t>
            </w:r>
          </w:p>
        </w:tc>
        <w:tc>
          <w:tcPr>
            <w:tcW w:w="6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86"/>
              </w:rPr>
              <w:t>1,150</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23,850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25,000</w:t>
            </w:r>
          </w:p>
        </w:tc>
        <w:tc>
          <w:tcPr>
            <w:tcW w:w="0" w:type="dxa"/>
            <w:vAlign w:val="bottom"/>
          </w:tcPr>
          <w:p>
            <w:pPr>
              <w:spacing w:after="0"/>
              <w:rPr>
                <w:sz w:val="1"/>
                <w:szCs w:val="1"/>
                <w:color w:val="auto"/>
              </w:rPr>
            </w:pPr>
          </w:p>
        </w:tc>
      </w:tr>
      <w:tr>
        <w:trPr>
          <w:trHeight w:val="153"/>
        </w:trPr>
        <w:tc>
          <w:tcPr>
            <w:tcW w:w="2420" w:type="dxa"/>
            <w:vAlign w:val="bottom"/>
          </w:tcPr>
          <w:p>
            <w:pPr>
              <w:ind w:left="120"/>
              <w:spacing w:after="0"/>
              <w:rPr>
                <w:sz w:val="20"/>
                <w:szCs w:val="20"/>
                <w:color w:val="auto"/>
              </w:rPr>
            </w:pPr>
            <w:r>
              <w:rPr>
                <w:rFonts w:ascii="Arial" w:cs="Arial" w:eastAsia="Arial" w:hAnsi="Arial"/>
                <w:sz w:val="12"/>
                <w:szCs w:val="12"/>
                <w:color w:val="auto"/>
              </w:rPr>
              <w:t>stockholders</w:t>
            </w: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7"/>
              </w:rPr>
              <w:t>Sale of units in initial public offering, gross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9"/>
              </w:rPr>
              <w:t>41,071,823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4,107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2"/>
              </w:rPr>
              <w:t>380,526,333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2"/>
              </w:rPr>
              <w:t>380,530,440</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20"/>
                <w:szCs w:val="20"/>
                <w:color w:val="auto"/>
              </w:rPr>
            </w:pPr>
            <w:r>
              <w:rPr>
                <w:rFonts w:ascii="Arial" w:cs="Arial" w:eastAsia="Arial" w:hAnsi="Arial"/>
                <w:sz w:val="12"/>
                <w:szCs w:val="12"/>
                <w:color w:val="auto"/>
              </w:rPr>
              <w:t>Offering costs</w:t>
            </w: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6"/>
              </w:rPr>
              <w:t>(21,025,341)</w:t>
            </w:r>
          </w:p>
        </w:tc>
        <w:tc>
          <w:tcPr>
            <w:tcW w:w="60" w:type="dxa"/>
            <w:vAlign w:val="bottom"/>
          </w:tcPr>
          <w:p>
            <w:pPr>
              <w:spacing w:after="0"/>
              <w:rPr>
                <w:sz w:val="12"/>
                <w:szCs w:val="12"/>
                <w:color w:val="auto"/>
              </w:rPr>
            </w:pP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6"/>
              </w:rPr>
              <w:t>(21,025,341)</w:t>
            </w:r>
          </w:p>
        </w:tc>
        <w:tc>
          <w:tcPr>
            <w:tcW w:w="0" w:type="dxa"/>
            <w:vAlign w:val="bottom"/>
          </w:tcPr>
          <w:p>
            <w:pPr>
              <w:spacing w:after="0"/>
              <w:rPr>
                <w:sz w:val="1"/>
                <w:szCs w:val="1"/>
                <w:color w:val="auto"/>
              </w:rPr>
            </w:pPr>
          </w:p>
        </w:tc>
      </w:tr>
      <w:tr>
        <w:trPr>
          <w:trHeight w:val="131"/>
        </w:trPr>
        <w:tc>
          <w:tcPr>
            <w:tcW w:w="242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Common stock subject to possible</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redemption</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93"/>
              </w:rPr>
              <w:t>(34,375,578)</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(3,437)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8"/>
              </w:rPr>
              <w:t>(343,752,343)</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8"/>
              </w:rPr>
              <w:t>(343,755,780)</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20"/>
                <w:szCs w:val="20"/>
                <w:color w:val="auto"/>
              </w:rPr>
            </w:pPr>
            <w:r>
              <w:rPr>
                <w:rFonts w:ascii="Arial" w:cs="Arial" w:eastAsia="Arial" w:hAnsi="Arial"/>
                <w:sz w:val="12"/>
                <w:szCs w:val="12"/>
                <w:color w:val="auto"/>
              </w:rPr>
              <w:t xml:space="preserve">Forfeiture </w:t>
            </w:r>
            <w:r>
              <w:rPr>
                <w:rFonts w:ascii="Arial" w:cs="Arial" w:eastAsia="Arial" w:hAnsi="Arial"/>
                <w:sz w:val="12"/>
                <w:szCs w:val="12"/>
                <w:b w:val="1"/>
                <w:bCs w:val="1"/>
                <w:color w:val="auto"/>
              </w:rPr>
              <w:t>of Class</w:t>
            </w:r>
            <w:r>
              <w:rPr>
                <w:rFonts w:ascii="Arial" w:cs="Arial" w:eastAsia="Arial" w:hAnsi="Arial"/>
                <w:sz w:val="12"/>
                <w:szCs w:val="12"/>
                <w:color w:val="auto"/>
              </w:rPr>
              <w:t xml:space="preserve"> B common stock</w:t>
            </w: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7"/>
              </w:rPr>
              <w:t>(1,232,044)</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(123)</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123</w:t>
            </w:r>
          </w:p>
        </w:tc>
        <w:tc>
          <w:tcPr>
            <w:tcW w:w="60" w:type="dxa"/>
            <w:vAlign w:val="bottom"/>
          </w:tcPr>
          <w:p>
            <w:pPr>
              <w:spacing w:after="0"/>
              <w:rPr>
                <w:sz w:val="12"/>
                <w:szCs w:val="12"/>
                <w:color w:val="auto"/>
              </w:rPr>
            </w:pP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b w:val="1"/>
                <w:bCs w:val="1"/>
                <w:color w:val="auto"/>
                <w:w w:val="88"/>
              </w:rPr>
              <w:t>(10,774,318)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6"/>
              </w:rPr>
              <w:t>(10,774,318)</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2"/>
                <w:szCs w:val="12"/>
                <w:b w:val="1"/>
                <w:bCs w:val="1"/>
                <w:color w:val="auto"/>
              </w:rPr>
              <w:t>Balance—December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6,696,245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w w:val="79"/>
              </w:rPr>
              <w:t>670</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10,267,956</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1,027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15,772,622</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87"/>
              </w:rPr>
              <w:t>(10,774,318</w:t>
            </w:r>
          </w:p>
        </w:tc>
        <w:tc>
          <w:tcPr>
            <w:tcW w:w="160" w:type="dxa"/>
            <w:vAlign w:val="bottom"/>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5,000,001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120"/>
        <w:spacing w:after="0"/>
        <w:rPr>
          <w:sz w:val="20"/>
          <w:szCs w:val="20"/>
          <w:color w:val="auto"/>
        </w:rPr>
      </w:pPr>
      <w:r>
        <w:rPr>
          <w:rFonts w:ascii="Arial" w:cs="Arial" w:eastAsia="Arial" w:hAnsi="Arial"/>
          <w:sz w:val="10"/>
          <w:szCs w:val="10"/>
          <w:i w:val="1"/>
          <w:iCs w:val="1"/>
          <w:color w:val="auto"/>
        </w:rPr>
        <w:t>The accompanying notes are an integral part of these financial statements.</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F-68</w:t>
      </w:r>
    </w:p>
    <w:p>
      <w:pPr>
        <w:sectPr>
          <w:pgSz w:w="11900" w:h="16838" w:orient="portrait"/>
          <w:cols w:equalWidth="0" w:num="1">
            <w:col w:w="10159"/>
          </w:cols>
          <w:pgMar w:left="300" w:top="372" w:right="1440" w:bottom="1440" w:gutter="0" w:footer="0" w:header="0"/>
        </w:sectPr>
      </w:pPr>
    </w:p>
    <w:bookmarkStart w:id="396" w:name="page397"/>
    <w:bookmarkEnd w:id="3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left="3503"/>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left="3503"/>
        <w:spacing w:after="0"/>
        <w:rPr>
          <w:sz w:val="20"/>
          <w:szCs w:val="20"/>
          <w:color w:val="auto"/>
        </w:rPr>
      </w:pPr>
      <w:r>
        <w:rPr>
          <w:rFonts w:ascii="Arial" w:cs="Arial" w:eastAsia="Arial" w:hAnsi="Arial"/>
          <w:sz w:val="12"/>
          <w:szCs w:val="12"/>
          <w:b w:val="1"/>
          <w:bCs w:val="1"/>
          <w:color w:val="auto"/>
        </w:rPr>
        <w:t>STATEMENT OF CASH FLOWS</w:t>
      </w:r>
    </w:p>
    <w:p>
      <w:pPr>
        <w:spacing w:after="0" w:line="130" w:lineRule="exact"/>
        <w:rPr>
          <w:sz w:val="20"/>
          <w:szCs w:val="20"/>
          <w:color w:val="auto"/>
        </w:rPr>
      </w:pPr>
    </w:p>
    <w:p>
      <w:pPr>
        <w:jc w:val="center"/>
        <w:ind w:left="3503"/>
        <w:spacing w:after="0"/>
        <w:rPr>
          <w:sz w:val="20"/>
          <w:szCs w:val="20"/>
          <w:color w:val="auto"/>
        </w:rPr>
      </w:pPr>
      <w:r>
        <w:rPr>
          <w:rFonts w:ascii="Arial" w:cs="Arial" w:eastAsia="Arial" w:hAnsi="Arial"/>
          <w:sz w:val="10"/>
          <w:szCs w:val="10"/>
          <w:b w:val="1"/>
          <w:bCs w:val="1"/>
          <w:color w:val="auto"/>
        </w:rPr>
        <w:t>For the Period From July 6, 2020 (Inception) Through December 31, 2020</w:t>
      </w:r>
    </w:p>
    <w:p>
      <w:pPr>
        <w:jc w:val="center"/>
        <w:ind w:left="3503"/>
        <w:spacing w:after="0" w:line="236" w:lineRule="auto"/>
        <w:rPr>
          <w:sz w:val="20"/>
          <w:szCs w:val="20"/>
          <w:color w:val="auto"/>
        </w:rPr>
      </w:pPr>
      <w:r>
        <w:rPr>
          <w:rFonts w:ascii="Arial" w:cs="Arial" w:eastAsia="Arial" w:hAnsi="Arial"/>
          <w:sz w:val="10"/>
          <w:szCs w:val="10"/>
          <w:b w:val="1"/>
          <w:bCs w:val="1"/>
          <w:color w:val="auto"/>
        </w:rPr>
        <w:t>(Restated—See Note 2)</w:t>
      </w:r>
    </w:p>
    <w:p>
      <w:pPr>
        <w:spacing w:after="0" w:line="22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Adjustments to reconcile net (loss) income to net cash used in operating activities: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Change in fair value of warrant liabilities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Financing cost—derivative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Unrealized gain on marketable securities held in Trust Account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Changes in operating assets and liabilities:</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Accrued expenses</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Franchise tax payable</w:t>
      </w:r>
    </w:p>
    <w:p>
      <w:pPr>
        <w:spacing w:after="0" w:line="11" w:lineRule="exact"/>
        <w:rPr>
          <w:sz w:val="20"/>
          <w:szCs w:val="20"/>
          <w:color w:val="auto"/>
        </w:rPr>
      </w:pPr>
    </w:p>
    <w:p>
      <w:pPr>
        <w:ind w:left="2220"/>
        <w:spacing w:after="0"/>
        <w:rPr>
          <w:sz w:val="20"/>
          <w:szCs w:val="20"/>
          <w:color w:val="auto"/>
        </w:rPr>
      </w:pPr>
      <w:r>
        <w:rPr>
          <w:rFonts w:ascii="Arial" w:cs="Arial" w:eastAsia="Arial" w:hAnsi="Arial"/>
          <w:sz w:val="12"/>
          <w:szCs w:val="12"/>
          <w:b w:val="1"/>
          <w:bCs w:val="1"/>
          <w:color w:val="auto"/>
        </w:rPr>
        <w:t>Net cash used in operating activities</w:t>
      </w:r>
    </w:p>
    <w:p>
      <w:pPr>
        <w:spacing w:after="0" w:line="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Cash deposited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12065</wp:posOffset>
            </wp:positionV>
            <wp:extent cx="4663440" cy="914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Proceeds from note payable to related party</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Proceeds received from initial public offering, gross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Proceeds received from private placement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Reimbursement of offering costs from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b w:val="1"/>
          <w:bCs w:val="1"/>
          <w:color w:val="auto"/>
        </w:rPr>
        <w:t>Net cash provided by financing activities</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12065</wp:posOffset>
            </wp:positionV>
            <wp:extent cx="4663440" cy="914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auto"/>
        </w:rPr>
        <w:t>Cash—beginning of the period</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Cash—end of the period</w:t>
      </w:r>
    </w:p>
    <w:p>
      <w:pPr>
        <w:spacing w:after="0" w:line="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Forfeiture of Class B common stock</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Offering costs paid by Sponsor in exchange for issuance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Prepaid expenses paid by Sponsor in exchange for issuance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Offering costs included in accrued expenses</w:t>
      </w:r>
    </w:p>
    <w:p>
      <w:pPr>
        <w:spacing w:after="0" w:line="141" w:lineRule="exact"/>
        <w:rPr>
          <w:sz w:val="20"/>
          <w:szCs w:val="20"/>
          <w:color w:val="auto"/>
        </w:rPr>
      </w:pPr>
    </w:p>
    <w:p>
      <w:pPr>
        <w:jc w:val="center"/>
        <w:ind w:left="3503"/>
        <w:spacing w:after="0"/>
        <w:rPr>
          <w:sz w:val="20"/>
          <w:szCs w:val="20"/>
          <w:color w:val="auto"/>
        </w:rPr>
      </w:pPr>
      <w:r>
        <w:rPr>
          <w:rFonts w:ascii="Arial" w:cs="Arial" w:eastAsia="Arial" w:hAnsi="Arial"/>
          <w:sz w:val="10"/>
          <w:szCs w:val="10"/>
          <w:i w:val="1"/>
          <w:iCs w:val="1"/>
          <w:color w:val="auto"/>
        </w:rPr>
        <w:t>The accompanying notes are an integral part of these financial statements.</w:t>
      </w:r>
    </w:p>
    <w:p>
      <w:pPr>
        <w:spacing w:after="0" w:line="128" w:lineRule="exact"/>
        <w:rPr>
          <w:sz w:val="20"/>
          <w:szCs w:val="20"/>
          <w:color w:val="auto"/>
        </w:rPr>
      </w:pPr>
    </w:p>
    <w:p>
      <w:pPr>
        <w:jc w:val="center"/>
        <w:ind w:left="3503"/>
        <w:spacing w:after="0"/>
        <w:rPr>
          <w:sz w:val="20"/>
          <w:szCs w:val="20"/>
          <w:color w:val="auto"/>
        </w:rPr>
      </w:pPr>
      <w:r>
        <w:rPr>
          <w:rFonts w:ascii="Arial" w:cs="Arial" w:eastAsia="Arial" w:hAnsi="Arial"/>
          <w:sz w:val="12"/>
          <w:szCs w:val="12"/>
          <w:color w:val="auto"/>
        </w:rPr>
        <w:t>F-69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
        <w:spacing w:after="0"/>
        <w:tabs>
          <w:tab w:leader="none" w:pos="142"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(10,774,318)</w:t>
      </w:r>
    </w:p>
    <w:p>
      <w:pPr>
        <w:spacing w:after="0" w:line="150"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3,587,890</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6,800,025</w:t>
      </w:r>
    </w:p>
    <w:p>
      <w:pPr>
        <w:spacing w:after="0" w:line="6"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(79,568)</w:t>
      </w:r>
    </w:p>
    <w:p>
      <w:pPr>
        <w:spacing w:after="0" w:line="6"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(5,613)</w:t>
      </w:r>
    </w:p>
    <w:p>
      <w:pPr>
        <w:spacing w:after="0" w:line="141"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(260,093)</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207,029</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170,402</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16,709</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88,583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6863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68630" cy="5715"/>
                    </a:xfrm>
                    <a:prstGeom prst="rect">
                      <a:avLst/>
                    </a:prstGeom>
                    <a:noFill/>
                  </pic:spPr>
                </pic:pic>
              </a:graphicData>
            </a:graphic>
          </wp:anchor>
        </w:drawing>
      </w:r>
    </w:p>
    <w:p>
      <w:pPr>
        <w:jc w:val="right"/>
        <w:ind w:right="879"/>
        <w:spacing w:after="0"/>
        <w:rPr>
          <w:sz w:val="20"/>
          <w:szCs w:val="20"/>
          <w:color w:val="auto"/>
        </w:rPr>
      </w:pPr>
      <w:r>
        <w:rPr>
          <w:rFonts w:ascii="Arial" w:cs="Arial" w:eastAsia="Arial" w:hAnsi="Arial"/>
          <w:sz w:val="12"/>
          <w:szCs w:val="12"/>
          <w:color w:val="auto"/>
        </w:rPr>
        <w:t>(248,954)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6863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68630" cy="5715"/>
                    </a:xfrm>
                    <a:prstGeom prst="rect">
                      <a:avLst/>
                    </a:prstGeom>
                    <a:noFill/>
                  </pic:spPr>
                </pic:pic>
              </a:graphicData>
            </a:graphic>
          </wp:anchor>
        </w:drawing>
      </w:r>
    </w:p>
    <w:p>
      <w:pPr>
        <w:spacing w:after="0" w:line="148"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(410,718,230)</w:t>
      </w:r>
    </w:p>
    <w:p>
      <w:pPr>
        <w:spacing w:after="0" w:line="15" w:lineRule="exact"/>
        <w:rPr>
          <w:sz w:val="20"/>
          <w:szCs w:val="20"/>
          <w:color w:val="auto"/>
        </w:rPr>
      </w:pPr>
    </w:p>
    <w:p>
      <w:pPr>
        <w:jc w:val="right"/>
        <w:ind w:right="879"/>
        <w:spacing w:after="0"/>
        <w:rPr>
          <w:sz w:val="20"/>
          <w:szCs w:val="20"/>
          <w:color w:val="auto"/>
        </w:rPr>
      </w:pPr>
      <w:r>
        <w:rPr>
          <w:rFonts w:ascii="Arial" w:cs="Arial" w:eastAsia="Arial" w:hAnsi="Arial"/>
          <w:sz w:val="12"/>
          <w:szCs w:val="12"/>
          <w:u w:val="single" w:color="auto"/>
          <w:color w:val="auto"/>
        </w:rPr>
        <w:t>(410,718,230</w:t>
      </w:r>
      <w:r>
        <w:rPr>
          <w:rFonts w:ascii="Arial" w:cs="Arial" w:eastAsia="Arial" w:hAnsi="Arial"/>
          <w:sz w:val="12"/>
          <w:szCs w:val="12"/>
          <w:color w:val="auto"/>
        </w:rPr>
        <w:t>)</w:t>
      </w:r>
    </w:p>
    <w:p>
      <w:pPr>
        <w:spacing w:after="0" w:line="159"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200,000</w:t>
      </w:r>
    </w:p>
    <w:p>
      <w:pPr>
        <w:spacing w:after="0" w:line="15"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(200,000)</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410,718,230</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10,214,366</w:t>
      </w:r>
    </w:p>
    <w:p>
      <w:pPr>
        <w:spacing w:after="0" w:line="6"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(8,797,978)</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529,057</w:t>
      </w:r>
    </w:p>
    <w:p>
      <w:pPr>
        <w:spacing w:after="0" w:line="6"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412,663,675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6863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68630" cy="5715"/>
                    </a:xfrm>
                    <a:prstGeom prst="rect">
                      <a:avLst/>
                    </a:prstGeom>
                    <a:noFill/>
                  </pic:spPr>
                </pic:pic>
              </a:graphicData>
            </a:graphic>
          </wp:anchor>
        </w:drawing>
      </w:r>
    </w:p>
    <w:p>
      <w:pPr>
        <w:ind w:left="263"/>
        <w:spacing w:after="0"/>
        <w:rPr>
          <w:sz w:val="20"/>
          <w:szCs w:val="20"/>
          <w:color w:val="auto"/>
        </w:rPr>
      </w:pPr>
      <w:r>
        <w:rPr>
          <w:rFonts w:ascii="Arial" w:cs="Arial" w:eastAsia="Arial" w:hAnsi="Arial"/>
          <w:sz w:val="11"/>
          <w:szCs w:val="11"/>
          <w:color w:val="auto"/>
        </w:rPr>
        <w:t>1,696,491</w:t>
      </w:r>
    </w:p>
    <w:p>
      <w:pPr>
        <w:spacing w:after="0" w:line="26" w:lineRule="exact"/>
        <w:rPr>
          <w:sz w:val="20"/>
          <w:szCs w:val="20"/>
          <w:color w:val="auto"/>
        </w:rPr>
      </w:pPr>
    </w:p>
    <w:p>
      <w:pPr>
        <w:ind w:left="563"/>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6863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68630" cy="5715"/>
                    </a:xfrm>
                    <a:prstGeom prst="rect">
                      <a:avLst/>
                    </a:prstGeom>
                    <a:noFill/>
                  </pic:spPr>
                </pic:pic>
              </a:graphicData>
            </a:graphic>
          </wp:anchor>
        </w:drawing>
      </w:r>
    </w:p>
    <w:p>
      <w:pPr>
        <w:ind w:left="263" w:hanging="263"/>
        <w:spacing w:after="0"/>
        <w:tabs>
          <w:tab w:leader="none" w:pos="263" w:val="left"/>
        </w:tabs>
        <w:numPr>
          <w:ilvl w:val="0"/>
          <w:numId w:val="196"/>
        </w:numPr>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t>1,696,491</w:t>
      </w:r>
    </w:p>
    <w:p>
      <w:pPr>
        <w:spacing w:after="0" w:line="184" w:lineRule="exact"/>
        <w:rPr>
          <w:sz w:val="20"/>
          <w:szCs w:val="20"/>
          <w:color w:val="auto"/>
        </w:rPr>
      </w:pPr>
    </w:p>
    <w:p>
      <w:pPr>
        <w:ind w:left="563" w:hanging="563"/>
        <w:spacing w:after="0"/>
        <w:tabs>
          <w:tab w:leader="none" w:pos="563" w:val="left"/>
        </w:tabs>
        <w:numPr>
          <w:ilvl w:val="0"/>
          <w:numId w:val="197"/>
        </w:numPr>
        <w:rPr>
          <w:rFonts w:ascii="Arial" w:cs="Arial" w:eastAsia="Arial" w:hAnsi="Arial"/>
          <w:sz w:val="12"/>
          <w:szCs w:val="12"/>
          <w:color w:val="auto"/>
        </w:rPr>
      </w:pPr>
      <w:r>
        <w:rPr>
          <w:rFonts w:ascii="Arial" w:cs="Arial" w:eastAsia="Arial" w:hAnsi="Arial"/>
          <w:sz w:val="12"/>
          <w:szCs w:val="12"/>
          <w:color w:val="auto"/>
        </w:rPr>
        <w:t>123</w:t>
      </w:r>
    </w:p>
    <w:p>
      <w:pPr>
        <w:spacing w:after="0" w:line="15" w:lineRule="exact"/>
        <w:rPr>
          <w:sz w:val="20"/>
          <w:szCs w:val="20"/>
          <w:color w:val="auto"/>
        </w:rPr>
      </w:pPr>
    </w:p>
    <w:p>
      <w:pPr>
        <w:ind w:left="463" w:hanging="463"/>
        <w:spacing w:after="0"/>
        <w:tabs>
          <w:tab w:leader="none" w:pos="463" w:val="left"/>
        </w:tabs>
        <w:numPr>
          <w:ilvl w:val="0"/>
          <w:numId w:val="198"/>
        </w:numPr>
        <w:rPr>
          <w:rFonts w:ascii="Arial" w:cs="Arial" w:eastAsia="Arial" w:hAnsi="Arial"/>
          <w:sz w:val="12"/>
          <w:szCs w:val="12"/>
          <w:color w:val="auto"/>
        </w:rPr>
      </w:pPr>
      <w:r>
        <w:rPr>
          <w:rFonts w:ascii="Arial" w:cs="Arial" w:eastAsia="Arial" w:hAnsi="Arial"/>
          <w:sz w:val="12"/>
          <w:szCs w:val="12"/>
          <w:color w:val="auto"/>
        </w:rPr>
        <w:t>9,000</w:t>
      </w:r>
    </w:p>
    <w:p>
      <w:pPr>
        <w:spacing w:after="0" w:line="6" w:lineRule="exact"/>
        <w:rPr>
          <w:sz w:val="20"/>
          <w:szCs w:val="20"/>
          <w:color w:val="auto"/>
        </w:rPr>
      </w:pPr>
    </w:p>
    <w:p>
      <w:pPr>
        <w:ind w:left="403" w:hanging="403"/>
        <w:spacing w:after="0"/>
        <w:tabs>
          <w:tab w:leader="none" w:pos="403" w:val="left"/>
        </w:tabs>
        <w:numPr>
          <w:ilvl w:val="0"/>
          <w:numId w:val="199"/>
        </w:numPr>
        <w:rPr>
          <w:rFonts w:ascii="Arial" w:cs="Arial" w:eastAsia="Arial" w:hAnsi="Arial"/>
          <w:sz w:val="12"/>
          <w:szCs w:val="12"/>
          <w:color w:val="auto"/>
        </w:rPr>
      </w:pPr>
      <w:r>
        <w:rPr>
          <w:rFonts w:ascii="Arial" w:cs="Arial" w:eastAsia="Arial" w:hAnsi="Arial"/>
          <w:sz w:val="12"/>
          <w:szCs w:val="12"/>
          <w:color w:val="auto"/>
        </w:rPr>
        <w:t>16,000</w:t>
      </w:r>
    </w:p>
    <w:p>
      <w:pPr>
        <w:spacing w:after="0" w:line="6" w:lineRule="exact"/>
        <w:rPr>
          <w:rFonts w:ascii="Arial" w:cs="Arial" w:eastAsia="Arial" w:hAnsi="Arial"/>
          <w:sz w:val="12"/>
          <w:szCs w:val="12"/>
          <w:color w:val="auto"/>
        </w:rPr>
      </w:pPr>
    </w:p>
    <w:p>
      <w:pPr>
        <w:ind w:left="403" w:hanging="403"/>
        <w:spacing w:after="0"/>
        <w:tabs>
          <w:tab w:leader="none" w:pos="403" w:val="left"/>
        </w:tabs>
        <w:numPr>
          <w:ilvl w:val="0"/>
          <w:numId w:val="199"/>
        </w:numPr>
        <w:rPr>
          <w:rFonts w:ascii="Arial" w:cs="Arial" w:eastAsia="Arial" w:hAnsi="Arial"/>
          <w:sz w:val="12"/>
          <w:szCs w:val="12"/>
          <w:color w:val="auto"/>
        </w:rPr>
      </w:pPr>
      <w:r>
        <w:rPr>
          <w:rFonts w:ascii="Arial" w:cs="Arial" w:eastAsia="Arial" w:hAnsi="Arial"/>
          <w:sz w:val="12"/>
          <w:szCs w:val="12"/>
          <w:color w:val="auto"/>
        </w:rPr>
        <w:t>70,000</w:t>
      </w:r>
    </w:p>
    <w:p>
      <w:pPr>
        <w:sectPr>
          <w:pgSz w:w="11900" w:h="16838" w:orient="portrait"/>
          <w:cols w:equalWidth="0" w:num="2">
            <w:col w:w="7777" w:space="720"/>
            <w:col w:w="1662"/>
          </w:cols>
          <w:pgMar w:left="300" w:top="372" w:right="1440" w:bottom="1440" w:gutter="0" w:footer="0" w:header="0"/>
        </w:sectPr>
      </w:pPr>
    </w:p>
    <w:bookmarkStart w:id="397" w:name="page398"/>
    <w:bookmarkEnd w:id="3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1—Description of Organization, Business Operations and Basis of Presentation</w:t>
      </w:r>
    </w:p>
    <w:p>
      <w:pPr>
        <w:spacing w:after="0" w:line="82" w:lineRule="exact"/>
        <w:rPr>
          <w:sz w:val="20"/>
          <w:szCs w:val="20"/>
          <w:color w:val="auto"/>
        </w:rPr>
      </w:pPr>
    </w:p>
    <w:p>
      <w:pPr>
        <w:jc w:val="both"/>
        <w:ind w:left="1980" w:right="919" w:firstLine="294"/>
        <w:spacing w:after="0" w:line="259" w:lineRule="auto"/>
        <w:rPr>
          <w:sz w:val="20"/>
          <w:szCs w:val="20"/>
          <w:color w:val="auto"/>
        </w:rPr>
      </w:pPr>
      <w:r>
        <w:rPr>
          <w:rFonts w:ascii="Arial" w:cs="Arial" w:eastAsia="Arial" w:hAnsi="Arial"/>
          <w:sz w:val="12"/>
          <w:szCs w:val="12"/>
          <w:color w:val="auto"/>
        </w:rPr>
        <w:t>Montes Archimedes Acquisition Corp, (the “Company”) is a blank check company incorporated in Delaware on July 6,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2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As of December 31, 2020, the Company had not commenced any operations. All activity for the period from July 6, 2020 (inception) through December 31, 2020 relates to the Company’s formation and the initial public offering (the “Initial Public Offering”) described below, and the search for a target for its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and placed in Trust Account (as defined below). The Company has selected December 31 as its fiscal year end.</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Company’s sponsor is Patient Square Capital LLC (the “Sponsor”). The registration statement for the Company’s Initial Public Offering was declared effective on October 6, 2020. On October 9, 2020, the Company consummated its Initial Public Offering of 40,000,000 units (the “Units”) at $10.00 per Unit, generating gross proceeds of $400.0 million, and incurring offering costs of approximately $22.1 million (net of reimbursement of offering costs of $520,000 from the underwriters), inclusive of $14.0 million in deferred underwriting commissions (Note 6). The underwriters exercised the over-allotment option in part and on November 12, 2020 purchased an additional 1,071,823 Units (the “Over-Allotment Units”), generating gross proceeds of approximately $10.7 million, and incurred additional offering costs of approximately $576,000 in underwriting fees (net of reimbursement of offering costs of approximately $14,000 from the underwriters and inclusive of approximately $375,000 in deferred underwriting fees) (the “Over-Allotment”).</w:t>
      </w:r>
    </w:p>
    <w:p>
      <w:pPr>
        <w:spacing w:after="0" w:line="128"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Simultaneously with the closing of the Initial Public Offering, the Company consummated the private placement (“Private Placement”) of 10,000,000 warrants (each, a “Private Placement Warrant” and collectively, the “Private Placement Warrants”) at a price of $1.00 per Private Placement Warrant to the Sponsor, generating proceeds of $10.0 million (Note 5). Simultaneously with the closing of the Over-allotment on November 12, 2020, the Company consummated the second closing of the Private Placement, resulting in the purchase of an aggregate of an additional 214,365 Private Placement Warrants by the Sponsor, generating gross proceeds to the Company of approximately $214,000.</w:t>
      </w:r>
    </w:p>
    <w:p>
      <w:pPr>
        <w:spacing w:after="0" w:line="113"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Upon the closing of the Initial Public Offering, the Over-Allotment, and the Private Placement, approximately $410.7 million ($10.00 per Unit) of the net proceeds of the sale of the Units in the Initial Public Offering and of the Private Placement Warrants in the Private Placement were placed in a trust account (“Trust Account”) located in the United States with Continental Stock Transfer &amp; Trust Company acting as trustee, and invested only in U.S. “government securities,” within the meaning set forth in Section 2(a)( 16) of the Investment Company Act, with a maturity of 185 days or less, or in money market funds meeting certain conditions under Rule 2a-7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discounts held in Trust and taxes payable on the income earned on the Trust Account) at the time of the agreement to enter</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F-70</w:t>
      </w:r>
    </w:p>
    <w:p>
      <w:pPr>
        <w:sectPr>
          <w:pgSz w:w="11900" w:h="16838" w:orient="portrait"/>
          <w:cols w:equalWidth="0" w:num="1">
            <w:col w:w="10159"/>
          </w:cols>
          <w:pgMar w:left="300" w:top="372" w:right="1440" w:bottom="1440" w:gutter="0" w:footer="0" w:header="0"/>
        </w:sectPr>
      </w:pPr>
    </w:p>
    <w:bookmarkStart w:id="398" w:name="page399"/>
    <w:bookmarkEnd w:id="3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340" w:lineRule="auto"/>
        <w:rPr>
          <w:sz w:val="20"/>
          <w:szCs w:val="20"/>
          <w:color w:val="auto"/>
        </w:rPr>
      </w:pPr>
      <w:r>
        <w:rPr>
          <w:rFonts w:ascii="Arial" w:cs="Arial" w:eastAsia="Arial" w:hAnsi="Arial"/>
          <w:sz w:val="10"/>
          <w:szCs w:val="10"/>
          <w:color w:val="auto"/>
        </w:rPr>
        <w:t>into the initial Business Combination. However, the Company only intends to complete a Business Combination if the post-transaction company owns or acquires 50% or more of the issued and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87"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The Company will provide holders (the “Public Stockholders”) of the Company’s outstanding shares of Class A common stock sold in the Initial Public Offering (the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calculated as of two business days prior to the initial Business Combination, including interest earned on the funds held in the trust account and not previously released to the Company to pay the Company’s taxes, net of taxes payable. The per-share amount to be distributed to Public Stockholders who redeem their Public Shares will not be reduced by the deferred underwriting commissions the Company will pay to the underwriters (as discussed in Note 6).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applicable law or stock exchange rule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rule, or the Company decides to obtain stockholder approval for business or reasons, the Company will offer to redeem shares in conjunction with a proxy solicitation pursuant to the proxy rules and not pursuant to the tender offer rules. Additionally, each Public Stockholder may elect to redeem their Public Shares without voting, and if they do vote, irrespective of whether they vote for or against the proposed transaction. If the Company seeks stockholder approval in connection with a Business Combination, the initial stockholders (as defined below) agreed to vote any Founder Shares (as defined below in Note 5) and any Public Shares held by them in favor of a Business Combination. In addition, the initial stockholders agreed to waive their redemption rights with respect to any Founder Shares and any Public Shares held by them in connection with the completion of a Business Combination.</w:t>
      </w:r>
    </w:p>
    <w:p>
      <w:pPr>
        <w:spacing w:after="0" w:line="124"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 The Sponsor and the Company’s officers and directors (the “initial stockholders”) agreed, pursuant to a letter agreement with the Company, that they will not propose any amendment to the Certificate of Incorporation (A) to modify the substance or timing of the Company’s obligation to allow redemption in connection with the initial Business Combination or to redeem 100% of the Public Shares if the Company does not complete a Business Combination within the Combination Period (as defined below) or (B) with respect to any other provision relating to stockholders’ rights or pre-initial Business Combination activity, unless the Company provides the Public Stockholders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19"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color w:val="auto"/>
        </w:rPr>
        <w:t>If the Company is unable to complete a Business Combination within 24 months from the closing of the Initial Public Offering, or October 9, 2022, (as such period may be extended pursuant to the Certificate of Incorporation, the “Combination Period”), the Company will (i) cease all operations except for the purpose of</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F-71</w:t>
      </w:r>
    </w:p>
    <w:p>
      <w:pPr>
        <w:sectPr>
          <w:pgSz w:w="11900" w:h="16838" w:orient="portrait"/>
          <w:cols w:equalWidth="0" w:num="1">
            <w:col w:w="10159"/>
          </w:cols>
          <w:pgMar w:left="300" w:top="372" w:right="1440" w:bottom="1440" w:gutter="0" w:footer="0" w:header="0"/>
        </w:sectPr>
      </w:pPr>
    </w:p>
    <w:bookmarkStart w:id="399" w:name="page400"/>
    <w:bookmarkEnd w:id="3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if any (less up to $100,000 of interest to pay dissolution expenses), divided by the number of the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15"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The initial stockholders agreed to waive their rights to liquidating distributions from the Trust Account with respect to any Founder Shares held by them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 deferred underwriting commission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or less than,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discussed entering into a transaction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then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and other entities with which the Company does business, execute agreements with the Company waiving any right, title, interest or claim of any kind in or to monies held in the Trust Account.</w:t>
      </w:r>
    </w:p>
    <w:p>
      <w:pPr>
        <w:spacing w:after="0" w:line="19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Basis of Presentation</w:t>
      </w:r>
    </w:p>
    <w:p>
      <w:pPr>
        <w:spacing w:after="0" w:line="78"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accompanying financial statements of the Company have been prepared in accordance with United States generally accepted accounting principles (“U.S. GAAP”) and pursuant to the rules and regulations of the SEC.</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As described in Note 2—Restatement of Previously Issued Financial Statements, the Company’s financial statements for the period as of December 31, 2020, and the period from July 6, 2020 (inception) through December 31, 2020 (collectively, the “Affected Period”), are restated in this Annual Report on Form 10-K/A (Amendment No. 1) (this “Annual Report”) to correct the misapplication of accounting guidance related to the Company’s warrants in the Company’s previously issued audited and unaudited condensed financial statements for such periods. The restated financial statements are indicated as “Restated” in the audited and unaudited condensed financial statements and accompanying notes, as applicable. See Note 2 —Restatement of Previously Issued Financial Statements for further discussion.</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F-72</w:t>
      </w:r>
    </w:p>
    <w:p>
      <w:pPr>
        <w:sectPr>
          <w:pgSz w:w="11900" w:h="16838" w:orient="portrait"/>
          <w:cols w:equalWidth="0" w:num="1">
            <w:col w:w="10159"/>
          </w:cols>
          <w:pgMar w:left="300" w:top="372" w:right="1440" w:bottom="1440" w:gutter="0" w:footer="0" w:header="0"/>
        </w:sectPr>
      </w:pPr>
    </w:p>
    <w:bookmarkStart w:id="400" w:name="page401"/>
    <w:bookmarkEnd w:id="4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Emerging Growth Company</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Liquidity and Capital Resources</w:t>
      </w:r>
    </w:p>
    <w:p>
      <w:pPr>
        <w:spacing w:after="0" w:line="78" w:lineRule="exact"/>
        <w:rPr>
          <w:sz w:val="20"/>
          <w:szCs w:val="20"/>
          <w:color w:val="auto"/>
        </w:rPr>
      </w:pPr>
    </w:p>
    <w:p>
      <w:pPr>
        <w:ind w:left="1980" w:right="1159" w:firstLine="294"/>
        <w:spacing w:after="0" w:line="323" w:lineRule="auto"/>
        <w:rPr>
          <w:sz w:val="20"/>
          <w:szCs w:val="20"/>
          <w:color w:val="auto"/>
        </w:rPr>
      </w:pPr>
      <w:r>
        <w:rPr>
          <w:rFonts w:ascii="Arial" w:cs="Arial" w:eastAsia="Arial" w:hAnsi="Arial"/>
          <w:sz w:val="11"/>
          <w:szCs w:val="11"/>
          <w:color w:val="auto"/>
        </w:rPr>
        <w:t>As of December 31, 2020, the Company had approximately $1.7 million in its operating bank account and working capital of approximately $1.5 million (not taking into account approximately $ 105,000 of taxes that may be paid using interest income from the Trust Account).</w:t>
      </w:r>
    </w:p>
    <w:p>
      <w:pPr>
        <w:spacing w:after="0" w:line="9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 Company’s liquidity needs prior to the consummation of the Initial Public Offering were satisfied through a payment of $25,000 from the Sponsor to cover certain expenses on behalf of the Company in exchange for the issuance of the Founder Shares (as defined below), the loan under the Note from the Sponsor of $200,000 (see Note 5) to the Company. The Company folly repaid the Note on October 9, 2020. Subsequent to the consummation of the Initial Public Offering, the Company’s liquidity has been satisfied through the portion of the proceeds of the Initial Public Offering and the Private Placement held outside of the Trust Account. In addition, in order to finance transaction costs in connection with a Business Combination, the Sponsor or an affiliate of the Sponsor, or certain of the Company’s officers and directors may, but are not obligated to, provide the Company Working Capital Loans (see Note 5). To date, there were no amounts outstanding under any Working Capital Loans.</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Risks and uncertainties</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Management continues to evaluate the impact of the COVID-19 pandemic on the industry and has concluded that while it is reasonably possible that the virus could have an effect on the Company’s financial</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F-73</w:t>
      </w:r>
    </w:p>
    <w:p>
      <w:pPr>
        <w:sectPr>
          <w:pgSz w:w="11900" w:h="16838" w:orient="portrait"/>
          <w:cols w:equalWidth="0" w:num="1">
            <w:col w:w="10159"/>
          </w:cols>
          <w:pgMar w:left="300" w:top="372" w:right="1440" w:bottom="1440" w:gutter="0" w:footer="0" w:header="0"/>
        </w:sectPr>
      </w:pPr>
    </w:p>
    <w:bookmarkStart w:id="401" w:name="page402"/>
    <w:bookmarkEnd w:id="4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323" w:lineRule="auto"/>
        <w:rPr>
          <w:sz w:val="20"/>
          <w:szCs w:val="20"/>
          <w:color w:val="auto"/>
        </w:rPr>
      </w:pPr>
      <w:r>
        <w:rPr>
          <w:rFonts w:ascii="Arial" w:cs="Arial" w:eastAsia="Arial" w:hAnsi="Arial"/>
          <w:sz w:val="11"/>
          <w:szCs w:val="11"/>
          <w:color w:val="auto"/>
        </w:rPr>
        <w:t>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2 —Restatement of Previously Issued Financial Statements</w:t>
      </w:r>
    </w:p>
    <w:p>
      <w:pPr>
        <w:spacing w:after="0" w:line="82"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In May 2021, the Audit Committee of the Company, in consultation with management, concluded that, because of a misapplication of the accounting guidance related to its public and private placement warrants to purchase common stock that the Company issued in October 2020 (the “Warrants”), the Company’s previously issued financial statements for the Affected Period should no longer be relied upon. As such, the Company is restating its financial statements for the Affected Period included in this Annual Report.</w:t>
      </w:r>
    </w:p>
    <w:p>
      <w:pPr>
        <w:spacing w:after="0" w:line="111"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On April 12, 2021, the staff of the Securities and Exchange Commission (the “SEC Staff’) issued a public statement entitled “Staff Statement on Accounting and Reporting Considerations for Warrants issued by Special Purpose Acquisition Companies (“SPACs”)” (the “Public Statement”). In the Public Statement, the SEC Staff expressed its view that certain terms and conditions common to SPAC warrants may require the warrants to be classified as liabilities on the SPAC’s balance sheet and, based on our application of Financial Accounting Standards Board (“FASB”) Accounting Standard Codification (“ASC”) Topic 815-40, Derivatives and Hedging, Contracts in Entity’s Own Equity (“ASC 815-40”), our statement of operations did not include subsequent non-cash changes in estimated fair value of the Warrants. The views expressed in the Public Statement were not consistent with our historical interpretation of specific provisions within our warrant agreement, dated as of October 6, 2021 (“warrant agreement”), and our application of ASC 815-40 to the warrant agreement. Since issuance on October 9, 2020, the Company’s warrants were accounted for as equity within the Company’s previously reported balance sheets. After discussion and evaluation, including with the Company’s independent registered public accounting firm and the Company’s audit committee, management concluded that the warrants should be presented as liabilities with subsequent fair value remeasurement.</w:t>
      </w:r>
    </w:p>
    <w:p>
      <w:pPr>
        <w:spacing w:after="0" w:line="116" w:lineRule="exact"/>
        <w:rPr>
          <w:sz w:val="20"/>
          <w:szCs w:val="20"/>
          <w:color w:val="auto"/>
        </w:rPr>
      </w:pPr>
    </w:p>
    <w:p>
      <w:pPr>
        <w:jc w:val="both"/>
        <w:ind w:left="1980" w:right="899" w:firstLine="294"/>
        <w:spacing w:after="0" w:line="298" w:lineRule="auto"/>
        <w:rPr>
          <w:sz w:val="20"/>
          <w:szCs w:val="20"/>
          <w:color w:val="auto"/>
        </w:rPr>
      </w:pPr>
      <w:r>
        <w:rPr>
          <w:rFonts w:ascii="Arial" w:cs="Arial" w:eastAsia="Arial" w:hAnsi="Arial"/>
          <w:sz w:val="11"/>
          <w:szCs w:val="11"/>
          <w:color w:val="auto"/>
        </w:rPr>
        <w:t>Therefore, the Company, in consultation with its Audit Committee, concluded that its previously issued Financial Statements as of December 31, 2020, and for the period from July 6, 2020 (inception) through December 31, 2020 should be restated because of a reclassification of of our outstanding warrants to purchase common stock (the “Warrants”) and, solely as a result of this material weakness, should no longer be relied upon.</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F-74</w:t>
      </w:r>
    </w:p>
    <w:p>
      <w:pPr>
        <w:sectPr>
          <w:pgSz w:w="11900" w:h="16838" w:orient="portrait"/>
          <w:cols w:equalWidth="0" w:num="1">
            <w:col w:w="10159"/>
          </w:cols>
          <w:pgMar w:left="300" w:top="372" w:right="1440" w:bottom="1440" w:gutter="0" w:footer="0" w:header="0"/>
        </w:sectPr>
      </w:pPr>
    </w:p>
    <w:bookmarkStart w:id="402" w:name="page403"/>
    <w:bookmarkEnd w:id="4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Impact of the Restatement</w:t>
      </w:r>
    </w:p>
    <w:p>
      <w:pPr>
        <w:spacing w:after="0" w:line="78"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The impact of the restatement on the balance sheets, statements of operations and statements of cash flows for the Affected Period is presented below. The restatement had no impact on net cash flows from operating, investing or financing activities.</w:t>
      </w: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86"/>
              </w:rPr>
              <w:t>As of December 31, 2020</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gridSpan w:val="3"/>
          </w:tcPr>
          <w:p>
            <w:pPr>
              <w:jc w:val="center"/>
              <w:ind w:right="140"/>
              <w:spacing w:after="0" w:line="74" w:lineRule="exact"/>
              <w:rPr>
                <w:sz w:val="20"/>
                <w:szCs w:val="20"/>
                <w:color w:val="auto"/>
              </w:rPr>
            </w:pPr>
            <w:r>
              <w:rPr>
                <w:rFonts w:ascii="Arial" w:cs="Arial" w:eastAsia="Arial" w:hAnsi="Arial"/>
                <w:sz w:val="8"/>
                <w:szCs w:val="8"/>
                <w:b w:val="1"/>
                <w:bCs w:val="1"/>
                <w:color w:val="auto"/>
              </w:rPr>
              <w:t>As Previously</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2"/>
          </w:tcPr>
          <w:p>
            <w:pPr>
              <w:jc w:val="right"/>
              <w:ind w:right="440"/>
              <w:spacing w:after="0" w:line="74" w:lineRule="exact"/>
              <w:rPr>
                <w:sz w:val="20"/>
                <w:szCs w:val="20"/>
                <w:color w:val="auto"/>
              </w:rPr>
            </w:pPr>
            <w:r>
              <w:rPr>
                <w:rFonts w:ascii="Arial" w:cs="Arial" w:eastAsia="Arial" w:hAnsi="Arial"/>
                <w:sz w:val="8"/>
                <w:szCs w:val="8"/>
                <w:b w:val="1"/>
                <w:bCs w:val="1"/>
                <w:color w:val="auto"/>
              </w:rPr>
              <w:t>Restatement</w:t>
            </w: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Reported</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w w:val="90"/>
              </w:rPr>
              <w:t>Adjustment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2"/>
              </w:rPr>
              <w:t>As Restated</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Balance Sheet</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left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Total assets</w:t>
            </w:r>
          </w:p>
        </w:tc>
        <w:tc>
          <w:tcPr>
            <w:tcW w:w="620" w:type="dxa"/>
            <w:vAlign w:val="bottom"/>
            <w:gridSpan w:val="3"/>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412,780,872</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u w:val="single" w:color="auto"/>
                <w:color w:val="auto"/>
                <w:w w:val="84"/>
              </w:rPr>
              <w:t>$</w:t>
            </w:r>
            <w:r>
              <w:rPr>
                <w:rFonts w:ascii="Arial" w:cs="Arial" w:eastAsia="Arial" w:hAnsi="Arial"/>
                <w:sz w:val="12"/>
                <w:szCs w:val="12"/>
                <w:color w:val="auto"/>
                <w:w w:val="84"/>
              </w:rPr>
              <w:t>412,780,872</w:t>
            </w:r>
          </w:p>
        </w:tc>
        <w:tc>
          <w:tcPr>
            <w:tcW w:w="0" w:type="dxa"/>
            <w:vAlign w:val="bottom"/>
          </w:tcPr>
          <w:p>
            <w:pPr>
              <w:spacing w:after="0"/>
              <w:rPr>
                <w:sz w:val="1"/>
                <w:szCs w:val="1"/>
                <w:color w:val="auto"/>
              </w:rPr>
            </w:pPr>
          </w:p>
        </w:tc>
      </w:tr>
      <w:tr>
        <w:trPr>
          <w:trHeight w:val="142"/>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Liabilities and stockholders’ equity</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552,723</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552,723</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Deferred underwriting commissions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14,375,138</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14,375,138</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Derivative warrant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left="321"/>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6"/>
              </w:rPr>
              <w:t>49,097,230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49,097,230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14,927,861</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49,097,230</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64,025,091</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Class A common stock, $0.0001 par value; shares subject to possible redemption</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w w:val="95"/>
              </w:rPr>
              <w:t>392,853,010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w w:val="91"/>
              </w:rPr>
              <w:t>(49,097,230)</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343,755,780</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Preferred stock- $0.0001 par value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left="141"/>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Class A common stock—$0.0001 par value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2"/>
                <w:szCs w:val="12"/>
                <w:color w:val="auto"/>
              </w:rPr>
              <w:t>491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Class B common stock—$0.0001 par value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1,027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1.027</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5,385,198</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6"/>
              </w:rPr>
              <w:t>10,387,424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15,772,622</w:t>
            </w: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Accumulated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(386,403)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w w:val="91"/>
              </w:rPr>
              <w:t>(10,387,915)</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(10,774,318)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5,000,001</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9"/>
              </w:rPr>
              <w:t>—</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5,000,001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Total liabilities and stockholders’ equity</w:t>
            </w:r>
          </w:p>
        </w:tc>
        <w:tc>
          <w:tcPr>
            <w:tcW w:w="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412,780,872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ind w:left="420"/>
              <w:spacing w:after="0"/>
              <w:rPr>
                <w:sz w:val="20"/>
                <w:szCs w:val="20"/>
                <w:color w:val="auto"/>
              </w:rPr>
            </w:pPr>
            <w:r>
              <w:rPr>
                <w:rFonts w:ascii="Arial" w:cs="Arial" w:eastAsia="Arial" w:hAnsi="Arial"/>
                <w:sz w:val="12"/>
                <w:szCs w:val="12"/>
                <w:color w:val="auto"/>
                <w:w w:val="99"/>
              </w:rPr>
              <w:t>—</w:t>
            </w:r>
          </w:p>
        </w:tc>
        <w:tc>
          <w:tcPr>
            <w:tcW w:w="38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u w:val="single" w:color="auto"/>
                <w:color w:val="auto"/>
                <w:w w:val="84"/>
              </w:rPr>
              <w:t>$</w:t>
            </w:r>
            <w:r>
              <w:rPr>
                <w:rFonts w:ascii="Arial" w:cs="Arial" w:eastAsia="Arial" w:hAnsi="Arial"/>
                <w:sz w:val="12"/>
                <w:szCs w:val="12"/>
                <w:color w:val="auto"/>
                <w:w w:val="84"/>
              </w:rPr>
              <w:t>412,780,872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gridSpan w:val="9"/>
          </w:tcPr>
          <w:p>
            <w:pPr>
              <w:jc w:val="center"/>
              <w:ind w:right="120"/>
              <w:spacing w:after="0"/>
              <w:rPr>
                <w:sz w:val="20"/>
                <w:szCs w:val="20"/>
                <w:color w:val="auto"/>
              </w:rPr>
            </w:pPr>
            <w:r>
              <w:rPr>
                <w:rFonts w:ascii="Arial" w:cs="Arial" w:eastAsia="Arial" w:hAnsi="Arial"/>
                <w:sz w:val="10"/>
                <w:szCs w:val="10"/>
                <w:b w:val="1"/>
                <w:bCs w:val="1"/>
                <w:color w:val="auto"/>
                <w:w w:val="88"/>
              </w:rPr>
              <w:t>Period From July 6, 2020 (Inception) Through</w:t>
            </w:r>
          </w:p>
        </w:tc>
        <w:tc>
          <w:tcPr>
            <w:tcW w:w="0" w:type="dxa"/>
            <w:vAlign w:val="bottom"/>
          </w:tcPr>
          <w:p>
            <w:pPr>
              <w:spacing w:after="0"/>
              <w:rPr>
                <w:sz w:val="1"/>
                <w:szCs w:val="1"/>
                <w:color w:val="auto"/>
              </w:rPr>
            </w:pPr>
          </w:p>
        </w:tc>
      </w:tr>
      <w:tr>
        <w:trPr>
          <w:trHeight w:val="113"/>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December 31, 2020</w:t>
            </w: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gridSpan w:val="3"/>
          </w:tcPr>
          <w:p>
            <w:pPr>
              <w:jc w:val="center"/>
              <w:ind w:right="180"/>
              <w:spacing w:after="0" w:line="74" w:lineRule="exact"/>
              <w:rPr>
                <w:sz w:val="20"/>
                <w:szCs w:val="20"/>
                <w:color w:val="auto"/>
              </w:rPr>
            </w:pPr>
            <w:r>
              <w:rPr>
                <w:rFonts w:ascii="Arial" w:cs="Arial" w:eastAsia="Arial" w:hAnsi="Arial"/>
                <w:sz w:val="8"/>
                <w:szCs w:val="8"/>
                <w:b w:val="1"/>
                <w:bCs w:val="1"/>
                <w:color w:val="auto"/>
              </w:rPr>
              <w:t>As Previously</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2"/>
          </w:tcPr>
          <w:p>
            <w:pPr>
              <w:jc w:val="right"/>
              <w:ind w:right="440"/>
              <w:spacing w:after="0" w:line="74" w:lineRule="exact"/>
              <w:rPr>
                <w:sz w:val="20"/>
                <w:szCs w:val="20"/>
                <w:color w:val="auto"/>
              </w:rPr>
            </w:pPr>
            <w:r>
              <w:rPr>
                <w:rFonts w:ascii="Arial" w:cs="Arial" w:eastAsia="Arial" w:hAnsi="Arial"/>
                <w:sz w:val="8"/>
                <w:szCs w:val="8"/>
                <w:b w:val="1"/>
                <w:bCs w:val="1"/>
                <w:color w:val="auto"/>
              </w:rPr>
              <w:t>Restatement</w:t>
            </w: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Reported</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right"/>
              <w:ind w:right="460"/>
              <w:spacing w:after="0" w:line="114" w:lineRule="exact"/>
              <w:rPr>
                <w:sz w:val="20"/>
                <w:szCs w:val="20"/>
                <w:color w:val="auto"/>
              </w:rPr>
            </w:pPr>
            <w:r>
              <w:rPr>
                <w:rFonts w:ascii="Arial" w:cs="Arial" w:eastAsia="Arial" w:hAnsi="Arial"/>
                <w:sz w:val="10"/>
                <w:szCs w:val="10"/>
                <w:b w:val="1"/>
                <w:bCs w:val="1"/>
                <w:color w:val="auto"/>
                <w:w w:val="87"/>
              </w:rPr>
              <w:t>Adjustment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2"/>
              </w:rPr>
              <w:t>As Restated</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Statement of Operations</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left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Loss from operations</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(454,875)</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(454,875)</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(expense)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Financing costs—derivative warrant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w w:val="97"/>
              </w:rPr>
              <w:t>(6,800,025)</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(6,800,025)</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derivative warrant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7"/>
              </w:rPr>
              <w:t>(3,587,890)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(3,587,890)</w:t>
            </w:r>
          </w:p>
        </w:tc>
        <w:tc>
          <w:tcPr>
            <w:tcW w:w="0" w:type="dxa"/>
            <w:vAlign w:val="bottom"/>
          </w:tcPr>
          <w:p>
            <w:pPr>
              <w:spacing w:after="0"/>
              <w:rPr>
                <w:sz w:val="1"/>
                <w:szCs w:val="1"/>
                <w:color w:val="auto"/>
              </w:rPr>
            </w:pPr>
          </w:p>
        </w:tc>
      </w:tr>
      <w:tr>
        <w:trPr>
          <w:trHeight w:val="144"/>
        </w:trPr>
        <w:tc>
          <w:tcPr>
            <w:tcW w:w="4600" w:type="dxa"/>
            <w:vAlign w:val="bottom"/>
          </w:tcPr>
          <w:p>
            <w:pPr>
              <w:ind w:left="240"/>
              <w:spacing w:after="0"/>
              <w:rPr>
                <w:sz w:val="20"/>
                <w:szCs w:val="20"/>
                <w:color w:val="auto"/>
              </w:rPr>
            </w:pPr>
            <w:r>
              <w:rPr>
                <w:rFonts w:ascii="Arial" w:cs="Arial" w:eastAsia="Arial" w:hAnsi="Arial"/>
                <w:sz w:val="12"/>
                <w:szCs w:val="12"/>
                <w:color w:val="auto"/>
              </w:rPr>
              <w:t>Interest earned on marketable securities held in Trust Account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79,568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79,568</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 on marketable securtities held in Trust Account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5,613</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5,613</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40"/>
              <w:spacing w:after="0"/>
              <w:rPr>
                <w:sz w:val="20"/>
                <w:szCs w:val="20"/>
                <w:color w:val="auto"/>
              </w:rPr>
            </w:pPr>
            <w:r>
              <w:rPr>
                <w:rFonts w:ascii="Arial" w:cs="Arial" w:eastAsia="Arial" w:hAnsi="Arial"/>
                <w:sz w:val="12"/>
                <w:szCs w:val="12"/>
                <w:color w:val="auto"/>
              </w:rPr>
              <w:t>Total other (expense) income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85,181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w w:val="88"/>
              </w:rPr>
              <w:t>(10,387,915)</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(10,302,734)</w:t>
            </w:r>
          </w:p>
        </w:tc>
        <w:tc>
          <w:tcPr>
            <w:tcW w:w="0" w:type="dxa"/>
            <w:vAlign w:val="bottom"/>
          </w:tcPr>
          <w:p>
            <w:pPr>
              <w:spacing w:after="0"/>
              <w:rPr>
                <w:sz w:val="1"/>
                <w:szCs w:val="1"/>
                <w:color w:val="auto"/>
              </w:rPr>
            </w:pPr>
          </w:p>
        </w:tc>
      </w:tr>
      <w:tr>
        <w:trPr>
          <w:trHeight w:val="14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16,709</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16,709</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40"/>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(386,403)</w:t>
            </w:r>
          </w:p>
        </w:tc>
        <w:tc>
          <w:tcPr>
            <w:tcW w:w="1220" w:type="dxa"/>
            <w:vAlign w:val="bottom"/>
            <w:gridSpan w:val="4"/>
          </w:tcPr>
          <w:p>
            <w:pPr>
              <w:jc w:val="right"/>
              <w:ind w:right="3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(10,387,915)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(10,774,318)</w:t>
            </w:r>
          </w:p>
        </w:tc>
        <w:tc>
          <w:tcPr>
            <w:tcW w:w="0" w:type="dxa"/>
            <w:vAlign w:val="bottom"/>
          </w:tcPr>
          <w:p>
            <w:pPr>
              <w:spacing w:after="0"/>
              <w:rPr>
                <w:sz w:val="1"/>
                <w:szCs w:val="1"/>
                <w:color w:val="auto"/>
              </w:rPr>
            </w:pPr>
          </w:p>
        </w:tc>
      </w:tr>
      <w:tr>
        <w:trPr>
          <w:trHeight w:val="133"/>
        </w:trPr>
        <w:tc>
          <w:tcPr>
            <w:tcW w:w="4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6"/>
              </w:rPr>
              <w:t>Weighted average shares outstanding of common stock subject to redemption, basic and</w:t>
            </w: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8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38,896,852</w:t>
            </w:r>
          </w:p>
        </w:tc>
        <w:tc>
          <w:tcPr>
            <w:tcW w:w="1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7"/>
              </w:rPr>
              <w:t>(4,510,304)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34.386,548</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Basic and diluted net loss per share, common stock subject to redemption</w:t>
            </w: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 of common stock, basic and diluted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10,985,515</w:t>
            </w:r>
          </w:p>
        </w:tc>
        <w:tc>
          <w:tcPr>
            <w:tcW w:w="1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2,338,676</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13,324,191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Basic and diluted net loss per share, common stock</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ind w:left="181"/>
              <w:spacing w:after="0"/>
              <w:rPr>
                <w:sz w:val="20"/>
                <w:szCs w:val="20"/>
                <w:color w:val="auto"/>
              </w:rPr>
            </w:pPr>
            <w:r>
              <w:rPr>
                <w:rFonts w:ascii="Arial" w:cs="Arial" w:eastAsia="Arial" w:hAnsi="Arial"/>
                <w:sz w:val="12"/>
                <w:szCs w:val="12"/>
                <w:color w:val="auto"/>
                <w:w w:val="89"/>
              </w:rPr>
              <w:t>(0.04 ) $</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(0.77 ) $</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41"/>
        </w:trPr>
        <w:tc>
          <w:tcPr>
            <w:tcW w:w="4600" w:type="dxa"/>
            <w:vAlign w:val="bottom"/>
          </w:tcPr>
          <w:p>
            <w:pPr>
              <w:ind w:left="3560"/>
              <w:spacing w:after="0"/>
              <w:rPr>
                <w:sz w:val="20"/>
                <w:szCs w:val="20"/>
                <w:color w:val="auto"/>
              </w:rPr>
            </w:pPr>
            <w:r>
              <w:rPr>
                <w:rFonts w:ascii="Arial" w:cs="Arial" w:eastAsia="Arial" w:hAnsi="Arial"/>
                <w:sz w:val="12"/>
                <w:szCs w:val="12"/>
                <w:color w:val="auto"/>
              </w:rPr>
              <w:t>F-75</w:t>
            </w: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sectPr>
      </w:pPr>
    </w:p>
    <w:bookmarkStart w:id="403" w:name="page404"/>
    <w:bookmarkEnd w:id="4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2780" w:type="dxa"/>
            <w:vAlign w:val="bottom"/>
            <w:gridSpan w:val="8"/>
          </w:tcPr>
          <w:p>
            <w:pPr>
              <w:jc w:val="center"/>
              <w:ind w:right="80"/>
              <w:spacing w:after="0"/>
              <w:rPr>
                <w:sz w:val="20"/>
                <w:szCs w:val="20"/>
                <w:color w:val="auto"/>
              </w:rPr>
            </w:pPr>
            <w:r>
              <w:rPr>
                <w:rFonts w:ascii="Arial" w:cs="Arial" w:eastAsia="Arial" w:hAnsi="Arial"/>
                <w:sz w:val="10"/>
                <w:szCs w:val="10"/>
                <w:b w:val="1"/>
                <w:bCs w:val="1"/>
                <w:color w:val="auto"/>
                <w:w w:val="88"/>
              </w:rPr>
              <w:t>Period From July 6, 2020 (Inception) Through</w:t>
            </w:r>
          </w:p>
        </w:tc>
      </w:tr>
      <w:tr>
        <w:trPr>
          <w:trHeight w:val="113"/>
        </w:trPr>
        <w:tc>
          <w:tcPr>
            <w:tcW w:w="45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December 31, 2020</w:t>
            </w: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4"/>
        </w:trPr>
        <w:tc>
          <w:tcPr>
            <w:tcW w:w="4560" w:type="dxa"/>
            <w:vAlign w:val="bottom"/>
          </w:tcPr>
          <w:p>
            <w:pPr>
              <w:spacing w:after="0"/>
              <w:rPr>
                <w:sz w:val="6"/>
                <w:szCs w:val="6"/>
                <w:color w:val="auto"/>
              </w:rPr>
            </w:pPr>
          </w:p>
        </w:tc>
        <w:tc>
          <w:tcPr>
            <w:tcW w:w="860" w:type="dxa"/>
            <w:vAlign w:val="bottom"/>
            <w:gridSpan w:val="2"/>
          </w:tcPr>
          <w:p>
            <w:pPr>
              <w:jc w:val="right"/>
              <w:ind w:right="220"/>
              <w:spacing w:after="0" w:line="74" w:lineRule="exact"/>
              <w:rPr>
                <w:sz w:val="20"/>
                <w:szCs w:val="20"/>
                <w:color w:val="auto"/>
              </w:rPr>
            </w:pPr>
            <w:r>
              <w:rPr>
                <w:rFonts w:ascii="Arial" w:cs="Arial" w:eastAsia="Arial" w:hAnsi="Arial"/>
                <w:sz w:val="8"/>
                <w:szCs w:val="8"/>
                <w:b w:val="1"/>
                <w:bCs w:val="1"/>
                <w:color w:val="auto"/>
              </w:rPr>
              <w:t>As Previously</w:t>
            </w:r>
          </w:p>
        </w:tc>
        <w:tc>
          <w:tcPr>
            <w:tcW w:w="260" w:type="dxa"/>
            <w:vAlign w:val="bottom"/>
          </w:tcPr>
          <w:p>
            <w:pPr>
              <w:spacing w:after="0"/>
              <w:rPr>
                <w:sz w:val="6"/>
                <w:szCs w:val="6"/>
                <w:color w:val="auto"/>
              </w:rPr>
            </w:pPr>
          </w:p>
        </w:tc>
        <w:tc>
          <w:tcPr>
            <w:tcW w:w="88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Restatement</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13"/>
        </w:trPr>
        <w:tc>
          <w:tcPr>
            <w:tcW w:w="4560" w:type="dxa"/>
            <w:vAlign w:val="bottom"/>
          </w:tcPr>
          <w:p>
            <w:pPr>
              <w:spacing w:after="0"/>
              <w:rPr>
                <w:sz w:val="9"/>
                <w:szCs w:val="9"/>
                <w:color w:val="auto"/>
              </w:rPr>
            </w:pPr>
          </w:p>
        </w:tc>
        <w:tc>
          <w:tcPr>
            <w:tcW w:w="86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Reported</w:t>
            </w:r>
          </w:p>
        </w:tc>
        <w:tc>
          <w:tcPr>
            <w:tcW w:w="260" w:type="dxa"/>
            <w:vAlign w:val="bottom"/>
          </w:tcPr>
          <w:p>
            <w:pPr>
              <w:spacing w:after="0"/>
              <w:rPr>
                <w:sz w:val="9"/>
                <w:szCs w:val="9"/>
                <w:color w:val="auto"/>
              </w:rPr>
            </w:pPr>
          </w:p>
        </w:tc>
        <w:tc>
          <w:tcPr>
            <w:tcW w:w="8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Adjustment</w:t>
            </w:r>
          </w:p>
        </w:tc>
        <w:tc>
          <w:tcPr>
            <w:tcW w:w="78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As Restated</w:t>
            </w:r>
          </w:p>
        </w:tc>
      </w:tr>
      <w:tr>
        <w:trPr>
          <w:trHeight w:val="124"/>
        </w:trPr>
        <w:tc>
          <w:tcPr>
            <w:tcW w:w="45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Statement of Cash Flows</w:t>
            </w: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4560" w:type="dxa"/>
            <w:vAlign w:val="bottom"/>
          </w:tcPr>
          <w:p>
            <w:pPr>
              <w:ind w:left="240"/>
              <w:spacing w:after="0"/>
              <w:rPr>
                <w:sz w:val="20"/>
                <w:szCs w:val="20"/>
                <w:color w:val="auto"/>
              </w:rPr>
            </w:pPr>
            <w:r>
              <w:rPr>
                <w:rFonts w:ascii="Arial" w:cs="Arial" w:eastAsia="Arial" w:hAnsi="Arial"/>
                <w:sz w:val="12"/>
                <w:szCs w:val="12"/>
                <w:color w:val="auto"/>
              </w:rPr>
              <w:t>Net cash used in operating activities</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(248,954)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(248,954)</w:t>
            </w:r>
          </w:p>
        </w:tc>
      </w:tr>
      <w:tr>
        <w:trPr>
          <w:trHeight w:val="144"/>
        </w:trPr>
        <w:tc>
          <w:tcPr>
            <w:tcW w:w="4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investing activities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6"/>
              </w:rPr>
              <w:t>(410,718,230)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(410,718,230)</w:t>
            </w:r>
          </w:p>
        </w:tc>
      </w:tr>
      <w:tr>
        <w:trPr>
          <w:trHeight w:val="144"/>
        </w:trPr>
        <w:tc>
          <w:tcPr>
            <w:tcW w:w="4560" w:type="dxa"/>
            <w:vAlign w:val="bottom"/>
          </w:tcPr>
          <w:p>
            <w:pPr>
              <w:ind w:left="240"/>
              <w:spacing w:after="0"/>
              <w:rPr>
                <w:sz w:val="20"/>
                <w:szCs w:val="20"/>
                <w:color w:val="auto"/>
              </w:rPr>
            </w:pPr>
            <w:r>
              <w:rPr>
                <w:rFonts w:ascii="Arial" w:cs="Arial" w:eastAsia="Arial" w:hAnsi="Arial"/>
                <w:sz w:val="12"/>
                <w:szCs w:val="12"/>
                <w:color w:val="auto"/>
              </w:rPr>
              <w:t>Net cash provided by financing activities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412,663,675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412,663,675</w:t>
            </w:r>
          </w:p>
        </w:tc>
      </w:tr>
      <w:tr>
        <w:trPr>
          <w:trHeight w:val="20"/>
        </w:trPr>
        <w:tc>
          <w:tcPr>
            <w:tcW w:w="4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change in cash</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   1,696,491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   1,696,491</w:t>
            </w:r>
          </w:p>
        </w:tc>
      </w:tr>
      <w:tr>
        <w:trPr>
          <w:trHeight w:val="27"/>
        </w:trPr>
        <w:tc>
          <w:tcPr>
            <w:tcW w:w="4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addition, the impact to the balance sheet dated October 9, 2020, filed on Form 8-K on October 16, 2020 related to the impact of accounting for the Public Warrants and Private Placement Warrants as liabilities at fair value resulted in a $44.4 million increase to the derivative warrant liabilities line item at October 9, 2020 and offsetting decrease to the Class A common stock subject to possible redemption mezzanine equity line item. There was no change to total stockholders’ equity at the reported balance sheet date.</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3—Summary of Significant Accounting Policies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Cash and Cash Equivalents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Company considers all short-term investments with an original maturity of three months or less when purchased to be cash equivalents.</w:t>
      </w:r>
    </w:p>
    <w:p>
      <w:pPr>
        <w:spacing w:after="0" w:line="2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Cash and Marketable Securities Held in Trust Account</w:t>
      </w:r>
    </w:p>
    <w:p>
      <w:pPr>
        <w:spacing w:after="0" w:line="78"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Company’s portfolio of investments held in the Trust Account is comprised of cash and U.S. government securities, within the meaning set forth in Section 2(a)(16) of the Investment Company Act. with a maturity of 185 days or less.</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Concentration of Credit Risk</w:t>
      </w:r>
    </w:p>
    <w:p>
      <w:pPr>
        <w:spacing w:after="0" w:line="78"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of cash accounts in a financial institution, which, at times, may exceed the Federal Depository Insurance Coverage limit of $250,000. and any investments held in Trust Account. As of December 31, 2020. the Company had not experienced losses on these accounts and management believes the Company is not exposed to significant risks on such accounts. The Company’s investments held in the Trust Account as of December 31, 2020 is comprised of investments in U.S. Treasury securities with an original maturity of 185 days or less.</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Fair Value of Financial Instruments</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F-76</w:t>
      </w:r>
    </w:p>
    <w:p>
      <w:pPr>
        <w:sectPr>
          <w:pgSz w:w="11900" w:h="16838" w:orient="portrait"/>
          <w:cols w:equalWidth="0" w:num="1">
            <w:col w:w="10159"/>
          </w:cols>
          <w:pgMar w:left="300" w:top="372" w:right="1440" w:bottom="1440" w:gutter="0" w:footer="0" w:header="0"/>
        </w:sectPr>
      </w:pPr>
    </w:p>
    <w:bookmarkStart w:id="404" w:name="page405"/>
    <w:bookmarkEnd w:id="4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52" w:lineRule="exact"/>
        <w:rPr>
          <w:sz w:val="20"/>
          <w:szCs w:val="20"/>
          <w:color w:val="auto"/>
        </w:rPr>
      </w:pPr>
    </w:p>
    <w:p>
      <w:pPr>
        <w:ind w:left="2620" w:hanging="288"/>
        <w:spacing w:after="0"/>
        <w:tabs>
          <w:tab w:leader="none" w:pos="26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Level 1, defined as observable inputs such as quoted prices for identical instruments in active markets;</w:t>
      </w:r>
    </w:p>
    <w:p>
      <w:pPr>
        <w:spacing w:after="0" w:line="87" w:lineRule="exact"/>
        <w:rPr>
          <w:rFonts w:ascii="Arial" w:cs="Arial" w:eastAsia="Arial" w:hAnsi="Arial"/>
          <w:sz w:val="12"/>
          <w:szCs w:val="12"/>
          <w:color w:val="auto"/>
        </w:rPr>
      </w:pPr>
    </w:p>
    <w:p>
      <w:pPr>
        <w:ind w:left="2620" w:right="959" w:hanging="288"/>
        <w:spacing w:after="0" w:line="323" w:lineRule="auto"/>
        <w:tabs>
          <w:tab w:leader="none" w:pos="262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8" w:lineRule="exact"/>
        <w:rPr>
          <w:rFonts w:ascii="Arial" w:cs="Arial" w:eastAsia="Arial" w:hAnsi="Arial"/>
          <w:sz w:val="11"/>
          <w:szCs w:val="11"/>
          <w:color w:val="auto"/>
        </w:rPr>
      </w:pPr>
    </w:p>
    <w:p>
      <w:pPr>
        <w:ind w:left="2620" w:right="939" w:hanging="288"/>
        <w:spacing w:after="0" w:line="263" w:lineRule="auto"/>
        <w:tabs>
          <w:tab w:leader="none" w:pos="26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left="1980" w:right="1139" w:firstLine="294"/>
        <w:spacing w:after="0" w:line="323" w:lineRule="auto"/>
        <w:rPr>
          <w:sz w:val="20"/>
          <w:szCs w:val="20"/>
          <w:color w:val="auto"/>
        </w:rPr>
      </w:pPr>
      <w:r>
        <w:rPr>
          <w:rFonts w:ascii="Arial" w:cs="Arial" w:eastAsia="Arial" w:hAnsi="Arial"/>
          <w:sz w:val="11"/>
          <w:szCs w:val="11"/>
          <w:color w:val="auto"/>
        </w:rPr>
        <w:t>The fair value of the Company’s assets and liabilities, which qualify as financial instruments under ASC 820, “Fair Value Measurements and Disclosures,” approximates the carrying amounts represented in the accompanying balance sheet, primarily due to their short-term nature.</w:t>
      </w:r>
    </w:p>
    <w:p>
      <w:pPr>
        <w:spacing w:after="0" w:line="92"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The fair value of the Public Warrants (if not market observed) and Private Placement Warrants is estimated using a Binomial Lattice in a risk-neutral framework. The future stock price of the Company is modeled assuming a Geometric Brownian Motion in a risk-neutral framework. For each modeled future price, the warrant payoff is calculated based on the contractual terms (incorporating any optimal early exercise / redemption), and then discounted at the term-matched risk-free rate. The value of the Warrants is calculated as the probability-weighted present value over all future modeled payoffs.</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Offering Costs Associated with the Initial Public Offering</w:t>
      </w:r>
    </w:p>
    <w:p>
      <w:pPr>
        <w:spacing w:after="0" w:line="78" w:lineRule="exact"/>
        <w:rPr>
          <w:sz w:val="20"/>
          <w:szCs w:val="20"/>
          <w:color w:val="auto"/>
        </w:rPr>
      </w:pPr>
    </w:p>
    <w:p>
      <w:pPr>
        <w:ind w:left="1980" w:right="879" w:firstLine="294"/>
        <w:spacing w:after="0" w:line="326" w:lineRule="auto"/>
        <w:rPr>
          <w:sz w:val="20"/>
          <w:szCs w:val="20"/>
          <w:color w:val="auto"/>
        </w:rPr>
      </w:pPr>
      <w:r>
        <w:rPr>
          <w:rFonts w:ascii="Arial" w:cs="Arial" w:eastAsia="Arial" w:hAnsi="Arial"/>
          <w:sz w:val="10"/>
          <w:szCs w:val="10"/>
          <w:color w:val="auto"/>
        </w:rPr>
        <w:t>Offering costs consisted of legal, accounting, underwriting fees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Public Shares were charged to stockholders’ equity upon the completion of the Initial Public Offering.</w:t>
      </w:r>
    </w:p>
    <w:p>
      <w:pPr>
        <w:spacing w:after="0" w:line="16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Class A Common Stock Subject to Possible Redemption</w:t>
      </w:r>
    </w:p>
    <w:p>
      <w:pPr>
        <w:spacing w:after="0" w:line="78"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The Company accounts for its Class A common stock subject to possible redemption in accordance with the guidance in ASC Topic 480 “Distinguishing Liabilities from Equity.” Shares of Class A common stock subject to mandatory redemption (if any) are classified as liability instruments and are measured at fair value. Conditionally redeemable shares of Class A common stock (including shares of Class A common stock that feature redemption rights that are either within the control of the holder or subject to redemption upon the occurrence of uncertain events not solely within the Company’s control) are classified as temporary equity. At all other times, shares of Class A common stock are classified as stockholders’ equity. Shares of Class A common stock of the Company feature certain redemption rights that are considered to be outside of the Company’s control and subject to the occurrence of uncertain future events. Accordingly, as of December 31, 2020, 34,375,578 shares of Class A common stock subject to possible redemption were presented as temporary equity, outside of the stockholders’ equity section of the Company’s balance sheet.</w:t>
      </w:r>
    </w:p>
    <w:p>
      <w:pPr>
        <w:spacing w:after="0" w:line="17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Derivative Warrant Liabilities</w:t>
      </w:r>
    </w:p>
    <w:p>
      <w:pPr>
        <w:spacing w:after="0" w:line="78"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The Company does not use derivative instruments to hedge exposures to cash flow, market, or foreign currency risks. The Company evaluates all of its financial instruments, including issued stock purchase warrants,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F-77</w:t>
      </w:r>
    </w:p>
    <w:p>
      <w:pPr>
        <w:sectPr>
          <w:pgSz w:w="11900" w:h="16838" w:orient="portrait"/>
          <w:cols w:equalWidth="0" w:num="1">
            <w:col w:w="10159"/>
          </w:cols>
          <w:pgMar w:left="300" w:top="372" w:right="1440" w:bottom="1440" w:gutter="0" w:footer="0" w:header="0"/>
        </w:sectPr>
      </w:pPr>
    </w:p>
    <w:bookmarkStart w:id="405" w:name="page406"/>
    <w:bookmarkEnd w:id="4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22" w:lineRule="exact"/>
        <w:rPr>
          <w:sz w:val="20"/>
          <w:szCs w:val="20"/>
          <w:color w:val="auto"/>
        </w:rPr>
      </w:pPr>
    </w:p>
    <w:p>
      <w:pPr>
        <w:jc w:val="both"/>
        <w:ind w:left="1980" w:right="919" w:firstLine="294"/>
        <w:spacing w:after="0" w:line="278" w:lineRule="auto"/>
        <w:rPr>
          <w:sz w:val="20"/>
          <w:szCs w:val="20"/>
          <w:color w:val="auto"/>
        </w:rPr>
      </w:pPr>
      <w:r>
        <w:rPr>
          <w:rFonts w:ascii="Arial" w:cs="Arial" w:eastAsia="Arial" w:hAnsi="Arial"/>
          <w:sz w:val="11"/>
          <w:szCs w:val="11"/>
          <w:color w:val="auto"/>
        </w:rPr>
        <w:t>The Company issued 20,535,912 warrants in connection with the Initial Public Offering (the “Public Warrants”) 10,214,365 warrants in a Private Placement Placement (the “Private Placement Warrants”). These warrants are recognized as derivative liabilities in accordance with ASC 815-40. The excess of the fair value of the Private Placement Warrants over the proceeds received is recognized as a financing cost of the derivative liability.</w:t>
      </w:r>
    </w:p>
    <w:p>
      <w:pPr>
        <w:spacing w:after="0" w:line="1" w:lineRule="exact"/>
        <w:rPr>
          <w:sz w:val="20"/>
          <w:szCs w:val="20"/>
          <w:color w:val="auto"/>
        </w:rPr>
      </w:pPr>
    </w:p>
    <w:p>
      <w:pPr>
        <w:ind w:left="1980" w:right="879"/>
        <w:spacing w:after="0" w:line="252" w:lineRule="auto"/>
        <w:rPr>
          <w:sz w:val="20"/>
          <w:szCs w:val="20"/>
          <w:color w:val="auto"/>
        </w:rPr>
      </w:pPr>
      <w:r>
        <w:rPr>
          <w:rFonts w:ascii="Arial" w:cs="Arial" w:eastAsia="Arial" w:hAnsi="Arial"/>
          <w:sz w:val="12"/>
          <w:szCs w:val="12"/>
          <w:color w:val="auto"/>
        </w:rPr>
        <w:t>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the Public Warrants (if not market observed) and Private Placement Warrants is estimated using a Binomial Lattice in a risk-neutral framework. The future stock price of the Company is modeled assuming a Geometric Brownian Motion in a risk-neutral framework. For each modeled future price, the Warrant payoff is calculated based on the contractual terms (incorporating any optimal early exercise / redemption), and then discounted at the term-matched risk-free rate. The value of the Warrants is calculated as the probability-weighted present value over all future modeled payoffs.</w:t>
      </w:r>
    </w:p>
    <w:p>
      <w:pPr>
        <w:spacing w:after="0" w:line="201"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Company complies with the accounting and reporting requirements of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8"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9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Net Income (Loss) Per Common Share</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 Company complies with accounting and disclosure requirements of FASB ASC Topic 260, “Earnings Per Share.” Net income (loss) per common share is computed by dividing net loss by the weighted average number of shares of common stock outstanding during the period. The Company has not considered the effect of the warrants sold in the Initial Public Offering and Private Placement to purchase an aggregate of 30,750,277 shares of the Company’s common stock in the calculation of diluted loss per share, since the exercise of the warrants are contingent upon the occurrence of future events and the inclusion of such warrants would be anti-dilutive.</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 Company’s statement of operations includes a presentation of income (loss) per common share for Class A common shares subject to possible redemption in a manner similar to the two-class method of income (loss) per common share. Net income (loss) per common share, basic and diluted, for Class A common stock subject to possible redemption is calculated by dividing the proportionate share of income or loss on marketable securities held by the Trust Account, net of applicable franchise and income taxes, by the weighted average number of shares of Class A common stock subject to possible redemption outstanding since original issuance.</w:t>
      </w:r>
    </w:p>
    <w:p>
      <w:pPr>
        <w:spacing w:after="0" w:line="128"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Net income (loss) per common share, basic and diluted, for non-redeemable common stock is calculated by dividing the net income (loss), adjusted for income or loss on marketable securities attributable to common stock</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F-78</w:t>
      </w:r>
    </w:p>
    <w:p>
      <w:pPr>
        <w:sectPr>
          <w:pgSz w:w="11900" w:h="16838" w:orient="portrait"/>
          <w:cols w:equalWidth="0" w:num="1">
            <w:col w:w="10159"/>
          </w:cols>
          <w:pgMar w:left="300" w:top="372" w:right="1440" w:bottom="1440" w:gutter="0" w:footer="0" w:header="0"/>
        </w:sectPr>
      </w:pPr>
    </w:p>
    <w:bookmarkStart w:id="406" w:name="page407"/>
    <w:bookmarkEnd w:id="4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subject to possible redemption, by the weighted average number of non-redeemable common stock outstanding for the period.</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Non-redeemable common stock includes Founder Shares and non-redeemable shares of Class A common stock as these shares do not have any redemption features. Non-redeemable common stock participates in the income or loss on marketable securities based on non-redeemable shares’ proportionate interest.</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reflects the calculation of basic and diluted net income (loss) per common share:</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For the Period</w:t>
            </w:r>
          </w:p>
        </w:tc>
      </w:tr>
      <w:tr>
        <w:trPr>
          <w:trHeight w:val="99"/>
        </w:trPr>
        <w:tc>
          <w:tcPr>
            <w:tcW w:w="6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from July 6,</w:t>
            </w:r>
          </w:p>
        </w:tc>
      </w:tr>
      <w:tr>
        <w:trPr>
          <w:trHeight w:val="99"/>
        </w:trPr>
        <w:tc>
          <w:tcPr>
            <w:tcW w:w="6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5"/>
              <w:spacing w:after="0" w:line="99" w:lineRule="exact"/>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8"/>
                <w:szCs w:val="8"/>
                <w:color w:val="auto"/>
              </w:rPr>
            </w:pPr>
          </w:p>
        </w:tc>
      </w:tr>
      <w:tr>
        <w:trPr>
          <w:trHeight w:val="99"/>
        </w:trPr>
        <w:tc>
          <w:tcPr>
            <w:tcW w:w="6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(inception)</w:t>
            </w:r>
          </w:p>
        </w:tc>
      </w:tr>
      <w:tr>
        <w:trPr>
          <w:trHeight w:val="99"/>
        </w:trPr>
        <w:tc>
          <w:tcPr>
            <w:tcW w:w="6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through</w:t>
            </w:r>
          </w:p>
        </w:tc>
      </w:tr>
      <w:tr>
        <w:trPr>
          <w:trHeight w:val="99"/>
        </w:trPr>
        <w:tc>
          <w:tcPr>
            <w:tcW w:w="6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65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5"/>
              <w:spacing w:after="0" w:line="114" w:lineRule="exact"/>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9"/>
                <w:szCs w:val="9"/>
                <w:color w:val="auto"/>
              </w:rPr>
            </w:pPr>
          </w:p>
        </w:tc>
      </w:tr>
      <w:tr>
        <w:trPr>
          <w:trHeight w:val="124"/>
        </w:trPr>
        <w:tc>
          <w:tcPr>
            <w:tcW w:w="65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i w:val="1"/>
                <w:iCs w:val="1"/>
                <w:color w:val="auto"/>
              </w:rPr>
              <w:t>Class A Common stock subject to possible redemption</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Numerator: Earnings allocable to Common stock subject to possible redemption</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from investments held in trust Account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71,296</w:t>
            </w:r>
          </w:p>
        </w:tc>
      </w:tr>
      <w:tr>
        <w:trPr>
          <w:trHeight w:val="144"/>
        </w:trPr>
        <w:tc>
          <w:tcPr>
            <w:tcW w:w="6520" w:type="dxa"/>
            <w:vAlign w:val="bottom"/>
          </w:tcPr>
          <w:p>
            <w:pPr>
              <w:ind w:left="240"/>
              <w:spacing w:after="0"/>
              <w:rPr>
                <w:sz w:val="20"/>
                <w:szCs w:val="20"/>
                <w:color w:val="auto"/>
              </w:rPr>
            </w:pPr>
            <w:r>
              <w:rPr>
                <w:rFonts w:ascii="Arial" w:cs="Arial" w:eastAsia="Arial" w:hAnsi="Arial"/>
                <w:sz w:val="12"/>
                <w:szCs w:val="12"/>
                <w:color w:val="auto"/>
              </w:rPr>
              <w:t>Less: Company’s portion available to be withdrawn to pay taxes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(71,296)</w:t>
            </w:r>
          </w:p>
        </w:tc>
      </w:tr>
      <w:tr>
        <w:trPr>
          <w:trHeight w:val="149"/>
        </w:trPr>
        <w:tc>
          <w:tcPr>
            <w:tcW w:w="65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income attributable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6520" w:type="dxa"/>
            <w:vAlign w:val="bottom"/>
          </w:tcPr>
          <w:p>
            <w:pPr>
              <w:spacing w:after="0"/>
              <w:rPr>
                <w:sz w:val="20"/>
                <w:szCs w:val="20"/>
                <w:color w:val="auto"/>
              </w:rPr>
            </w:pPr>
            <w:r>
              <w:rPr>
                <w:rFonts w:ascii="Arial" w:cs="Arial" w:eastAsia="Arial" w:hAnsi="Arial"/>
                <w:sz w:val="12"/>
                <w:szCs w:val="12"/>
                <w:color w:val="auto"/>
              </w:rPr>
              <w:t>Denominator: Weighted average Class A common stock subject to possible redemption</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34,386,548</w:t>
            </w:r>
          </w:p>
        </w:tc>
      </w:tr>
      <w:tr>
        <w:trPr>
          <w:trHeight w:val="154"/>
        </w:trPr>
        <w:tc>
          <w:tcPr>
            <w:tcW w:w="6520" w:type="dxa"/>
            <w:vAlign w:val="bottom"/>
          </w:tcPr>
          <w:p>
            <w:pPr>
              <w:spacing w:after="0"/>
              <w:rPr>
                <w:sz w:val="20"/>
                <w:szCs w:val="20"/>
                <w:color w:val="auto"/>
              </w:rPr>
            </w:pPr>
            <w:r>
              <w:rPr>
                <w:rFonts w:ascii="Arial" w:cs="Arial" w:eastAsia="Arial" w:hAnsi="Arial"/>
                <w:sz w:val="12"/>
                <w:szCs w:val="12"/>
                <w:color w:val="auto"/>
              </w:rPr>
              <w:t>Basic and diluted net income per share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48"/>
        </w:trPr>
        <w:tc>
          <w:tcPr>
            <w:tcW w:w="652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Non-Redeemable Common Stock</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2"/>
                <w:szCs w:val="12"/>
                <w:color w:val="auto"/>
              </w:rPr>
              <w:t>Numerator: Net Loss minus Net Earnings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(10,774,318)</w:t>
            </w:r>
          </w:p>
        </w:tc>
      </w:tr>
      <w:tr>
        <w:trPr>
          <w:trHeight w:val="144"/>
        </w:trPr>
        <w:tc>
          <w:tcPr>
            <w:tcW w:w="6520" w:type="dxa"/>
            <w:vAlign w:val="bottom"/>
          </w:tcPr>
          <w:p>
            <w:pPr>
              <w:ind w:left="240"/>
              <w:spacing w:after="0"/>
              <w:rPr>
                <w:sz w:val="20"/>
                <w:szCs w:val="20"/>
                <w:color w:val="auto"/>
              </w:rPr>
            </w:pPr>
            <w:r>
              <w:rPr>
                <w:rFonts w:ascii="Arial" w:cs="Arial" w:eastAsia="Arial" w:hAnsi="Arial"/>
                <w:sz w:val="12"/>
                <w:szCs w:val="12"/>
                <w:color w:val="auto"/>
              </w:rPr>
              <w:t>Net income allocable to Class A common stock subject to possible redemption</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r>
      <w:tr>
        <w:trPr>
          <w:trHeight w:val="149"/>
        </w:trPr>
        <w:tc>
          <w:tcPr>
            <w:tcW w:w="65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Non-redeemable 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9"/>
              </w:rPr>
              <w:t>(10,774,318)</w:t>
            </w:r>
          </w:p>
        </w:tc>
      </w:tr>
      <w:tr>
        <w:trPr>
          <w:trHeight w:val="153"/>
        </w:trPr>
        <w:tc>
          <w:tcPr>
            <w:tcW w:w="6520" w:type="dxa"/>
            <w:vAlign w:val="bottom"/>
          </w:tcPr>
          <w:p>
            <w:pPr>
              <w:spacing w:after="0"/>
              <w:rPr>
                <w:sz w:val="20"/>
                <w:szCs w:val="20"/>
                <w:color w:val="auto"/>
              </w:rPr>
            </w:pPr>
            <w:r>
              <w:rPr>
                <w:rFonts w:ascii="Arial" w:cs="Arial" w:eastAsia="Arial" w:hAnsi="Arial"/>
                <w:sz w:val="12"/>
                <w:szCs w:val="12"/>
                <w:color w:val="auto"/>
              </w:rPr>
              <w:t>Denominator: weighted average Non-redeemable common stock</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652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 Non-redeemable common stock</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13,324,191</w:t>
            </w:r>
          </w:p>
        </w:tc>
      </w:tr>
      <w:tr>
        <w:trPr>
          <w:trHeight w:val="149"/>
        </w:trPr>
        <w:tc>
          <w:tcPr>
            <w:tcW w:w="6520" w:type="dxa"/>
            <w:vAlign w:val="bottom"/>
          </w:tcPr>
          <w:p>
            <w:pPr>
              <w:spacing w:after="0"/>
              <w:rPr>
                <w:sz w:val="20"/>
                <w:szCs w:val="20"/>
                <w:color w:val="auto"/>
              </w:rPr>
            </w:pPr>
            <w:r>
              <w:rPr>
                <w:rFonts w:ascii="Arial" w:cs="Arial" w:eastAsia="Arial" w:hAnsi="Arial"/>
                <w:sz w:val="12"/>
                <w:szCs w:val="12"/>
                <w:color w:val="auto"/>
              </w:rPr>
              <w:t>Basic and diluted net loss per share, Non-redeemable common stock</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(0.81)</w:t>
            </w:r>
          </w:p>
        </w:tc>
        <w:tc>
          <w:tcPr>
            <w:tcW w:w="100" w:type="dxa"/>
            <w:vAlign w:val="bottom"/>
          </w:tcPr>
          <w:p>
            <w:pPr>
              <w:spacing w:after="0"/>
              <w:rPr>
                <w:sz w:val="12"/>
                <w:szCs w:val="12"/>
                <w:color w:val="auto"/>
              </w:rPr>
            </w:pPr>
          </w:p>
        </w:tc>
      </w:tr>
    </w:tbl>
    <w:p>
      <w:pPr>
        <w:spacing w:after="0" w:line="21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Recent Accounting Pronouncements</w:t>
      </w:r>
    </w:p>
    <w:p>
      <w:pPr>
        <w:spacing w:after="0" w:line="78" w:lineRule="exact"/>
        <w:rPr>
          <w:sz w:val="20"/>
          <w:szCs w:val="20"/>
          <w:color w:val="auto"/>
        </w:rPr>
      </w:pPr>
    </w:p>
    <w:p>
      <w:pPr>
        <w:jc w:val="both"/>
        <w:ind w:left="1980" w:right="839" w:firstLine="294"/>
        <w:spacing w:after="0" w:line="276" w:lineRule="auto"/>
        <w:rPr>
          <w:sz w:val="20"/>
          <w:szCs w:val="20"/>
          <w:color w:val="auto"/>
        </w:rPr>
      </w:pPr>
      <w:r>
        <w:rPr>
          <w:rFonts w:ascii="Arial" w:cs="Arial" w:eastAsia="Arial" w:hAnsi="Arial"/>
          <w:sz w:val="12"/>
          <w:szCs w:val="12"/>
          <w:color w:val="auto"/>
        </w:rPr>
        <w:t>Management does not believe that any recently issued, but not yet effective, accounting pronouncement if currently adopted would have a material effect on the Company’s financial statements.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4—Initial Public Offering</w:t>
      </w:r>
    </w:p>
    <w:p>
      <w:pPr>
        <w:spacing w:after="0" w:line="8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On October 9, 2020, the Company consummated its Initial Public Offering of 40,000,000 Units at $ 10.00 per Unit, generating gross proceeds of $400.0 million, and incurring offering costs of approximately $22.1 million (net of reimbursement of offering costs of $520,000 from the underwriters), inclusive of $14.0 million in deferred underwriting commissions. The Underwriters exercised the over-allotment option in part and on November 12, 2020 purchased an additional 1,071,823 Over-Allotment Units, generating gross proceeds of approximately $10.7 million, and incurred additional offering costs of approximately $576,000 in underwriting fees (net of reimbursement of offering costs of approximately $14,000 from the underwriters and inclusive of approximately $375,000 in deferred underwriting fees).</w:t>
      </w:r>
    </w:p>
    <w:p>
      <w:pPr>
        <w:spacing w:after="0" w:line="113"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Each Unit consists of one share of Class A common stock, and one-half of one redeemable warrant (each, a “Public Warrant”). Each whole Public Warrant entitles the holder to purchase one share of Class A common stock at a price of $ 11.50 per share, subject to adjustment (see Note 7).</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F-79</w:t>
      </w:r>
    </w:p>
    <w:p>
      <w:pPr>
        <w:sectPr>
          <w:pgSz w:w="11900" w:h="16838" w:orient="portrait"/>
          <w:cols w:equalWidth="0" w:num="1">
            <w:col w:w="10159"/>
          </w:cols>
          <w:pgMar w:left="300" w:top="372" w:right="1440" w:bottom="1440" w:gutter="0" w:footer="0" w:header="0"/>
        </w:sectPr>
      </w:pPr>
    </w:p>
    <w:bookmarkStart w:id="407" w:name="page408"/>
    <w:bookmarkEnd w:id="4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5—Related Party Transactions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Founder Shares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On July 23, 2020, an affiliate of the Sponsor paid an aggregate of $25,000 for certain expenses on behalf of the Company in exchange for issuance of 14,375,000 shares of the Company’s Class B common stock, par value $0.0001 per share (the “Founder Shares”), with such shares subsequently transferred to the Sponsor. On October 6, 2020, the Sponsor surrendered 2,875,000 shares of Class B common stock to the Company for no consideration, resulting in a decrease of the Founder Shares from 14,375,000 shares to 11,500,000 shares. All shares and associated amounts have been retroactively restated to reflect the share surrender. The initial stockholders agreed to forfeit up to 1,500,000 Founder Shares to the extent that the over-allotment option was not exercised in full by the underwriters, so that the Founder Shares will represent 20.0% of the Company’s issued and outstanding shares of common stock after the Initial Public Offering. The underwriters partially exercised their over-allotment option in part on November 12, 2020; and the remaining over-allotment expired unexercised on November 20, 2020 resulting in the forfeiture of 1,232,044 share of Class B common stock. At December 31, 2020, there were 10,267,956 shares of Class B common stock outstanding, none subject to forfeiture.</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Initial Stockholders agreed, subject to limited exceptions, not to transfer, assign or sell any of the Founder Shares until the earlier to occur of:</w:t>
      </w:r>
    </w:p>
    <w:p>
      <w:pPr>
        <w:spacing w:after="0" w:line="38" w:lineRule="exact"/>
        <w:rPr>
          <w:sz w:val="20"/>
          <w:szCs w:val="20"/>
          <w:color w:val="auto"/>
        </w:rPr>
      </w:pPr>
    </w:p>
    <w:p>
      <w:pPr>
        <w:ind w:left="1980" w:right="919" w:hanging="8"/>
        <w:spacing w:after="0" w:line="281" w:lineRule="auto"/>
        <w:tabs>
          <w:tab w:leader="none" w:pos="2177" w:val="left"/>
        </w:tabs>
        <w:numPr>
          <w:ilvl w:val="0"/>
          <w:numId w:val="201"/>
        </w:numPr>
        <w:rPr>
          <w:rFonts w:ascii="Arial" w:cs="Arial" w:eastAsia="Arial" w:hAnsi="Arial"/>
          <w:sz w:val="11"/>
          <w:szCs w:val="11"/>
          <w:color w:val="auto"/>
        </w:rPr>
      </w:pPr>
      <w:r>
        <w:rPr>
          <w:rFonts w:ascii="Arial" w:cs="Arial" w:eastAsia="Arial" w:hAnsi="Arial"/>
          <w:sz w:val="11"/>
          <w:szCs w:val="11"/>
          <w:color w:val="auto"/>
        </w:rPr>
        <w:t>one year after the completion of the initial Business Combination or (B) subsequent to the initial Business Combination; (x) if the last reported sale price of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(y) the date on which the Company completes a liquidation, merger, capital stock exchange or other similar transaction that results in all of the stockholders having the right to exchange their common stock for cash, securities or other property.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Private Placement Warrants</w:t>
      </w:r>
    </w:p>
    <w:p>
      <w:pPr>
        <w:spacing w:after="0" w:line="78"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Simultaneously with the closing of the Initial Public Offering, the Company consummated the Private Placement of 10,000,000 Private Placement Warrants at a price of $1.00 per Private Placement Warrant to the Sponsor, generating proceeds of $10.0 million. Simultaneously with the closing of the Over-allotment on November 12, 2020, the Company consummated the second closing of the Private Placement, resulting in the purchase of an aggregate of an additional 214,365 Private Placement Warrants by the Sponsor, generating gross proceeds to the Company of approximately $214,000. The excess of fair value of the Private Placement Warrants of $5.1 million has been recognized as financing costs—derivative warrant liabilities.</w:t>
      </w:r>
    </w:p>
    <w:p>
      <w:pPr>
        <w:spacing w:after="0" w:line="97"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Each whole Private Placement Warrant is exercisable for one whole share of Class A common stock at a price of $ 11.50 per share, subject to adjustment.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(except as described below) and exercisable on a cashless basis so long as they are held by the Sponsor or its permitted transferees.</w:t>
      </w:r>
    </w:p>
    <w:p>
      <w:pPr>
        <w:spacing w:after="0" w:line="113"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The Sponsor agreed, subject to limited exceptions, not to transfer, assign or sell the Private Placement Warrants until 30 days after the completion of the initial Business Combination.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Related Party Loans</w:t>
      </w:r>
    </w:p>
    <w:p>
      <w:pPr>
        <w:spacing w:after="0" w:line="7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On July 23, 2020,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$200,000 under the Note and fully repaid on October 9, 2020.</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F-80</w:t>
      </w:r>
    </w:p>
    <w:p>
      <w:pPr>
        <w:sectPr>
          <w:pgSz w:w="11900" w:h="16838" w:orient="portrait"/>
          <w:cols w:equalWidth="0" w:num="1">
            <w:col w:w="10159"/>
          </w:cols>
          <w:pgMar w:left="300" w:top="372" w:right="1440" w:bottom="1440" w:gutter="0" w:footer="0" w:header="0"/>
        </w:sectPr>
      </w:pPr>
    </w:p>
    <w:bookmarkStart w:id="408" w:name="page409"/>
    <w:bookmarkEnd w:id="4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could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$1,500,000 of such Working Capital Loans may be convertible into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2020, the Company had no borrowings under the Working Capital Loans.</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Administrative Services Agreement</w:t>
      </w:r>
    </w:p>
    <w:p>
      <w:pPr>
        <w:spacing w:after="0" w:line="7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Commencing October 7, 2020 through the earlier of consummation of the initial Business Combination and the liquidation, the Company has agreed to pay the Sponsor a total of $10,000 per month for office space, utilities, secretarial and administrative support services. The Company incurred and paid $28,065 for such services for the period from October 7, 2020 through December 31, 2020.</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6—Commitments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Registration Rights</w:t>
      </w:r>
    </w:p>
    <w:p>
      <w:pPr>
        <w:spacing w:after="0" w:line="7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The holders of the Founder Shares, Private Placement Warrants and warrants that may be issued upon conversion of Working Capital Loans (and any Class A common stock issuable upon the exercise of the Private Placement Warrants and warrants that may be issued upon conversion of Working Capital Loans) are entitled to registration rights pursuant to the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Underwriting Agreement</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underwriters were entitled to an underwriting discount of $0.20 per unit, or $8.0 million in the aggregate, paid upon the closing of the Initial Public Offering. In addition, $0.35 per unit, or $14.0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The underwriters agreed to make a payment to the Company in an amount of 0.13% of the gross proceeds of the Initial Public Offering, or $520,000, to reimburse certain of offering expenses. The Company received such reimbursement on October 27, 2020.</w:t>
      </w:r>
    </w:p>
    <w:p>
      <w:pPr>
        <w:spacing w:after="0" w:line="128" w:lineRule="exact"/>
        <w:rPr>
          <w:sz w:val="20"/>
          <w:szCs w:val="20"/>
          <w:color w:val="auto"/>
        </w:rPr>
      </w:pPr>
    </w:p>
    <w:p>
      <w:pPr>
        <w:jc w:val="both"/>
        <w:ind w:left="1980" w:right="939" w:firstLine="294"/>
        <w:spacing w:after="0" w:line="259" w:lineRule="auto"/>
        <w:rPr>
          <w:sz w:val="20"/>
          <w:szCs w:val="20"/>
          <w:color w:val="auto"/>
        </w:rPr>
      </w:pPr>
      <w:r>
        <w:rPr>
          <w:rFonts w:ascii="Arial" w:cs="Arial" w:eastAsia="Arial" w:hAnsi="Arial"/>
          <w:sz w:val="12"/>
          <w:szCs w:val="12"/>
          <w:color w:val="auto"/>
        </w:rPr>
        <w:t>Upon closing of the Over-allotment on November 12, 2020, the underwriters received approximately $214,000 in fees paid upfront and eligible for an additional deferred underwriting commissions of approximately $375,000. In addition, the underwriters agreed to make an addition payment to the Company in an amount of 0.13% of the gross proceeds of the Over-allotment, or approximately $14,000, to reimburse certain of offering expenses. As of December 31, 2020, approximately $5,000 remained unpaid.</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F-81</w:t>
      </w:r>
    </w:p>
    <w:p>
      <w:pPr>
        <w:sectPr>
          <w:pgSz w:w="11900" w:h="16838" w:orient="portrait"/>
          <w:cols w:equalWidth="0" w:num="1">
            <w:col w:w="10159"/>
          </w:cols>
          <w:pgMar w:left="300" w:top="372" w:right="1440" w:bottom="1440" w:gutter="0" w:footer="0" w:header="0"/>
        </w:sectPr>
      </w:pPr>
    </w:p>
    <w:bookmarkStart w:id="409" w:name="page410"/>
    <w:bookmarkEnd w:id="4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7—Derivative Warrant Liabilities</w:t>
      </w:r>
    </w:p>
    <w:p>
      <w:pPr>
        <w:spacing w:after="0" w:line="8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and (b) 12 months from the closing of the Initial Public Offering; provided in each case that the Company has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holders are permitted to exercise their warrants on a cashless basis under the circumstances specified in the warrant agreement as a result of (i) the Company’s failure to have an effective registration statement by the 60th business day after the closing of the initial Business Combination or (ii) a notice of redemption described below under “Redemption of warrants when the price per Class A common stock equals or exceeds $10.00”). If and when the warrants become redeemable by the Company, the Company may exercise its redemption right even if the Company is unable to register or qualify the underlying securities for sale under all applicable state securities laws.</w:t>
      </w:r>
    </w:p>
    <w:p>
      <w:pPr>
        <w:spacing w:after="0" w:line="119"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Company is not registering the shares of Class A common stock issuable upon exercise of the warrants at this time. However, the Company has agreed that as soon as practicable, but in no event later than twenty business days after the closing of the initial Business Combination, the Company will use its commercially reasonable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If a registration statement covering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 (9) of the Securities Act or another exemption.</w:t>
      </w:r>
    </w:p>
    <w:p>
      <w:pPr>
        <w:spacing w:after="0" w:line="115" w:lineRule="exact"/>
        <w:rPr>
          <w:sz w:val="20"/>
          <w:szCs w:val="20"/>
          <w:color w:val="auto"/>
        </w:rPr>
      </w:pPr>
    </w:p>
    <w:p>
      <w:pPr>
        <w:ind w:left="1980" w:right="899" w:firstLine="294"/>
        <w:spacing w:after="0" w:line="306" w:lineRule="auto"/>
        <w:rPr>
          <w:sz w:val="20"/>
          <w:szCs w:val="20"/>
          <w:color w:val="auto"/>
        </w:rPr>
      </w:pPr>
      <w:r>
        <w:rPr>
          <w:rFonts w:ascii="Arial" w:cs="Arial" w:eastAsia="Arial" w:hAnsi="Arial"/>
          <w:sz w:val="10"/>
          <w:szCs w:val="10"/>
          <w:color w:val="auto"/>
        </w:rPr>
        <w:t>The warrants will have an exercise price of $ 11.50 per share and will expire five years after the completion of a Business Combination or earlier upon redemption or liquidation.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to the extent that such issuance is made to the Sponsor or its affiliates, without taking into account the transfer of Founder Shares or Private Placement Warrants (including if such transfer is effectuated as a surrender to the Company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volume-weighted average trading price of Class A common stock during the 20 trading day period starting on the trading day prior to the day on which the Company completes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under “Redemption of warrants when the price per Class A common stock equals or exceeds $18.00” and “Redemption of warrants when the price per Class A common stock equals or exceeds $10.00” will be adjusted (to the nearest cent) to be equal to 100% and 180% of the higher of the Market Value and the Newly Issued Price, respectively.</w:t>
      </w:r>
    </w:p>
    <w:p>
      <w:pPr>
        <w:spacing w:after="0" w:line="251"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The Private Placement Warrants will be identical to the Public Warrants, except that the Private Placement Warrants (including the Class A common stock issuable upon exercise of the Private Placement Warrants) will</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F-82</w:t>
      </w:r>
    </w:p>
    <w:p>
      <w:pPr>
        <w:sectPr>
          <w:pgSz w:w="11900" w:h="16838" w:orient="portrait"/>
          <w:cols w:equalWidth="0" w:num="1">
            <w:col w:w="10159"/>
          </w:cols>
          <w:pgMar w:left="300" w:top="372" w:right="1440" w:bottom="1440" w:gutter="0" w:footer="0" w:header="0"/>
        </w:sectPr>
      </w:pPr>
    </w:p>
    <w:bookmarkStart w:id="410" w:name="page411"/>
    <w:bookmarkEnd w:id="4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not be transferable, assignable or salable until 30 days after the completion of the initial Business Combination and they will not be redeemable by the Company so long as they are held by the Sponsor or its permitted transferees.</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Redemption of warrants when the price per share of Class A common stock equals or exceeds $18.00.</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Once the warrants become exercisable, the Company may redeem the outstanding warrants for cash (except as described herein with respect to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Private Placement Warrants):</w:t>
      </w:r>
    </w:p>
    <w:p>
      <w:pPr>
        <w:spacing w:after="0" w:line="78" w:lineRule="exact"/>
        <w:rPr>
          <w:sz w:val="20"/>
          <w:szCs w:val="20"/>
          <w:color w:val="auto"/>
        </w:rPr>
      </w:pPr>
    </w:p>
    <w:p>
      <w:pPr>
        <w:ind w:left="2620" w:hanging="288"/>
        <w:spacing w:after="0"/>
        <w:tabs>
          <w:tab w:leader="none" w:pos="26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at a price of $0.01 per warrant;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upon a minimum of 30 days’ prior written notice of redemption; and</w:t>
      </w:r>
    </w:p>
    <w:p>
      <w:pPr>
        <w:spacing w:after="0" w:line="87" w:lineRule="exact"/>
        <w:rPr>
          <w:rFonts w:ascii="Arial" w:cs="Arial" w:eastAsia="Arial" w:hAnsi="Arial"/>
          <w:sz w:val="12"/>
          <w:szCs w:val="12"/>
          <w:color w:val="auto"/>
        </w:rPr>
      </w:pPr>
    </w:p>
    <w:p>
      <w:pPr>
        <w:ind w:left="2620" w:right="999" w:hanging="288"/>
        <w:spacing w:after="0" w:line="340" w:lineRule="auto"/>
        <w:tabs>
          <w:tab w:leader="none" w:pos="2620" w:val="left"/>
        </w:tabs>
        <w:numPr>
          <w:ilvl w:val="0"/>
          <w:numId w:val="202"/>
        </w:numPr>
        <w:rPr>
          <w:rFonts w:ascii="Arial" w:cs="Arial" w:eastAsia="Arial" w:hAnsi="Arial"/>
          <w:sz w:val="10"/>
          <w:szCs w:val="10"/>
          <w:color w:val="auto"/>
        </w:rPr>
      </w:pPr>
      <w:r>
        <w:rPr>
          <w:rFonts w:ascii="Arial" w:cs="Arial" w:eastAsia="Arial" w:hAnsi="Arial"/>
          <w:sz w:val="10"/>
          <w:szCs w:val="10"/>
          <w:color w:val="auto"/>
        </w:rPr>
        <w:t>if, and only if, the last reported sale price of Class A common stock for any 20 trading days within a 30-trading day period ending on the third trading day prior to the date on which the Company sends the notice of redemption to the warrant holders (the “Reference Value”) equals or exceeds $18.00 per share (as adjusted for stock splits, stock capitalizations, reorganizations, recapitalizations and the like.</w:t>
      </w:r>
    </w:p>
    <w:p>
      <w:pPr>
        <w:spacing w:after="0" w:line="87"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However, in this case, the Company will not redeem the warrants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Any such exercise would not be on a “cashless” basis and would require the exercising warrant holder to pay the exercise price for each warrant being exercised.</w:t>
      </w:r>
    </w:p>
    <w:p>
      <w:pPr>
        <w:spacing w:after="0" w:line="19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Redemption of warrants when the price per share of Class A common stock equals or exceeds $10.00.</w:t>
      </w:r>
    </w:p>
    <w:p>
      <w:pPr>
        <w:spacing w:after="0" w:line="78"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Once the warrants become exercisable, the Company may redeem the outstanding warrants (except as described herein with respect to the Private Placement Warrants):</w:t>
      </w:r>
    </w:p>
    <w:p>
      <w:pPr>
        <w:spacing w:after="0" w:line="52" w:lineRule="exact"/>
        <w:rPr>
          <w:sz w:val="20"/>
          <w:szCs w:val="20"/>
          <w:color w:val="auto"/>
        </w:rPr>
      </w:pPr>
    </w:p>
    <w:p>
      <w:pPr>
        <w:ind w:left="2620" w:hanging="288"/>
        <w:spacing w:after="0"/>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Shares of Class A common stock; and</w:t>
      </w:r>
    </w:p>
    <w:p>
      <w:pPr>
        <w:spacing w:after="0" w:line="59"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if, and only if, the Reference Value equals or exceeds $10.00 per share (as adjusted for stock splits, stock dividends, rights issuances, subdivisions, reorganizations, recapitalizations and the like); and</w:t>
      </w:r>
    </w:p>
    <w:p>
      <w:pPr>
        <w:spacing w:after="0" w:line="51" w:lineRule="exact"/>
        <w:rPr>
          <w:rFonts w:ascii="Arial" w:cs="Arial" w:eastAsia="Arial" w:hAnsi="Arial"/>
          <w:sz w:val="12"/>
          <w:szCs w:val="12"/>
          <w:color w:val="auto"/>
        </w:rPr>
      </w:pPr>
    </w:p>
    <w:p>
      <w:pPr>
        <w:ind w:left="2620" w:right="1099" w:hanging="288"/>
        <w:spacing w:after="0" w:line="259" w:lineRule="auto"/>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if the Reference Value is less than $18.00 per share (as adjusted for stock splits, stock dividends, rights issuances, subdivisions, reorganizations, recapitalizations and the like), the Private Placement Warrants must also concurrently be called for redemption on the same terms (except as described herein with respect to a holder’s ability to cashless exercise its warrants) as the outstanding Public Warrants, as described above.</w:t>
      </w:r>
    </w:p>
    <w:p>
      <w:pPr>
        <w:spacing w:after="0" w:line="12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The “fair market value” of Class A common stock shall mean the volume-weighted average price of Class A common stock for the 10 trading days immediately following the date on which the notice of redemption is sent to the holders of warrants. In no event will the warrants be exercisable in connection with this redemption feature for more than 0.361 shares of Class A common stock per warrant (subject to adjustment).</w:t>
      </w:r>
    </w:p>
    <w:p>
      <w:pPr>
        <w:spacing w:after="0" w:line="105"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F-83</w:t>
      </w:r>
    </w:p>
    <w:p>
      <w:pPr>
        <w:sectPr>
          <w:pgSz w:w="11900" w:h="16838" w:orient="portrait"/>
          <w:cols w:equalWidth="0" w:num="1">
            <w:col w:w="10159"/>
          </w:cols>
          <w:pgMar w:left="300" w:top="372" w:right="1440" w:bottom="1440" w:gutter="0" w:footer="0" w:header="0"/>
        </w:sectPr>
      </w:pPr>
    </w:p>
    <w:bookmarkStart w:id="411" w:name="page412"/>
    <w:bookmarkEnd w:id="4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8—Stockholders’ Equity</w:t>
      </w:r>
    </w:p>
    <w:p>
      <w:pPr>
        <w:spacing w:after="0" w:line="8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b w:val="1"/>
          <w:bCs w:val="1"/>
          <w:i w:val="1"/>
          <w:iCs w:val="1"/>
          <w:color w:val="auto"/>
        </w:rPr>
        <w:t>Class A Common Stock—</w:t>
      </w:r>
      <w:r>
        <w:rPr>
          <w:rFonts w:ascii="Arial" w:cs="Arial" w:eastAsia="Arial" w:hAnsi="Arial"/>
          <w:sz w:val="11"/>
          <w:szCs w:val="11"/>
          <w:color w:val="auto"/>
        </w:rPr>
        <w:t>The Company is authorized to issue 400,000,000 shares of Class A common stock with a par value of $0.0001 per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share. As of December 31, 2020, there were 41,071,823 shares of Class A common stock outstanding, including 34,375,578 shares of Class A common stock subject to possible redemption that were classified as temporary equity in the accompanying balance sheet.</w:t>
      </w:r>
    </w:p>
    <w:p>
      <w:pPr>
        <w:spacing w:after="0" w:line="10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Class B Common Stock—</w:t>
      </w:r>
      <w:r>
        <w:rPr>
          <w:rFonts w:ascii="Arial" w:cs="Arial" w:eastAsia="Arial" w:hAnsi="Arial"/>
          <w:sz w:val="11"/>
          <w:szCs w:val="11"/>
          <w:color w:val="auto"/>
        </w:rPr>
        <w:t>The Company is authorized to issue 40,000,000 shares of Class B common stock with a par value of $0.0001 per share.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July 23, 2020, an affiliate of the Sponsor paid an aggregate of $25,000 for certain expenses on behalf of the Company in exchange for issuance of 14,375,000 shares of Class B common stock, with such shares subsequently transferred to the Sponsor. On October 6, 2020, the Sponsor surrendered 2,875,000 shares of Class B common stock to the Company for no consideration, resulting in a decrease of the outstanding Class B common stock from 14,375,000 shares to 11,500,000 shares. All shares and associated amounts have been retroactively restated to reflect the share surrender. Of these, an aggregate of up to 1,500,000 shares of Class B common stock that are subject to forfeiture to the Company by the initial stockholders for no consideration to the extent that the underwriters’ over-allotment option is not exercised in full or in part, so that the number of Founder Shares will equal 20% of the Company’s issued and outstanding shares of common stock after the Initial Public Offering. The underwriters partially exercised their over-allotment option on November 12, 2020, and the remaining over-allotment expired unexercised on November 20, 2020 resulting in the forfeiture of 1,232,044 Class B common shares. As of December 31, 2020, 10,267,956 shares of Class B common stock were outstanding with no shares subject to forfeiture.</w:t>
      </w:r>
    </w:p>
    <w:p>
      <w:pPr>
        <w:spacing w:after="0" w:line="11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Stockholders of record are entitled to one vote for each share held on all matters to be voted on by stockholders. Holders of our Class A common stock and holders of our Class B common stock will vote together as a single class on all matters submitted to a vote of our stockholders except as required by law.</w:t>
      </w:r>
    </w:p>
    <w:p>
      <w:pPr>
        <w:spacing w:after="0" w:line="122"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The Class B common stock will automatically convert into Class A common stock on the first business day following the completion of the initial Business Combination at a ratio such that the number of shares of Class A common stock issuable upon conversion of all Founder Shares will equal, in the aggregate, on an as-converted basis, 20% of the sum of (i) the total number of shares of Class A common stock issued and outstanding upon completion of the Initial Public Offering, plus (ii) the sum of (a) the total number of shares of Class A common stock issued or deemed issued or issuable upon conversion or exercise of any equity-linked securities or rights issued or deemed issued, by the Company in connection with or in relation to the completion of the initial Business Combination, excluding any shares of Class A common stock or equity-linked securities exercisable for or convertible into shares of Class A common stock issued, or to be issued, to any seller in the initial Business Combination and any Private Placement Warrants issued to the Sponsor upon conversion of Working Capital Loans, minus (b) the number of Public Shares redeemed by Public Stockholders in connection with the initial Business Combination. In no event will the shares of Class B common stock convert into shares of Class A common stock at a rate of less than one to one.</w:t>
      </w:r>
    </w:p>
    <w:p>
      <w:pPr>
        <w:spacing w:after="0" w:line="119"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The Company is authorized to issue 1,000,000 shares of preferred stock, par value $0.0001 per share, with such designations,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voting and other rights and preferences as may be determined from time to time by the Company’s board of directors. As of December 31, 2020, there were no shares of preferred stock issued or outstanding.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F-84</w:t>
      </w:r>
    </w:p>
    <w:p>
      <w:pPr>
        <w:sectPr>
          <w:pgSz w:w="11900" w:h="16838" w:orient="portrait"/>
          <w:cols w:equalWidth="0" w:num="1">
            <w:col w:w="10159"/>
          </w:cols>
          <w:pgMar w:left="300" w:top="372" w:right="1440" w:bottom="1440" w:gutter="0" w:footer="0" w:header="0"/>
        </w:sectPr>
      </w:pPr>
    </w:p>
    <w:bookmarkStart w:id="412" w:name="page413"/>
    <w:bookmarkEnd w:id="4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9—Fair Value Measurements</w:t>
      </w:r>
    </w:p>
    <w:p>
      <w:pPr>
        <w:spacing w:after="0" w:line="82"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85"/>
              </w:rPr>
              <w:t>Quoted Prices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6"/>
              </w:rPr>
              <w:t>in Active</w:t>
            </w:r>
          </w:p>
        </w:tc>
        <w:tc>
          <w:tcPr>
            <w:tcW w:w="120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Significant Other</w:t>
            </w:r>
          </w:p>
        </w:tc>
        <w:tc>
          <w:tcPr>
            <w:tcW w:w="60" w:type="dxa"/>
            <w:vAlign w:val="bottom"/>
          </w:tcPr>
          <w:p>
            <w:pPr>
              <w:spacing w:after="0"/>
              <w:rPr>
                <w:sz w:val="8"/>
                <w:szCs w:val="8"/>
                <w:color w:val="auto"/>
              </w:rPr>
            </w:pPr>
          </w:p>
        </w:tc>
        <w:tc>
          <w:tcPr>
            <w:tcW w:w="8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Significant Other</w:t>
            </w:r>
          </w:p>
        </w:tc>
        <w:tc>
          <w:tcPr>
            <w:tcW w:w="0" w:type="dxa"/>
            <w:vAlign w:val="bottom"/>
          </w:tcPr>
          <w:p>
            <w:pPr>
              <w:spacing w:after="0"/>
              <w:rPr>
                <w:sz w:val="1"/>
                <w:szCs w:val="1"/>
                <w:color w:val="auto"/>
              </w:rPr>
            </w:pPr>
          </w:p>
        </w:tc>
      </w:tr>
      <w:tr>
        <w:trPr>
          <w:trHeight w:val="99"/>
        </w:trPr>
        <w:tc>
          <w:tcPr>
            <w:tcW w:w="41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60" w:type="dxa"/>
            <w:vAlign w:val="bottom"/>
          </w:tcPr>
          <w:p>
            <w:pPr>
              <w:spacing w:after="0"/>
              <w:rPr>
                <w:sz w:val="8"/>
                <w:szCs w:val="8"/>
                <w:color w:val="auto"/>
              </w:rPr>
            </w:pPr>
          </w:p>
        </w:tc>
        <w:tc>
          <w:tcPr>
            <w:tcW w:w="104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9"/>
              </w:rPr>
              <w:t>Markets</w:t>
            </w:r>
          </w:p>
        </w:tc>
        <w:tc>
          <w:tcPr>
            <w:tcW w:w="12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Observable Inputs</w:t>
            </w:r>
          </w:p>
        </w:tc>
        <w:tc>
          <w:tcPr>
            <w:tcW w:w="9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88"/>
              </w:rPr>
              <w:t>Unobservable Inputs</w:t>
            </w:r>
          </w:p>
        </w:tc>
        <w:tc>
          <w:tcPr>
            <w:tcW w:w="0" w:type="dxa"/>
            <w:vAlign w:val="bottom"/>
          </w:tcPr>
          <w:p>
            <w:pPr>
              <w:spacing w:after="0"/>
              <w:rPr>
                <w:sz w:val="1"/>
                <w:szCs w:val="1"/>
                <w:color w:val="auto"/>
              </w:rPr>
            </w:pPr>
          </w:p>
        </w:tc>
      </w:tr>
      <w:tr>
        <w:trPr>
          <w:trHeight w:val="115"/>
        </w:trPr>
        <w:tc>
          <w:tcPr>
            <w:tcW w:w="4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480"/>
              <w:spacing w:after="0" w:line="76" w:lineRule="exact"/>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(Level 2)</w:t>
            </w:r>
          </w:p>
        </w:tc>
        <w:tc>
          <w:tcPr>
            <w:tcW w:w="60" w:type="dxa"/>
            <w:vAlign w:val="bottom"/>
          </w:tcPr>
          <w:p>
            <w:pPr>
              <w:spacing w:after="0"/>
              <w:rPr>
                <w:sz w:val="10"/>
                <w:szCs w:val="10"/>
                <w:color w:val="auto"/>
              </w:rPr>
            </w:pPr>
          </w:p>
        </w:tc>
        <w:tc>
          <w:tcPr>
            <w:tcW w:w="840" w:type="dxa"/>
            <w:vAlign w:val="bottom"/>
            <w:gridSpan w:val="2"/>
          </w:tcPr>
          <w:p>
            <w:pPr>
              <w:jc w:val="center"/>
              <w:ind w:right="120"/>
              <w:spacing w:after="0" w:line="76" w:lineRule="exact"/>
              <w:rPr>
                <w:sz w:val="20"/>
                <w:szCs w:val="20"/>
                <w:color w:val="auto"/>
              </w:rPr>
            </w:pPr>
            <w:r>
              <w:rPr>
                <w:rFonts w:ascii="Arial" w:cs="Arial" w:eastAsia="Arial" w:hAnsi="Arial"/>
                <w:sz w:val="8"/>
                <w:szCs w:val="8"/>
                <w:b w:val="1"/>
                <w:bCs w:val="1"/>
                <w:color w:val="auto"/>
              </w:rPr>
              <w:t>(Level 3)</w:t>
            </w:r>
          </w:p>
        </w:tc>
        <w:tc>
          <w:tcPr>
            <w:tcW w:w="0" w:type="dxa"/>
            <w:vAlign w:val="bottom"/>
          </w:tcPr>
          <w:p>
            <w:pPr>
              <w:spacing w:after="0"/>
              <w:rPr>
                <w:sz w:val="1"/>
                <w:szCs w:val="1"/>
                <w:color w:val="auto"/>
              </w:rPr>
            </w:pPr>
          </w:p>
        </w:tc>
      </w:tr>
      <w:tr>
        <w:trPr>
          <w:trHeight w:val="122"/>
        </w:trPr>
        <w:tc>
          <w:tcPr>
            <w:tcW w:w="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Assets:</w:t>
            </w:r>
          </w:p>
        </w:tc>
        <w:tc>
          <w:tcPr>
            <w:tcW w:w="36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Cash and Marketable Securities held in Trust Accounting:</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Treasury securities maturing on April 8, 2021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6"/>
              </w:rPr>
              <w:t>410,803,122</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gridSpan w:val="2"/>
          </w:tcPr>
          <w:p>
            <w:pPr>
              <w:spacing w:after="0"/>
              <w:rPr>
                <w:sz w:val="20"/>
                <w:szCs w:val="20"/>
                <w:color w:val="auto"/>
              </w:rPr>
            </w:pPr>
            <w:r>
              <w:rPr>
                <w:rFonts w:ascii="Arial" w:cs="Arial" w:eastAsia="Arial" w:hAnsi="Arial"/>
                <w:sz w:val="12"/>
                <w:szCs w:val="12"/>
                <w:color w:val="auto"/>
              </w:rPr>
              <w:t>Cash</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289</w:t>
            </w:r>
          </w:p>
        </w:tc>
        <w:tc>
          <w:tcPr>
            <w:tcW w:w="140" w:type="dxa"/>
            <w:vAlign w:val="bottom"/>
          </w:tcPr>
          <w:p>
            <w:pPr>
              <w:spacing w:after="0"/>
              <w:rPr>
                <w:sz w:val="12"/>
                <w:szCs w:val="12"/>
                <w:color w:val="auto"/>
              </w:rPr>
            </w:pP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6"/>
              </w:rPr>
              <w:t>410,803,411</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warrant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96"/>
              </w:rPr>
              <w:t>32,652,100</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16,445,130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Transfers to/from Levels 1. 2. and 3 are recognized at the end of the reporting period. The estimated fair value of the Public Warrants transferred from a Level 3 measurement to a Level 1 fair value measurement as of December 2020 as the Public Warrants were separately listed and traded beginning in November 2020. The amount transferred to Level 1 was $30.2 million.</w:t>
      </w:r>
    </w:p>
    <w:p>
      <w:pPr>
        <w:spacing w:after="0" w:line="122"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Level 1 instruments include investments in mutual funds invested in government securities. The Company uses inputs such as actual trade data, benchmark yields, quoted market prices from dealers or brokers, and other similar sources to determine the fair value of its investments.</w:t>
      </w:r>
    </w:p>
    <w:p>
      <w:pPr>
        <w:spacing w:after="0" w:line="9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fair value of the Public Warrants (if not market observed) and Private Placement Warrants is estimated using a Binomial Lattice in a risk-neutral framework. Specifically, the future stock price of the Company is modeled assuming a Geometric Brownian Motion in a risk-neutral framework. For each modeled future price, the Warrant payoff is calculated based on the contractual terms (incorporating any optimal early exercise / redemption), and then discounted at the term-matched risk-free rate. The value of the Warrants is calculated as the probability-weighted present value over all future modeled payoffs.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quantitative information regarding Level 3 fair value measurements inputs at their measurement dates: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2"/>
              </w:rPr>
              <w:t>As of October 9,</w:t>
            </w:r>
          </w:p>
        </w:tc>
      </w:tr>
      <w:tr>
        <w:trPr>
          <w:trHeight w:val="113"/>
        </w:trPr>
        <w:tc>
          <w:tcPr>
            <w:tcW w:w="418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ind w:right="184"/>
              <w:spacing w:after="0" w:line="11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9"/>
                <w:szCs w:val="9"/>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Volatility</w:t>
            </w:r>
          </w:p>
        </w:tc>
        <w:tc>
          <w:tcPr>
            <w:tcW w:w="8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22.5%</w:t>
            </w: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Expected date of Business Combination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Mar-21</w:t>
            </w: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Risk-free rate</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0.39%</w:t>
            </w: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Dividend yield</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0.0%</w:t>
            </w:r>
          </w:p>
        </w:tc>
      </w:tr>
    </w:tbl>
    <w:p>
      <w:pPr>
        <w:spacing w:after="0" w:line="12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The change in the fair value of the derivative warrant liabilities for the period from July 6, 2020 (inception) through December 31, 2020 is summarized as follows:</w:t>
      </w:r>
    </w:p>
    <w:p>
      <w:pPr>
        <w:spacing w:after="0" w:line="142" w:lineRule="exact"/>
        <w:rPr>
          <w:sz w:val="20"/>
          <w:szCs w:val="20"/>
          <w:color w:val="auto"/>
        </w:rPr>
      </w:pPr>
    </w:p>
    <w:tbl>
      <w:tblPr>
        <w:tblLayout w:type="fixed"/>
        <w:tblInd w:w="2860" w:type="dxa"/>
        <w:tblCellMar>
          <w:top w:w="0" w:type="dxa"/>
          <w:left w:w="0" w:type="dxa"/>
          <w:bottom w:w="0" w:type="dxa"/>
          <w:right w:w="0" w:type="dxa"/>
        </w:tblCellMar>
      </w:tblP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Derivative warrant liabilities at July 6, 2020 (inception)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840" w:type="dxa"/>
            <w:vAlign w:val="bottom"/>
          </w:tcPr>
          <w:p>
            <w:pPr>
              <w:ind w:left="240"/>
              <w:spacing w:after="0"/>
              <w:rPr>
                <w:sz w:val="20"/>
                <w:szCs w:val="20"/>
                <w:color w:val="auto"/>
              </w:rPr>
            </w:pPr>
            <w:r>
              <w:rPr>
                <w:rFonts w:ascii="Arial" w:cs="Arial" w:eastAsia="Arial" w:hAnsi="Arial"/>
                <w:sz w:val="12"/>
                <w:szCs w:val="12"/>
                <w:color w:val="auto"/>
              </w:rPr>
              <w:t>Issuance of Public and Private Placement Warrants</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45,509,340</w:t>
            </w: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derivative warrant liabilities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3,587,890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2"/>
                <w:szCs w:val="12"/>
                <w:color w:val="auto"/>
              </w:rPr>
              <w:t>Derivative warrant liabilities at December 31,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4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49,097,230</w:t>
            </w:r>
          </w:p>
        </w:tc>
        <w:tc>
          <w:tcPr>
            <w:tcW w:w="0" w:type="dxa"/>
            <w:vAlign w:val="bottom"/>
          </w:tcPr>
          <w:p>
            <w:pPr>
              <w:spacing w:after="0"/>
              <w:rPr>
                <w:sz w:val="1"/>
                <w:szCs w:val="1"/>
                <w:color w:val="auto"/>
              </w:rPr>
            </w:pPr>
          </w:p>
        </w:tc>
      </w:tr>
      <w:tr>
        <w:trPr>
          <w:trHeight w:val="252"/>
        </w:trPr>
        <w:tc>
          <w:tcPr>
            <w:tcW w:w="4840" w:type="dxa"/>
            <w:vAlign w:val="bottom"/>
          </w:tcPr>
          <w:p>
            <w:pPr>
              <w:ind w:left="2680"/>
              <w:spacing w:after="0"/>
              <w:rPr>
                <w:sz w:val="20"/>
                <w:szCs w:val="20"/>
                <w:color w:val="auto"/>
              </w:rPr>
            </w:pPr>
            <w:r>
              <w:rPr>
                <w:rFonts w:ascii="Arial" w:cs="Arial" w:eastAsia="Arial" w:hAnsi="Arial"/>
                <w:sz w:val="12"/>
                <w:szCs w:val="12"/>
                <w:color w:val="auto"/>
              </w:rPr>
              <w:t>F-85</w:t>
            </w: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sectPr>
      </w:pPr>
    </w:p>
    <w:bookmarkStart w:id="413" w:name="page414"/>
    <w:bookmarkEnd w:id="4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10—Income Taxes</w:t>
      </w:r>
    </w:p>
    <w:p>
      <w:pPr>
        <w:spacing w:after="0" w:line="82"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The Company does not currently have taxable income but will generate taxable income in the future primarily consisting of interest income earned on the Trust Account. The Company’s general and administrative costs are generally considered start-up costs and are not currently deductible. The income tax provision (benefit) consists of the following:</w:t>
      </w:r>
    </w:p>
    <w:p>
      <w:pPr>
        <w:spacing w:after="0" w:line="119"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8"/>
              </w:rPr>
              <w:t>For the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gridSpan w:val="4"/>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Period from</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July 6, 2020</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(inception)</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through</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December 31,</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3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0"/>
              </w:rPr>
              <w:t>2020</w:t>
            </w:r>
          </w:p>
        </w:tc>
        <w:tc>
          <w:tcPr>
            <w:tcW w:w="80" w:type="dxa"/>
            <w:vAlign w:val="bottom"/>
            <w:tcBorders>
              <w:bottom w:val="single" w:sz="8" w:color="CCEEFF"/>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3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Current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tcPr>
          <w:p>
            <w:pPr>
              <w:ind w:left="240"/>
              <w:spacing w:after="0"/>
              <w:rPr>
                <w:sz w:val="20"/>
                <w:szCs w:val="20"/>
                <w:color w:val="auto"/>
              </w:rPr>
            </w:pPr>
            <w:r>
              <w:rPr>
                <w:rFonts w:ascii="Arial" w:cs="Arial" w:eastAsia="Arial" w:hAnsi="Arial"/>
                <w:sz w:val="12"/>
                <w:szCs w:val="12"/>
                <w:color w:val="auto"/>
              </w:rPr>
              <w:t>Federal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32"/>
              <w:spacing w:after="0"/>
              <w:rPr>
                <w:sz w:val="20"/>
                <w:szCs w:val="20"/>
                <w:color w:val="auto"/>
              </w:rPr>
            </w:pPr>
            <w:r>
              <w:rPr>
                <w:rFonts w:ascii="Arial" w:cs="Arial" w:eastAsia="Arial" w:hAnsi="Arial"/>
                <w:sz w:val="12"/>
                <w:szCs w:val="12"/>
                <w:color w:val="auto"/>
              </w:rPr>
              <w:t>16,709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State</w:t>
            </w: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Deferred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Federal</w:t>
            </w: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94,345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tcPr>
          <w:p>
            <w:pPr>
              <w:ind w:left="24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Valuation on allowance</w:t>
            </w: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(94,345)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2"/>
                <w:szCs w:val="12"/>
                <w:color w:val="auto"/>
              </w:rPr>
              <w:t>Income tax provision</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32"/>
              <w:spacing w:after="0"/>
              <w:rPr>
                <w:sz w:val="20"/>
                <w:szCs w:val="20"/>
                <w:color w:val="auto"/>
              </w:rPr>
            </w:pPr>
            <w:r>
              <w:rPr>
                <w:rFonts w:ascii="Arial" w:cs="Arial" w:eastAsia="Arial" w:hAnsi="Arial"/>
                <w:sz w:val="12"/>
                <w:szCs w:val="12"/>
                <w:color w:val="auto"/>
              </w:rPr>
              <w:t>16,709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5240" w:type="dxa"/>
            <w:vAlign w:val="bottom"/>
            <w:gridSpan w:val="3"/>
          </w:tcPr>
          <w:p>
            <w:pPr>
              <w:spacing w:after="0"/>
              <w:rPr>
                <w:sz w:val="20"/>
                <w:szCs w:val="20"/>
                <w:color w:val="auto"/>
              </w:rPr>
            </w:pPr>
            <w:r>
              <w:rPr>
                <w:rFonts w:ascii="Arial" w:cs="Arial" w:eastAsia="Arial" w:hAnsi="Arial"/>
                <w:sz w:val="12"/>
                <w:szCs w:val="12"/>
                <w:color w:val="auto"/>
              </w:rPr>
              <w:t>The Company’s net deferred tax assets are as follows:</w:t>
            </w: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gridSpan w:val="4"/>
          </w:tcPr>
          <w:p>
            <w:pPr>
              <w:ind w:left="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43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2"/>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9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Deferred tax assets: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940" w:type="dxa"/>
            <w:vAlign w:val="bottom"/>
            <w:gridSpan w:val="2"/>
          </w:tcPr>
          <w:p>
            <w:pPr>
              <w:spacing w:after="0"/>
              <w:rPr>
                <w:sz w:val="20"/>
                <w:szCs w:val="20"/>
                <w:color w:val="auto"/>
              </w:rPr>
            </w:pPr>
            <w:r>
              <w:rPr>
                <w:rFonts w:ascii="Arial" w:cs="Arial" w:eastAsia="Arial" w:hAnsi="Arial"/>
                <w:sz w:val="12"/>
                <w:szCs w:val="12"/>
                <w:color w:val="auto"/>
              </w:rPr>
              <w:t>Start-up/Organization costs</w:t>
            </w:r>
          </w:p>
        </w:tc>
        <w:tc>
          <w:tcPr>
            <w:tcW w:w="60" w:type="dxa"/>
            <w:vAlign w:val="bottom"/>
          </w:tcPr>
          <w:p>
            <w:pPr>
              <w:spacing w:after="0"/>
              <w:rPr>
                <w:sz w:val="12"/>
                <w:szCs w:val="12"/>
                <w:color w:val="auto"/>
              </w:rPr>
            </w:pPr>
          </w:p>
        </w:tc>
        <w:tc>
          <w:tcPr>
            <w:tcW w:w="660" w:type="dxa"/>
            <w:vAlign w:val="bottom"/>
            <w:gridSpan w:val="3"/>
          </w:tcPr>
          <w:p>
            <w:pPr>
              <w:ind w:left="5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95,524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95,524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gridSpan w:val="3"/>
          </w:tcPr>
          <w:p>
            <w:pPr>
              <w:ind w:left="300"/>
              <w:spacing w:after="0"/>
              <w:rPr>
                <w:sz w:val="20"/>
                <w:szCs w:val="20"/>
                <w:color w:val="auto"/>
              </w:rPr>
            </w:pPr>
            <w:r>
              <w:rPr>
                <w:rFonts w:ascii="Arial" w:cs="Arial" w:eastAsia="Arial" w:hAnsi="Arial"/>
                <w:sz w:val="12"/>
                <w:szCs w:val="12"/>
                <w:color w:val="auto"/>
              </w:rPr>
              <w:t>Valuation allowance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(94,345)</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vMerge w:val="continue"/>
          </w:tcPr>
          <w:p>
            <w:pPr>
              <w:spacing w:after="0"/>
              <w:rPr>
                <w:sz w:val="12"/>
                <w:szCs w:val="12"/>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Deferred tax asset, net of allowance</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940" w:type="dxa"/>
            <w:vAlign w:val="bottom"/>
            <w:gridSpan w:val="2"/>
          </w:tcPr>
          <w:p>
            <w:pPr>
              <w:spacing w:after="0"/>
              <w:rPr>
                <w:sz w:val="20"/>
                <w:szCs w:val="20"/>
                <w:color w:val="auto"/>
              </w:rPr>
            </w:pPr>
            <w:r>
              <w:rPr>
                <w:rFonts w:ascii="Arial" w:cs="Arial" w:eastAsia="Arial" w:hAnsi="Arial"/>
                <w:sz w:val="12"/>
                <w:szCs w:val="12"/>
                <w:b w:val="1"/>
                <w:bCs w:val="1"/>
                <w:color w:val="auto"/>
              </w:rPr>
              <w:t>Deferred tax liabilities: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on marketable securities held in the Trust Account</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300"/>
              <w:spacing w:after="0"/>
              <w:rPr>
                <w:sz w:val="20"/>
                <w:szCs w:val="20"/>
                <w:color w:val="auto"/>
              </w:rPr>
            </w:pPr>
            <w:r>
              <w:rPr>
                <w:rFonts w:ascii="Arial" w:cs="Arial" w:eastAsia="Arial" w:hAnsi="Arial"/>
                <w:sz w:val="12"/>
                <w:szCs w:val="12"/>
                <w:color w:val="auto"/>
              </w:rPr>
              <w:t>Total deferred tax liabilities</w:t>
            </w: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vMerge w:val="continue"/>
          </w:tcPr>
          <w:p>
            <w:pPr>
              <w:spacing w:after="0"/>
              <w:rPr>
                <w:sz w:val="12"/>
                <w:szCs w:val="12"/>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Deferred tax assets/(liabilities), net of valuation allowance</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F-86</w:t>
      </w:r>
    </w:p>
    <w:p>
      <w:pPr>
        <w:sectPr>
          <w:pgSz w:w="11900" w:h="16838" w:orient="portrait"/>
          <w:cols w:equalWidth="0" w:num="1">
            <w:col w:w="10159"/>
          </w:cols>
          <w:pgMar w:left="300" w:top="372" w:right="1440" w:bottom="1440" w:gutter="0" w:footer="0" w:header="0"/>
        </w:sectPr>
      </w:pPr>
    </w:p>
    <w:bookmarkStart w:id="414" w:name="page415"/>
    <w:bookmarkEnd w:id="4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reconciliation of the statutory federal income tax rate (benefit) to the Company’s effective tax rate (benefit)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For the</w:t>
            </w:r>
          </w:p>
        </w:tc>
      </w:tr>
      <w:tr>
        <w:trPr>
          <w:trHeight w:val="99"/>
        </w:trPr>
        <w:tc>
          <w:tcPr>
            <w:tcW w:w="424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Period from</w:t>
            </w:r>
          </w:p>
        </w:tc>
      </w:tr>
      <w:tr>
        <w:trPr>
          <w:trHeight w:val="99"/>
        </w:trPr>
        <w:tc>
          <w:tcPr>
            <w:tcW w:w="424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8"/>
              </w:rPr>
              <w:t>July 6, 2020</w:t>
            </w:r>
          </w:p>
        </w:tc>
      </w:tr>
      <w:tr>
        <w:trPr>
          <w:trHeight w:val="99"/>
        </w:trPr>
        <w:tc>
          <w:tcPr>
            <w:tcW w:w="4240" w:type="dxa"/>
            <w:vAlign w:val="bottom"/>
          </w:tcPr>
          <w:p>
            <w:pPr>
              <w:spacing w:after="0"/>
              <w:rPr>
                <w:sz w:val="8"/>
                <w:szCs w:val="8"/>
                <w:color w:val="auto"/>
              </w:rPr>
            </w:pP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5"/>
              </w:rPr>
              <w:t>(inception)</w:t>
            </w:r>
          </w:p>
        </w:tc>
      </w:tr>
      <w:tr>
        <w:trPr>
          <w:trHeight w:val="99"/>
        </w:trPr>
        <w:tc>
          <w:tcPr>
            <w:tcW w:w="424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through</w:t>
            </w:r>
          </w:p>
        </w:tc>
      </w:tr>
      <w:tr>
        <w:trPr>
          <w:trHeight w:val="99"/>
        </w:trPr>
        <w:tc>
          <w:tcPr>
            <w:tcW w:w="4240" w:type="dxa"/>
            <w:vAlign w:val="bottom"/>
          </w:tcPr>
          <w:p>
            <w:pPr>
              <w:spacing w:after="0"/>
              <w:rPr>
                <w:sz w:val="8"/>
                <w:szCs w:val="8"/>
                <w:color w:val="auto"/>
              </w:rPr>
            </w:pP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424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0"/>
              </w:rPr>
              <w:t>2020</w:t>
            </w:r>
          </w:p>
        </w:tc>
        <w:tc>
          <w:tcPr>
            <w:tcW w:w="180" w:type="dxa"/>
            <w:vAlign w:val="bottom"/>
            <w:tcBorders>
              <w:bottom w:val="single" w:sz="8" w:color="CCEEFF"/>
            </w:tcBorders>
          </w:tcPr>
          <w:p>
            <w:pPr>
              <w:spacing w:after="0"/>
              <w:rPr>
                <w:sz w:val="9"/>
                <w:szCs w:val="9"/>
                <w:color w:val="auto"/>
              </w:rPr>
            </w:pPr>
          </w:p>
        </w:tc>
      </w:tr>
      <w:tr>
        <w:trPr>
          <w:trHeight w:val="133"/>
        </w:trPr>
        <w:tc>
          <w:tcPr>
            <w:tcW w:w="4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Statutory Federal income tax rate</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21.0%</w:t>
            </w:r>
          </w:p>
        </w:tc>
      </w:tr>
      <w:tr>
        <w:trPr>
          <w:trHeight w:val="144"/>
        </w:trPr>
        <w:tc>
          <w:tcPr>
            <w:tcW w:w="4240" w:type="dxa"/>
            <w:vAlign w:val="bottom"/>
          </w:tcPr>
          <w:p>
            <w:pPr>
              <w:spacing w:after="0"/>
              <w:rPr>
                <w:sz w:val="20"/>
                <w:szCs w:val="20"/>
                <w:color w:val="auto"/>
              </w:rPr>
            </w:pPr>
            <w:r>
              <w:rPr>
                <w:rFonts w:ascii="Arial" w:cs="Arial" w:eastAsia="Arial" w:hAnsi="Arial"/>
                <w:sz w:val="12"/>
                <w:szCs w:val="12"/>
                <w:color w:val="auto"/>
              </w:rPr>
              <w:t>Change in fair value of derivative warrant liabilities</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(7.0)</w:t>
            </w:r>
          </w:p>
        </w:tc>
      </w:tr>
      <w:tr>
        <w:trPr>
          <w:trHeight w:val="144"/>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Financing Cost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(13.3)</w:t>
            </w:r>
          </w:p>
        </w:tc>
      </w:tr>
      <w:tr>
        <w:trPr>
          <w:trHeight w:val="144"/>
        </w:trPr>
        <w:tc>
          <w:tcPr>
            <w:tcW w:w="424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r>
      <w:tr>
        <w:trPr>
          <w:trHeight w:val="144"/>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Income Taxes Benefit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(0.2)%</w:t>
            </w:r>
          </w:p>
        </w:tc>
      </w:tr>
    </w:tbl>
    <w:p>
      <w:pPr>
        <w:spacing w:after="0" w:line="135" w:lineRule="exact"/>
        <w:rPr>
          <w:sz w:val="20"/>
          <w:szCs w:val="20"/>
          <w:color w:val="auto"/>
        </w:rPr>
      </w:pPr>
    </w:p>
    <w:p>
      <w:pPr>
        <w:ind w:left="1980" w:right="1159" w:firstLine="294"/>
        <w:spacing w:after="0" w:line="289" w:lineRule="auto"/>
        <w:rPr>
          <w:sz w:val="20"/>
          <w:szCs w:val="20"/>
          <w:color w:val="auto"/>
        </w:rPr>
      </w:pPr>
      <w:r>
        <w:rPr>
          <w:rFonts w:ascii="Arial" w:cs="Arial" w:eastAsia="Arial" w:hAnsi="Arial"/>
          <w:sz w:val="11"/>
          <w:szCs w:val="11"/>
          <w:color w:val="auto"/>
        </w:rPr>
        <w:t>There were no unrecognized tax benefits as of December 31, 2020. No amounts were accrued for the payment of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twelve months.</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11—Subsequent Events</w:t>
      </w:r>
    </w:p>
    <w:p>
      <w:pPr>
        <w:spacing w:after="0" w:line="8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Management has evaluated subsequent events to determine if events or transactions occurring through March 22, 2021,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F-87</w:t>
      </w:r>
    </w:p>
    <w:p>
      <w:pPr>
        <w:sectPr>
          <w:pgSz w:w="11900" w:h="16838" w:orient="portrait"/>
          <w:cols w:equalWidth="0" w:num="1">
            <w:col w:w="10159"/>
          </w:cols>
          <w:pgMar w:left="300" w:top="372" w:right="1440" w:bottom="1440" w:gutter="0" w:footer="0" w:header="0"/>
        </w:sectPr>
      </w:pPr>
    </w:p>
    <w:bookmarkStart w:id="415" w:name="page416"/>
    <w:bookmarkEnd w:id="4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CONDENSED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JUNE 30, 2021 AND DECEMBER 31, 2020</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w w:val="79"/>
              </w:rPr>
              <w:t>June 30, 2021</w:t>
            </w: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 2020</w:t>
            </w:r>
          </w:p>
        </w:tc>
      </w:tr>
      <w:tr>
        <w:trPr>
          <w:trHeight w:val="88"/>
        </w:trPr>
        <w:tc>
          <w:tcPr>
            <w:tcW w:w="55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21"/>
              <w:spacing w:after="0" w:line="88" w:lineRule="exact"/>
              <w:rPr>
                <w:sz w:val="20"/>
                <w:szCs w:val="20"/>
                <w:color w:val="auto"/>
              </w:rPr>
            </w:pPr>
            <w:r>
              <w:rPr>
                <w:rFonts w:ascii="Arial" w:cs="Arial" w:eastAsia="Arial" w:hAnsi="Arial"/>
                <w:sz w:val="10"/>
                <w:szCs w:val="10"/>
                <w:b w:val="1"/>
                <w:bCs w:val="1"/>
                <w:color w:val="auto"/>
                <w:w w:val="89"/>
              </w:rPr>
              <w:t>(Unaudited)</w:t>
            </w:r>
          </w:p>
        </w:tc>
        <w:tc>
          <w:tcPr>
            <w:tcW w:w="300" w:type="dxa"/>
            <w:vAlign w:val="bottom"/>
            <w:gridSpan w:val="2"/>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1,173,304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1,696,491</w:t>
            </w: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128,136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276,093</w:t>
            </w: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Due from underwriters</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4,877</w:t>
            </w:r>
          </w:p>
        </w:tc>
        <w:tc>
          <w:tcPr>
            <w:tcW w:w="80" w:type="dxa"/>
            <w:vAlign w:val="bottom"/>
            <w:shd w:val="clear" w:color="auto" w:fill="CCEEFF"/>
          </w:tcPr>
          <w:p>
            <w:pPr>
              <w:spacing w:after="0"/>
              <w:rPr>
                <w:sz w:val="12"/>
                <w:szCs w:val="12"/>
                <w:color w:val="auto"/>
              </w:rPr>
            </w:pPr>
          </w:p>
        </w:tc>
      </w:tr>
      <w:tr>
        <w:trPr>
          <w:trHeight w:val="142"/>
        </w:trPr>
        <w:tc>
          <w:tcPr>
            <w:tcW w:w="550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1,301,440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1,977,461</w:t>
            </w: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Marketable Securities held in Trust Account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410,798,072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8"/>
              </w:rPr>
              <w:t>410,803,411</w:t>
            </w:r>
          </w:p>
        </w:tc>
      </w:tr>
      <w:tr>
        <w:trPr>
          <w:trHeight w:val="153"/>
        </w:trPr>
        <w:tc>
          <w:tcPr>
            <w:tcW w:w="550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412,099,512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412,780,872</w:t>
            </w:r>
          </w:p>
        </w:tc>
        <w:tc>
          <w:tcPr>
            <w:tcW w:w="80" w:type="dxa"/>
            <w:vAlign w:val="bottom"/>
          </w:tcPr>
          <w:p>
            <w:pPr>
              <w:spacing w:after="0"/>
              <w:rPr>
                <w:sz w:val="13"/>
                <w:szCs w:val="13"/>
                <w:color w:val="auto"/>
              </w:rPr>
            </w:pPr>
          </w:p>
        </w:tc>
      </w:tr>
      <w:tr>
        <w:trPr>
          <w:trHeight w:val="148"/>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3,256,767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207,029</w:t>
            </w: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5,615,000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240,402</w:t>
            </w:r>
          </w:p>
        </w:tc>
      </w:tr>
      <w:tr>
        <w:trPr>
          <w:trHeight w:val="144"/>
        </w:trPr>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income tax</w:t>
            </w: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19,504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16,709</w:t>
            </w:r>
          </w:p>
        </w:tc>
      </w:tr>
      <w:tr>
        <w:trPr>
          <w:trHeight w:val="144"/>
        </w:trPr>
        <w:tc>
          <w:tcPr>
            <w:tcW w:w="5500" w:type="dxa"/>
            <w:vAlign w:val="bottom"/>
          </w:tcPr>
          <w:p>
            <w:pPr>
              <w:ind w:left="240"/>
              <w:spacing w:after="0"/>
              <w:rPr>
                <w:sz w:val="20"/>
                <w:szCs w:val="20"/>
                <w:color w:val="auto"/>
              </w:rPr>
            </w:pPr>
            <w:r>
              <w:rPr>
                <w:rFonts w:ascii="Arial" w:cs="Arial" w:eastAsia="Arial" w:hAnsi="Arial"/>
                <w:sz w:val="12"/>
                <w:szCs w:val="12"/>
                <w:color w:val="auto"/>
              </w:rPr>
              <w:t>Franchise tax payable</w:t>
            </w:r>
          </w:p>
        </w:tc>
        <w:tc>
          <w:tcPr>
            <w:tcW w:w="60" w:type="dxa"/>
            <w:vAlign w:val="bottom"/>
          </w:tcPr>
          <w:p>
            <w:pPr>
              <w:spacing w:after="0"/>
              <w:rPr>
                <w:sz w:val="12"/>
                <w:szCs w:val="12"/>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2"/>
                <w:szCs w:val="12"/>
                <w:color w:val="auto"/>
              </w:rPr>
              <w:t>85,276</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88,583</w:t>
            </w:r>
          </w:p>
        </w:tc>
      </w:tr>
      <w:tr>
        <w:trPr>
          <w:trHeight w:val="142"/>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liabilities</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8,976,547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552,723</w:t>
            </w:r>
          </w:p>
        </w:tc>
        <w:tc>
          <w:tcPr>
            <w:tcW w:w="80" w:type="dxa"/>
            <w:vAlign w:val="bottom"/>
            <w:shd w:val="clear" w:color="auto" w:fill="CCEEFF"/>
          </w:tcPr>
          <w:p>
            <w:pPr>
              <w:spacing w:after="0"/>
              <w:rPr>
                <w:sz w:val="12"/>
                <w:szCs w:val="12"/>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Derivative warrant liabilities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96"/>
              </w:rPr>
              <w:t>47,355,420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49,097,230</w:t>
            </w: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Deferred underwriting commissions</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14,375,138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14,375,138</w:t>
            </w:r>
          </w:p>
        </w:tc>
        <w:tc>
          <w:tcPr>
            <w:tcW w:w="80" w:type="dxa"/>
            <w:vAlign w:val="bottom"/>
            <w:shd w:val="clear" w:color="auto" w:fill="CCEEFF"/>
          </w:tcPr>
          <w:p>
            <w:pPr>
              <w:spacing w:after="0"/>
              <w:rPr>
                <w:sz w:val="12"/>
                <w:szCs w:val="12"/>
                <w:color w:val="auto"/>
              </w:rPr>
            </w:pPr>
          </w:p>
        </w:tc>
      </w:tr>
      <w:tr>
        <w:trPr>
          <w:trHeight w:val="142"/>
        </w:trPr>
        <w:tc>
          <w:tcPr>
            <w:tcW w:w="5500" w:type="dxa"/>
            <w:vAlign w:val="bottom"/>
          </w:tcPr>
          <w:p>
            <w:pPr>
              <w:spacing w:after="0"/>
              <w:rPr>
                <w:sz w:val="20"/>
                <w:szCs w:val="20"/>
                <w:color w:val="auto"/>
              </w:rPr>
            </w:pPr>
            <w:r>
              <w:rPr>
                <w:rFonts w:ascii="Arial" w:cs="Arial" w:eastAsia="Arial" w:hAnsi="Arial"/>
                <w:sz w:val="12"/>
                <w:szCs w:val="12"/>
                <w:b w:val="1"/>
                <w:bCs w:val="1"/>
                <w:color w:val="auto"/>
              </w:rPr>
              <w:t>Total liabilities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96"/>
              </w:rPr>
              <w:t>70,707,105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64,025,091</w:t>
            </w:r>
          </w:p>
        </w:tc>
      </w:tr>
      <w:tr>
        <w:trPr>
          <w:trHeight w:val="142"/>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2"/>
                <w:szCs w:val="12"/>
                <w:color w:val="auto"/>
                <w:w w:val="93"/>
              </w:rPr>
              <w:t>Class A common stock, $0.0001 par value; 33,639,240 and 34,375,578 shares subject to possible redemption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5500" w:type="dxa"/>
            <w:vAlign w:val="bottom"/>
          </w:tcPr>
          <w:p>
            <w:pPr>
              <w:ind w:left="120"/>
              <w:spacing w:after="0"/>
              <w:rPr>
                <w:sz w:val="20"/>
                <w:szCs w:val="20"/>
                <w:color w:val="auto"/>
              </w:rPr>
            </w:pPr>
            <w:r>
              <w:rPr>
                <w:rFonts w:ascii="Arial" w:cs="Arial" w:eastAsia="Arial" w:hAnsi="Arial"/>
                <w:sz w:val="12"/>
                <w:szCs w:val="12"/>
                <w:color w:val="auto"/>
              </w:rPr>
              <w:t>at $10.00 per share as of June 30, 2021 and December 31, 2020, respectively</w:t>
            </w:r>
          </w:p>
        </w:tc>
        <w:tc>
          <w:tcPr>
            <w:tcW w:w="6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336,392,400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343,755,780</w:t>
            </w: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Preferred stock, $0.0001 par value; 1,000,000 shares authorized; none issued and outstanding</w:t>
            </w:r>
          </w:p>
        </w:tc>
        <w:tc>
          <w:tcPr>
            <w:tcW w:w="60" w:type="dxa"/>
            <w:vAlign w:val="bottom"/>
          </w:tcPr>
          <w:p>
            <w:pPr>
              <w:spacing w:after="0"/>
              <w:rPr>
                <w:sz w:val="12"/>
                <w:szCs w:val="12"/>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5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Class A common stock, $0.0001 par value; 400,000,000 shares authorized; 7,432,583 and 6,696,245 shares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5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issued and outstanding (excluding 33,639,240 and 34,375,578 shares subject to possible redemption) as of</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5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June 30, 2021 and December 31, 2020, respectively</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743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670</w:t>
            </w: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2"/>
                <w:szCs w:val="12"/>
                <w:color w:val="auto"/>
                <w:w w:val="98"/>
              </w:rPr>
              <w:t>Class B common stock, $0.0001 par value; 40,000,000 shares authorized; 10,267,956 shares issued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5500" w:type="dxa"/>
            <w:vAlign w:val="bottom"/>
          </w:tcPr>
          <w:p>
            <w:pPr>
              <w:ind w:left="120"/>
              <w:spacing w:after="0"/>
              <w:rPr>
                <w:sz w:val="20"/>
                <w:szCs w:val="20"/>
                <w:color w:val="auto"/>
              </w:rPr>
            </w:pPr>
            <w:r>
              <w:rPr>
                <w:rFonts w:ascii="Arial" w:cs="Arial" w:eastAsia="Arial" w:hAnsi="Arial"/>
                <w:sz w:val="12"/>
                <w:szCs w:val="12"/>
                <w:color w:val="auto"/>
              </w:rPr>
              <w:t>outstanding as of June 30, 2021 and December 31, 2020</w:t>
            </w:r>
          </w:p>
        </w:tc>
        <w:tc>
          <w:tcPr>
            <w:tcW w:w="6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1,027</w:t>
            </w: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6"/>
              </w:rPr>
              <w:t>23,135,928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15,772,622</w:t>
            </w: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2"/>
                <w:szCs w:val="12"/>
                <w:color w:val="auto"/>
                <w:w w:val="91"/>
              </w:rPr>
              <w:t>(18,137,691)</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(10,774,318)</w:t>
            </w:r>
          </w:p>
        </w:tc>
      </w:tr>
      <w:tr>
        <w:trPr>
          <w:trHeight w:val="142"/>
        </w:trPr>
        <w:tc>
          <w:tcPr>
            <w:tcW w:w="5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stockholders’ equity</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5,000,007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5,000,001</w:t>
            </w:r>
          </w:p>
        </w:tc>
        <w:tc>
          <w:tcPr>
            <w:tcW w:w="80" w:type="dxa"/>
            <w:vAlign w:val="bottom"/>
            <w:shd w:val="clear" w:color="auto" w:fill="CCEEFF"/>
          </w:tcPr>
          <w:p>
            <w:pPr>
              <w:spacing w:after="0"/>
              <w:rPr>
                <w:sz w:val="12"/>
                <w:szCs w:val="12"/>
                <w:color w:val="auto"/>
              </w:rPr>
            </w:pPr>
          </w:p>
        </w:tc>
      </w:tr>
      <w:tr>
        <w:trPr>
          <w:trHeight w:val="149"/>
        </w:trPr>
        <w:tc>
          <w:tcPr>
            <w:tcW w:w="550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412,099,512</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412,780,872</w:t>
            </w:r>
          </w:p>
        </w:tc>
        <w:tc>
          <w:tcPr>
            <w:tcW w:w="80" w:type="dxa"/>
            <w:vAlign w:val="bottom"/>
          </w:tcPr>
          <w:p>
            <w:pPr>
              <w:spacing w:after="0"/>
              <w:rPr>
                <w:sz w:val="12"/>
                <w:szCs w:val="12"/>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F-88</w:t>
      </w:r>
    </w:p>
    <w:p>
      <w:pPr>
        <w:sectPr>
          <w:pgSz w:w="11900" w:h="16838" w:orient="portrait"/>
          <w:cols w:equalWidth="0" w:num="1">
            <w:col w:w="10159"/>
          </w:cols>
          <w:pgMar w:left="300" w:top="372" w:right="1440" w:bottom="1440" w:gutter="0" w:footer="0" w:header="0"/>
        </w:sectPr>
      </w:pPr>
    </w:p>
    <w:bookmarkStart w:id="416" w:name="page417"/>
    <w:bookmarkEnd w:id="4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CONDENSED STATEMENTS OF OPERATIONS</w:t>
      </w:r>
    </w:p>
    <w:p>
      <w:pPr>
        <w:spacing w:after="0" w:line="137"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FOR THE THREE AND SIX MONTHS ENDED JUNE 30, 2021</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380" w:type="dxa"/>
            <w:vAlign w:val="bottom"/>
            <w:gridSpan w:val="3"/>
          </w:tcPr>
          <w:p>
            <w:pPr>
              <w:spacing w:after="0"/>
              <w:rPr>
                <w:sz w:val="20"/>
                <w:szCs w:val="20"/>
                <w:color w:val="auto"/>
              </w:rPr>
            </w:pPr>
            <w:r>
              <w:rPr>
                <w:rFonts w:ascii="Arial" w:cs="Arial" w:eastAsia="Arial" w:hAnsi="Arial"/>
                <w:sz w:val="10"/>
                <w:szCs w:val="10"/>
                <w:b w:val="1"/>
                <w:bCs w:val="1"/>
                <w:color w:val="auto"/>
              </w:rPr>
              <w:t>For the Three Months</w:t>
            </w:r>
          </w:p>
        </w:tc>
        <w:tc>
          <w:tcPr>
            <w:tcW w:w="9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1"/>
              </w:rPr>
              <w:t>For the Six Months</w:t>
            </w:r>
          </w:p>
        </w:tc>
        <w:tc>
          <w:tcPr>
            <w:tcW w:w="0" w:type="dxa"/>
            <w:vAlign w:val="bottom"/>
          </w:tcPr>
          <w:p>
            <w:pPr>
              <w:spacing w:after="0"/>
              <w:rPr>
                <w:sz w:val="1"/>
                <w:szCs w:val="1"/>
                <w:color w:val="auto"/>
              </w:rPr>
            </w:pPr>
          </w:p>
        </w:tc>
      </w:tr>
      <w:tr>
        <w:trPr>
          <w:trHeight w:val="113"/>
        </w:trPr>
        <w:tc>
          <w:tcPr>
            <w:tcW w:w="5020" w:type="dxa"/>
            <w:vAlign w:val="bottom"/>
          </w:tcPr>
          <w:p>
            <w:pPr>
              <w:spacing w:after="0"/>
              <w:rPr>
                <w:sz w:val="9"/>
                <w:szCs w:val="9"/>
                <w:color w:val="auto"/>
              </w:rPr>
            </w:pPr>
          </w:p>
        </w:tc>
        <w:tc>
          <w:tcPr>
            <w:tcW w:w="138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Ended June 30, 2021</w:t>
            </w:r>
          </w:p>
        </w:tc>
        <w:tc>
          <w:tcPr>
            <w:tcW w:w="94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w w:val="91"/>
              </w:rPr>
              <w:t>Ended June 30, 2021</w:t>
            </w:r>
          </w:p>
        </w:tc>
        <w:tc>
          <w:tcPr>
            <w:tcW w:w="0" w:type="dxa"/>
            <w:vAlign w:val="bottom"/>
          </w:tcPr>
          <w:p>
            <w:pPr>
              <w:spacing w:after="0"/>
              <w:rPr>
                <w:sz w:val="1"/>
                <w:szCs w:val="1"/>
                <w:color w:val="auto"/>
              </w:rPr>
            </w:pPr>
          </w:p>
        </w:tc>
      </w:tr>
      <w:tr>
        <w:trPr>
          <w:trHeight w:val="133"/>
        </w:trPr>
        <w:tc>
          <w:tcPr>
            <w:tcW w:w="5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General and administrative expenses</w:t>
            </w:r>
          </w:p>
        </w:tc>
        <w:tc>
          <w:tcPr>
            <w:tcW w:w="2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5,105,898</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9,040,356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Administrative expenses—related party</w:t>
            </w:r>
          </w:p>
        </w:tc>
        <w:tc>
          <w:tcPr>
            <w:tcW w:w="20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30,000</w:t>
            </w:r>
          </w:p>
        </w:tc>
        <w:tc>
          <w:tcPr>
            <w:tcW w:w="2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60,000</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Franchise tax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35,961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85,276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Loss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(5,171,859)</w:t>
            </w:r>
          </w:p>
        </w:tc>
        <w:tc>
          <w:tcPr>
            <w:tcW w:w="2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(9,185,632)</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Change in fair value of derivative warrant liabilities</w:t>
            </w:r>
          </w:p>
        </w:tc>
        <w:tc>
          <w:tcPr>
            <w:tcW w:w="200" w:type="dxa"/>
            <w:vAlign w:val="bottom"/>
          </w:tcPr>
          <w:p>
            <w:pPr>
              <w:spacing w:after="0"/>
              <w:rPr>
                <w:sz w:val="12"/>
                <w:szCs w:val="1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(21,217,690)</w:t>
            </w:r>
          </w:p>
        </w:tc>
        <w:tc>
          <w:tcPr>
            <w:tcW w:w="2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1,741,810</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Interest earned on marketable securities held in Trust Account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7,076</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99,953</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Net loss before taxes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(26,382,473)</w:t>
            </w:r>
          </w:p>
        </w:tc>
        <w:tc>
          <w:tcPr>
            <w:tcW w:w="2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(7,343,869)</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19,504</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20" w:type="dxa"/>
            <w:vAlign w:val="bottom"/>
            <w:vMerge w:val="continue"/>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(26,382,473)</w:t>
            </w: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(7,363,373)</w:t>
            </w:r>
          </w:p>
        </w:tc>
        <w:tc>
          <w:tcPr>
            <w:tcW w:w="0" w:type="dxa"/>
            <w:vAlign w:val="bottom"/>
          </w:tcPr>
          <w:p>
            <w:pPr>
              <w:spacing w:after="0"/>
              <w:rPr>
                <w:sz w:val="1"/>
                <w:szCs w:val="1"/>
                <w:color w:val="auto"/>
              </w:rPr>
            </w:pPr>
          </w:p>
        </w:tc>
      </w:tr>
      <w:tr>
        <w:trPr>
          <w:trHeight w:val="136"/>
        </w:trPr>
        <w:tc>
          <w:tcPr>
            <w:tcW w:w="50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w w:val="98"/>
              </w:rPr>
              <w:t>Weighted average shares outstanding of common stock subject to redemption, basic and</w:t>
            </w: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0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diluted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36,248,495</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35,327,718</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Arial" w:cs="Arial" w:eastAsia="Arial" w:hAnsi="Arial"/>
                <w:sz w:val="12"/>
                <w:szCs w:val="12"/>
                <w:b w:val="1"/>
                <w:bCs w:val="1"/>
                <w:color w:val="auto"/>
              </w:rPr>
              <w:t>Basic and diluted net income per share, common stock subject to redemption</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020" w:type="dxa"/>
            <w:vAlign w:val="bottom"/>
            <w:vMerge w:val="continue"/>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0.00</w:t>
            </w:r>
          </w:p>
        </w:tc>
        <w:tc>
          <w:tcPr>
            <w:tcW w:w="4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6"/>
              </w:rPr>
              <w:t>Weighted average shares outstanding of non-redeemable common stock, basic and diluted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15,091,284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16,012,061</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Arial" w:cs="Arial" w:eastAsia="Arial" w:hAnsi="Arial"/>
                <w:sz w:val="12"/>
                <w:szCs w:val="12"/>
                <w:b w:val="1"/>
                <w:bCs w:val="1"/>
                <w:color w:val="auto"/>
              </w:rPr>
              <w:t>Basic and diluted net loss per share, non-redeemable common stock</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020" w:type="dxa"/>
            <w:vAlign w:val="bottom"/>
            <w:vMerge w:val="continue"/>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(1.75)</w:t>
            </w: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F-89</w:t>
      </w:r>
    </w:p>
    <w:p>
      <w:pPr>
        <w:sectPr>
          <w:pgSz w:w="11900" w:h="16838" w:orient="portrait"/>
          <w:cols w:equalWidth="0" w:num="1">
            <w:col w:w="10159"/>
          </w:cols>
          <w:pgMar w:left="300" w:top="372" w:right="1440" w:bottom="1440" w:gutter="0" w:footer="0" w:header="0"/>
        </w:sectPr>
      </w:pPr>
    </w:p>
    <w:bookmarkStart w:id="417" w:name="page418"/>
    <w:bookmarkEnd w:id="4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CONDENSED STATEMENTS OF CHANGES IN STOCKHOLDERS’ EQUITY</w:t>
      </w:r>
    </w:p>
    <w:p>
      <w:pPr>
        <w:spacing w:after="0" w:line="137"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FOR THE THREE AND SIX MONTHS ENDED JUNE 30, 2021</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6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Common Stock</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5"/>
              </w:rPr>
              <w:t>Retained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620" w:type="dxa"/>
            <w:vAlign w:val="bottom"/>
          </w:tcPr>
          <w:p>
            <w:pPr>
              <w:spacing w:after="0"/>
              <w:rPr>
                <w:sz w:val="5"/>
                <w:szCs w:val="5"/>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Class A</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w w:val="81"/>
              </w:rPr>
              <w:t>Class B</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tcPr>
          <w:p>
            <w:pPr>
              <w:jc w:val="right"/>
              <w:ind w:right="240"/>
              <w:spacing w:after="0" w:line="58" w:lineRule="exact"/>
              <w:rPr>
                <w:sz w:val="20"/>
                <w:szCs w:val="20"/>
                <w:color w:val="auto"/>
              </w:rPr>
            </w:pPr>
            <w:r>
              <w:rPr>
                <w:rFonts w:ascii="Arial" w:cs="Arial" w:eastAsia="Arial" w:hAnsi="Arial"/>
                <w:sz w:val="6"/>
                <w:szCs w:val="6"/>
                <w:b w:val="1"/>
                <w:bCs w:val="1"/>
                <w:color w:val="auto"/>
              </w:rPr>
              <w:t>Additional</w:t>
            </w:r>
          </w:p>
        </w:tc>
        <w:tc>
          <w:tcPr>
            <w:tcW w:w="820" w:type="dxa"/>
            <w:vAlign w:val="bottom"/>
            <w:gridSpan w:val="2"/>
          </w:tcPr>
          <w:p>
            <w:pPr>
              <w:jc w:val="center"/>
              <w:ind w:right="140"/>
              <w:spacing w:after="0" w:line="58" w:lineRule="exact"/>
              <w:rPr>
                <w:sz w:val="20"/>
                <w:szCs w:val="20"/>
                <w:color w:val="auto"/>
              </w:rPr>
            </w:pPr>
            <w:r>
              <w:rPr>
                <w:rFonts w:ascii="Arial" w:cs="Arial" w:eastAsia="Arial" w:hAnsi="Arial"/>
                <w:sz w:val="6"/>
                <w:szCs w:val="6"/>
                <w:b w:val="1"/>
                <w:bCs w:val="1"/>
                <w:color w:val="auto"/>
              </w:rPr>
              <w:t>Earnings</w:t>
            </w:r>
          </w:p>
        </w:tc>
        <w:tc>
          <w:tcPr>
            <w:tcW w:w="80" w:type="dxa"/>
            <w:vAlign w:val="bottom"/>
          </w:tcPr>
          <w:p>
            <w:pPr>
              <w:spacing w:after="0"/>
              <w:rPr>
                <w:sz w:val="5"/>
                <w:szCs w:val="5"/>
                <w:color w:val="auto"/>
              </w:rPr>
            </w:pPr>
          </w:p>
        </w:tc>
        <w:tc>
          <w:tcPr>
            <w:tcW w:w="680" w:type="dxa"/>
            <w:vAlign w:val="bottom"/>
            <w:gridSpan w:val="2"/>
          </w:tcPr>
          <w:p>
            <w:pPr>
              <w:jc w:val="center"/>
              <w:ind w:right="160"/>
              <w:spacing w:after="0" w:line="58"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7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Paid-In</w:t>
            </w:r>
          </w:p>
        </w:tc>
        <w:tc>
          <w:tcPr>
            <w:tcW w:w="820" w:type="dxa"/>
            <w:vAlign w:val="bottom"/>
            <w:gridSpan w:val="2"/>
          </w:tcPr>
          <w:p>
            <w:pPr>
              <w:jc w:val="center"/>
              <w:ind w:right="120"/>
              <w:spacing w:after="0" w:line="79" w:lineRule="exact"/>
              <w:rPr>
                <w:sz w:val="20"/>
                <w:szCs w:val="20"/>
                <w:color w:val="auto"/>
              </w:rPr>
            </w:pPr>
            <w:r>
              <w:rPr>
                <w:rFonts w:ascii="Arial" w:cs="Arial" w:eastAsia="Arial" w:hAnsi="Arial"/>
                <w:sz w:val="8"/>
                <w:szCs w:val="8"/>
                <w:b w:val="1"/>
                <w:bCs w:val="1"/>
                <w:color w:val="auto"/>
              </w:rPr>
              <w:t>(Accumulated</w:t>
            </w:r>
          </w:p>
        </w:tc>
        <w:tc>
          <w:tcPr>
            <w:tcW w:w="760" w:type="dxa"/>
            <w:vAlign w:val="bottom"/>
            <w:gridSpan w:val="3"/>
          </w:tcPr>
          <w:p>
            <w:pPr>
              <w:jc w:val="center"/>
              <w:ind w:right="80"/>
              <w:spacing w:after="0" w:line="79"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13"/>
        </w:trPr>
        <w:tc>
          <w:tcPr>
            <w:tcW w:w="2620" w:type="dxa"/>
            <w:vAlign w:val="bottom"/>
          </w:tcPr>
          <w:p>
            <w:pPr>
              <w:spacing w:after="0"/>
              <w:rPr>
                <w:sz w:val="9"/>
                <w:szCs w:val="9"/>
                <w:color w:val="auto"/>
              </w:rPr>
            </w:pPr>
          </w:p>
        </w:tc>
        <w:tc>
          <w:tcPr>
            <w:tcW w:w="72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ind w:left="160"/>
              <w:spacing w:after="0" w:line="114" w:lineRule="exact"/>
              <w:rPr>
                <w:sz w:val="20"/>
                <w:szCs w:val="20"/>
                <w:color w:val="auto"/>
              </w:rPr>
            </w:pPr>
            <w:r>
              <w:rPr>
                <w:rFonts w:ascii="Arial" w:cs="Arial" w:eastAsia="Arial" w:hAnsi="Arial"/>
                <w:sz w:val="10"/>
                <w:szCs w:val="10"/>
                <w:b w:val="1"/>
                <w:bCs w:val="1"/>
                <w:color w:val="auto"/>
              </w:rPr>
              <w:t>Shares</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Capital</w:t>
            </w:r>
          </w:p>
        </w:tc>
        <w:tc>
          <w:tcPr>
            <w:tcW w:w="8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Deficit)</w:t>
            </w:r>
          </w:p>
        </w:tc>
        <w:tc>
          <w:tcPr>
            <w:tcW w:w="80" w:type="dxa"/>
            <w:vAlign w:val="bottom"/>
          </w:tcPr>
          <w:p>
            <w:pPr>
              <w:spacing w:after="0"/>
              <w:rPr>
                <w:sz w:val="9"/>
                <w:szCs w:val="9"/>
                <w:color w:val="auto"/>
              </w:rPr>
            </w:pPr>
          </w:p>
        </w:tc>
        <w:tc>
          <w:tcPr>
            <w:tcW w:w="6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Balance—December 31, 2020</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6,696,245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w w:val="89"/>
              </w:rPr>
              <w:t>$</w:t>
            </w:r>
          </w:p>
        </w:tc>
        <w:tc>
          <w:tcPr>
            <w:tcW w:w="260" w:type="dxa"/>
            <w:vAlign w:val="bottom"/>
            <w:tcBorders>
              <w:top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w w:val="79"/>
              </w:rPr>
              <w:t>670</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96"/>
              </w:rPr>
              <w:t>10,267,956</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87"/>
              </w:rPr>
              <w:t>$1,027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93"/>
              </w:rPr>
              <w:t>15,772,622</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84"/>
              </w:rPr>
              <w:t>$ (10,774,318)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5,000,001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2"/>
                <w:szCs w:val="12"/>
                <w:color w:val="auto"/>
              </w:rPr>
              <w:t>Class A common stock subject to possible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20"/>
              <w:spacing w:after="0"/>
              <w:rPr>
                <w:sz w:val="20"/>
                <w:szCs w:val="20"/>
                <w:color w:val="auto"/>
              </w:rPr>
            </w:pPr>
            <w:r>
              <w:rPr>
                <w:rFonts w:ascii="Arial" w:cs="Arial" w:eastAsia="Arial" w:hAnsi="Arial"/>
                <w:sz w:val="12"/>
                <w:szCs w:val="12"/>
                <w:color w:val="auto"/>
              </w:rPr>
              <w:t>redemption</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(1,901,909)</w:t>
            </w: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(191)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88"/>
              </w:rPr>
              <w:t>(15,772,622)</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(3,246,278)</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w w:val="91"/>
              </w:rPr>
              <w:t>(19,019,091)</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19,019,100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19,019,100</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20"/>
                <w:szCs w:val="20"/>
                <w:color w:val="auto"/>
              </w:rPr>
            </w:pPr>
            <w:r>
              <w:rPr>
                <w:rFonts w:ascii="Arial" w:cs="Arial" w:eastAsia="Arial" w:hAnsi="Arial"/>
                <w:sz w:val="12"/>
                <w:szCs w:val="12"/>
                <w:b w:val="1"/>
                <w:bCs w:val="1"/>
                <w:color w:val="auto"/>
              </w:rPr>
              <w:t>Balance—March 31, 2021 (Unaudited)</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4,794,336</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w w:val="79"/>
              </w:rPr>
              <w:t>479</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10,267,956</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1,027</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4,998,504</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5,000,010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Class A common stock subject to possible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redemption</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2,638,247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264</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23,135,928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3,246,278</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26,382,470</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20"/>
                <w:szCs w:val="20"/>
                <w:color w:val="auto"/>
              </w:rPr>
            </w:pPr>
            <w:r>
              <w:rPr>
                <w:rFonts w:ascii="Arial" w:cs="Arial" w:eastAsia="Arial" w:hAnsi="Arial"/>
                <w:sz w:val="12"/>
                <w:szCs w:val="12"/>
                <w:color w:val="auto"/>
              </w:rPr>
              <w:t>Net loss</w:t>
            </w:r>
          </w:p>
        </w:tc>
        <w:tc>
          <w:tcPr>
            <w:tcW w:w="5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(26,382,473)</w:t>
            </w: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w w:val="91"/>
              </w:rPr>
              <w:t>(26,382,473)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Balance—June 30, 2021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7,432,583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743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96"/>
              </w:rPr>
              <w:t>10,267,956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1,027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3"/>
              </w:rPr>
              <w:t>23,135,928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 (18,137,691)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5,000,007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F-90</w:t>
      </w:r>
    </w:p>
    <w:p>
      <w:pPr>
        <w:sectPr>
          <w:pgSz w:w="11900" w:h="16838" w:orient="portrait"/>
          <w:cols w:equalWidth="0" w:num="1">
            <w:col w:w="10159"/>
          </w:cols>
          <w:pgMar w:left="300" w:top="372" w:right="1440" w:bottom="1440" w:gutter="0" w:footer="0" w:header="0"/>
        </w:sectPr>
      </w:pPr>
    </w:p>
    <w:bookmarkStart w:id="418" w:name="page419"/>
    <w:bookmarkEnd w:id="4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left="33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left="3320"/>
        <w:spacing w:after="0"/>
        <w:rPr>
          <w:sz w:val="20"/>
          <w:szCs w:val="20"/>
          <w:color w:val="auto"/>
        </w:rPr>
      </w:pPr>
      <w:r>
        <w:rPr>
          <w:rFonts w:ascii="Arial" w:cs="Arial" w:eastAsia="Arial" w:hAnsi="Arial"/>
          <w:sz w:val="12"/>
          <w:szCs w:val="12"/>
          <w:b w:val="1"/>
          <w:bCs w:val="1"/>
          <w:color w:val="auto"/>
        </w:rPr>
        <w:t>UNAUDITED CONDENSED STATEMENT OF CASH FLOWS</w:t>
      </w:r>
    </w:p>
    <w:p>
      <w:pPr>
        <w:spacing w:after="0" w:line="137"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FOR THE SIX MONTHS ENDED JUNE 30, 2021</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Adjustments to reconcile net loss to net cash used in operating activities:</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Interest earned on marketable securities held in Trust Account</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Prepaid expenses</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Accrued expenses</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Franchise tax payable</w:t>
      </w:r>
    </w:p>
    <w:p>
      <w:pPr>
        <w:spacing w:after="0" w:line="11" w:lineRule="exact"/>
        <w:rPr>
          <w:sz w:val="20"/>
          <w:szCs w:val="20"/>
          <w:color w:val="auto"/>
        </w:rPr>
      </w:pPr>
    </w:p>
    <w:p>
      <w:pPr>
        <w:ind w:left="2220"/>
        <w:spacing w:after="0"/>
        <w:rPr>
          <w:sz w:val="20"/>
          <w:szCs w:val="20"/>
          <w:color w:val="auto"/>
        </w:rPr>
      </w:pPr>
      <w:r>
        <w:rPr>
          <w:rFonts w:ascii="Arial" w:cs="Arial" w:eastAsia="Arial" w:hAnsi="Arial"/>
          <w:sz w:val="12"/>
          <w:szCs w:val="12"/>
          <w:b w:val="1"/>
          <w:bCs w:val="1"/>
          <w:color w:val="auto"/>
        </w:rPr>
        <w:t>Net cash used in operating activities</w:t>
      </w:r>
    </w:p>
    <w:p>
      <w:pPr>
        <w:spacing w:after="0" w:line="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Reimbursement of offering costs from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b w:val="1"/>
          <w:bCs w:val="1"/>
          <w:color w:val="auto"/>
        </w:rPr>
        <w:t>Net cash provided by financing activities</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Net decrease in cash</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Cash—end of the period</w:t>
      </w:r>
    </w:p>
    <w:p>
      <w:pPr>
        <w:spacing w:after="0" w:line="4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Change in Value of Class A common stock subject to possible redemption</w:t>
      </w:r>
    </w:p>
    <w:p>
      <w:pPr>
        <w:spacing w:after="0" w:line="177" w:lineRule="exact"/>
        <w:rPr>
          <w:sz w:val="20"/>
          <w:szCs w:val="20"/>
          <w:color w:val="auto"/>
        </w:rPr>
      </w:pPr>
    </w:p>
    <w:p>
      <w:pPr>
        <w:jc w:val="center"/>
        <w:ind w:left="3320"/>
        <w:spacing w:after="0"/>
        <w:rPr>
          <w:sz w:val="20"/>
          <w:szCs w:val="20"/>
          <w:color w:val="auto"/>
        </w:rPr>
      </w:pPr>
      <w:r>
        <w:rPr>
          <w:rFonts w:ascii="Arial" w:cs="Arial" w:eastAsia="Arial" w:hAnsi="Arial"/>
          <w:sz w:val="10"/>
          <w:szCs w:val="10"/>
          <w:i w:val="1"/>
          <w:iCs w:val="1"/>
          <w:color w:val="auto"/>
        </w:rPr>
        <w:t>The accompanying notes are an integral part of these unaudited condensed financial statements.</w:t>
      </w:r>
    </w:p>
    <w:p>
      <w:pPr>
        <w:spacing w:after="0" w:line="128" w:lineRule="exact"/>
        <w:rPr>
          <w:sz w:val="20"/>
          <w:szCs w:val="20"/>
          <w:color w:val="auto"/>
        </w:rPr>
      </w:pPr>
    </w:p>
    <w:p>
      <w:pPr>
        <w:jc w:val="center"/>
        <w:ind w:left="3320"/>
        <w:spacing w:after="0"/>
        <w:rPr>
          <w:sz w:val="20"/>
          <w:szCs w:val="20"/>
          <w:color w:val="auto"/>
        </w:rPr>
      </w:pPr>
      <w:r>
        <w:rPr>
          <w:rFonts w:ascii="Arial" w:cs="Arial" w:eastAsia="Arial" w:hAnsi="Arial"/>
          <w:sz w:val="12"/>
          <w:szCs w:val="12"/>
          <w:color w:val="auto"/>
        </w:rPr>
        <w:t>F-91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899"/>
        <w:spacing w:after="0"/>
        <w:rPr>
          <w:sz w:val="20"/>
          <w:szCs w:val="20"/>
          <w:color w:val="auto"/>
        </w:rPr>
      </w:pPr>
      <w:r>
        <w:rPr>
          <w:rFonts w:ascii="Arial" w:cs="Arial" w:eastAsia="Arial" w:hAnsi="Arial"/>
          <w:sz w:val="11"/>
          <w:szCs w:val="11"/>
          <w:color w:val="auto"/>
        </w:rPr>
        <w:t>$ (7,363,373)</w:t>
      </w:r>
    </w:p>
    <w:p>
      <w:pPr>
        <w:spacing w:after="0" w:line="162"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auto"/>
        </w:rPr>
        <w:t>(99,953)</w:t>
      </w:r>
    </w:p>
    <w:p>
      <w:pPr>
        <w:spacing w:after="0" w:line="15"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auto"/>
        </w:rPr>
        <w:t>(1,741,810)</w:t>
      </w:r>
    </w:p>
    <w:p>
      <w:pPr>
        <w:spacing w:after="0" w:line="141" w:lineRule="exact"/>
        <w:rPr>
          <w:sz w:val="20"/>
          <w:szCs w:val="20"/>
          <w:color w:val="auto"/>
        </w:rPr>
      </w:pPr>
    </w:p>
    <w:p>
      <w:pPr>
        <w:jc w:val="right"/>
        <w:ind w:right="939"/>
        <w:spacing w:after="0"/>
        <w:rPr>
          <w:sz w:val="20"/>
          <w:szCs w:val="20"/>
          <w:color w:val="auto"/>
        </w:rPr>
      </w:pPr>
      <w:r>
        <w:rPr>
          <w:rFonts w:ascii="Arial" w:cs="Arial" w:eastAsia="Arial" w:hAnsi="Arial"/>
          <w:sz w:val="12"/>
          <w:szCs w:val="12"/>
          <w:color w:val="auto"/>
        </w:rPr>
        <w:t>147,957</w:t>
      </w:r>
    </w:p>
    <w:p>
      <w:pPr>
        <w:spacing w:after="0" w:line="15" w:lineRule="exact"/>
        <w:rPr>
          <w:sz w:val="20"/>
          <w:szCs w:val="20"/>
          <w:color w:val="auto"/>
        </w:rPr>
      </w:pPr>
    </w:p>
    <w:p>
      <w:pPr>
        <w:jc w:val="right"/>
        <w:ind w:right="939"/>
        <w:spacing w:after="0"/>
        <w:rPr>
          <w:sz w:val="20"/>
          <w:szCs w:val="20"/>
          <w:color w:val="auto"/>
        </w:rPr>
      </w:pPr>
      <w:r>
        <w:rPr>
          <w:rFonts w:ascii="Arial" w:cs="Arial" w:eastAsia="Arial" w:hAnsi="Arial"/>
          <w:sz w:val="12"/>
          <w:szCs w:val="12"/>
          <w:color w:val="auto"/>
        </w:rPr>
        <w:t>3,049,738</w:t>
      </w:r>
    </w:p>
    <w:p>
      <w:pPr>
        <w:spacing w:after="0" w:line="6" w:lineRule="exact"/>
        <w:rPr>
          <w:sz w:val="20"/>
          <w:szCs w:val="20"/>
          <w:color w:val="auto"/>
        </w:rPr>
      </w:pPr>
    </w:p>
    <w:p>
      <w:pPr>
        <w:jc w:val="right"/>
        <w:ind w:right="939"/>
        <w:spacing w:after="0"/>
        <w:rPr>
          <w:sz w:val="20"/>
          <w:szCs w:val="20"/>
          <w:color w:val="auto"/>
        </w:rPr>
      </w:pPr>
      <w:r>
        <w:rPr>
          <w:rFonts w:ascii="Arial" w:cs="Arial" w:eastAsia="Arial" w:hAnsi="Arial"/>
          <w:sz w:val="12"/>
          <w:szCs w:val="12"/>
          <w:color w:val="auto"/>
        </w:rPr>
        <w:t>5,374,598</w:t>
      </w:r>
    </w:p>
    <w:p>
      <w:pPr>
        <w:spacing w:after="0" w:line="6" w:lineRule="exact"/>
        <w:rPr>
          <w:sz w:val="20"/>
          <w:szCs w:val="20"/>
          <w:color w:val="auto"/>
        </w:rPr>
      </w:pPr>
    </w:p>
    <w:p>
      <w:pPr>
        <w:jc w:val="right"/>
        <w:ind w:right="939"/>
        <w:spacing w:after="0"/>
        <w:rPr>
          <w:sz w:val="20"/>
          <w:szCs w:val="20"/>
          <w:color w:val="auto"/>
        </w:rPr>
      </w:pPr>
      <w:r>
        <w:rPr>
          <w:rFonts w:ascii="Arial" w:cs="Arial" w:eastAsia="Arial" w:hAnsi="Arial"/>
          <w:sz w:val="12"/>
          <w:szCs w:val="12"/>
          <w:color w:val="auto"/>
        </w:rPr>
        <w:t>2,795</w:t>
      </w:r>
    </w:p>
    <w:p>
      <w:pPr>
        <w:spacing w:after="0" w:line="6" w:lineRule="exact"/>
        <w:rPr>
          <w:sz w:val="20"/>
          <w:szCs w:val="20"/>
          <w:color w:val="auto"/>
        </w:rPr>
      </w:pPr>
    </w:p>
    <w:p>
      <w:pPr>
        <w:jc w:val="right"/>
        <w:ind w:right="939"/>
        <w:spacing w:after="0"/>
        <w:rPr>
          <w:sz w:val="20"/>
          <w:szCs w:val="20"/>
          <w:color w:val="auto"/>
        </w:rPr>
      </w:pPr>
      <w:r>
        <w:rPr>
          <w:rFonts w:ascii="Arial" w:cs="Arial" w:eastAsia="Arial" w:hAnsi="Arial"/>
          <w:sz w:val="12"/>
          <w:szCs w:val="12"/>
          <w:color w:val="auto"/>
        </w:rPr>
        <w:t>101,984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114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0"/>
          <w:szCs w:val="10"/>
          <w:color w:val="auto"/>
        </w:rPr>
        <w:t>(528,064)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41148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4,877</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1"/>
          <w:szCs w:val="11"/>
          <w:color w:val="auto"/>
        </w:rPr>
        <w:t>4,877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41148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pacing w:after="0" w:line="7" w:lineRule="exact"/>
        <w:rPr>
          <w:sz w:val="20"/>
          <w:szCs w:val="20"/>
          <w:color w:val="auto"/>
        </w:rPr>
      </w:pPr>
    </w:p>
    <w:p>
      <w:pPr>
        <w:jc w:val="right"/>
        <w:ind w:right="899"/>
        <w:spacing w:after="0"/>
        <w:rPr>
          <w:sz w:val="20"/>
          <w:szCs w:val="20"/>
          <w:color w:val="auto"/>
        </w:rPr>
      </w:pPr>
      <w:r>
        <w:rPr>
          <w:rFonts w:ascii="Arial" w:cs="Arial" w:eastAsia="Arial" w:hAnsi="Arial"/>
          <w:sz w:val="12"/>
          <w:szCs w:val="12"/>
          <w:color w:val="auto"/>
        </w:rPr>
        <w:t>(523,187)</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1,696,491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41148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pacing w:after="0" w:line="12" w:lineRule="exact"/>
        <w:rPr>
          <w:sz w:val="20"/>
          <w:szCs w:val="20"/>
          <w:color w:val="auto"/>
        </w:rPr>
      </w:pPr>
    </w:p>
    <w:p>
      <w:pPr>
        <w:spacing w:after="0"/>
        <w:tabs>
          <w:tab w:leader="none" w:pos="140" w:val="left"/>
        </w:tabs>
        <w:rPr>
          <w:sz w:val="20"/>
          <w:szCs w:val="20"/>
          <w:color w:val="auto"/>
        </w:rPr>
      </w:pPr>
      <w:r>
        <w:rPr>
          <w:rFonts w:ascii="Arial" w:cs="Arial" w:eastAsia="Arial" w:hAnsi="Arial"/>
          <w:sz w:val="12"/>
          <w:szCs w:val="12"/>
          <w:b w:val="1"/>
          <w:bCs w:val="1"/>
          <w:u w:val="single" w:color="auto"/>
          <w:color w:val="auto"/>
        </w:rPr>
        <w:t>$</w:t>
      </w:r>
      <w:r>
        <w:rPr>
          <w:sz w:val="20"/>
          <w:szCs w:val="20"/>
          <w:color w:val="auto"/>
        </w:rPr>
        <w:tab/>
      </w:r>
      <w:r>
        <w:rPr>
          <w:rFonts w:ascii="Arial" w:cs="Arial" w:eastAsia="Arial" w:hAnsi="Arial"/>
          <w:sz w:val="10"/>
          <w:szCs w:val="10"/>
          <w:b w:val="1"/>
          <w:bCs w:val="1"/>
          <w:u w:val="single" w:color="auto"/>
          <w:color w:val="auto"/>
        </w:rPr>
        <w:t>1,173,304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41148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 (7,363,379</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41148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ectPr>
          <w:pgSz w:w="11900" w:h="16838" w:orient="portrait"/>
          <w:cols w:equalWidth="0" w:num="2">
            <w:col w:w="7960" w:space="620"/>
            <w:col w:w="1579"/>
          </w:cols>
          <w:pgMar w:left="300" w:top="372" w:right="1440" w:bottom="1440" w:gutter="0" w:footer="0" w:header="0"/>
        </w:sectPr>
      </w:pPr>
    </w:p>
    <w:bookmarkStart w:id="419" w:name="page420"/>
    <w:bookmarkEnd w:id="4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1—Description of Organization, Business Operations and Basis of Presentation</w:t>
      </w:r>
    </w:p>
    <w:p>
      <w:pPr>
        <w:spacing w:after="0" w:line="82"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Montes Archimedes Acquisition Corp. (the “Company”) was incorporated in Delaware on July 6,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2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As of June 30, 2021, the Company had not commenced any operations. All activity for the period from July 6, 2020 (inception) through June 30, 2021 relates to the Company’s formation and the preparation for the initial public offering (the “Initial Public Offering”)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w:t>
      </w:r>
    </w:p>
    <w:p>
      <w:pPr>
        <w:spacing w:after="0" w:line="12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Company’s sponsor is Patient Square Capital LLC (the “Sponsor”). The registration statement for the Company’s Initial Public Offering was declared effective on October 6, 2020. On October 9, 2020, the Company consummated its Initial Public Offering of 40,000,000 units (the “Units”) at $10.00 per Unit, generating gross proceeds of $400.0 million, and incurring offering costs of approximately $22.1 million (net of reimbursement of offering costs of $520,000 from the underwriters), inclusive of $14.0 million in deferred underwriting commissions (Note 5). The underwriters exercised the over-allotment option in full and on November 12, 2020 purchased an additional 1,071,823 Units (the “Over-Allotment Units”), generating gross proceeds of approximately $10.7 million, and incurred additional offering costs of approximately $576,000 in underwriting fees (net of reimbursement of offering costs of approximately $14,000 from the underwriters and inclusive of approximately $375,000 in deferred underwriting fees) (the “Over-Allotment”).</w:t>
      </w:r>
    </w:p>
    <w:p>
      <w:pPr>
        <w:spacing w:after="0" w:line="128"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Simultaneously with the closing of the Initial Public Offering, the Company consummated the private placement (“Private Placement”) of 10,000,000 warrants (each, a “Private Placement Warrant” and collectively, the “Private Placement Warrants”) at a price of $1.00 per Private Placement Warrant to the Sponsor, generating proceeds of $10.0 million (Note 4). Simultaneously with the closing of the Over-allotment on November 12, 2020, the Company consummated the second closing of the Private Placement, resulting in the purchase of an aggregate of an additional 214,365 Private Placement Warrants by the Sponsor, generating gross proceeds to the Company of approximately $214,000.</w:t>
      </w:r>
    </w:p>
    <w:p>
      <w:pPr>
        <w:spacing w:after="0" w:line="113" w:lineRule="exact"/>
        <w:rPr>
          <w:sz w:val="20"/>
          <w:szCs w:val="20"/>
          <w:color w:val="auto"/>
        </w:rPr>
      </w:pPr>
    </w:p>
    <w:p>
      <w:pPr>
        <w:jc w:val="both"/>
        <w:ind w:left="1980" w:right="939"/>
        <w:spacing w:after="0" w:line="306" w:lineRule="auto"/>
        <w:rPr>
          <w:sz w:val="20"/>
          <w:szCs w:val="20"/>
          <w:color w:val="auto"/>
        </w:rPr>
      </w:pPr>
      <w:r>
        <w:rPr>
          <w:rFonts w:ascii="Arial" w:cs="Arial" w:eastAsia="Arial" w:hAnsi="Arial"/>
          <w:sz w:val="10"/>
          <w:szCs w:val="10"/>
          <w:color w:val="auto"/>
        </w:rPr>
        <w:t>Upon the closing of the Initial Public Offering, the Over-Allotment, and the Private Placement, approximately $410.7 million ($10.00 per Unit) of the net proceeds of the sale of the Units in the Initial Public Offering and of the Private Placement Warrants in the Private Placement were placed in a trust account (“Trust Account”) located in the United States with Continental Stock Transfer &amp; Trust Company acting as trustee, and invested only in U.S.</w:t>
      </w:r>
    </w:p>
    <w:p>
      <w:pPr>
        <w:spacing w:after="0" w:line="1" w:lineRule="exact"/>
        <w:rPr>
          <w:sz w:val="20"/>
          <w:szCs w:val="20"/>
          <w:color w:val="auto"/>
        </w:rPr>
      </w:pPr>
    </w:p>
    <w:p>
      <w:pPr>
        <w:ind w:left="1980" w:right="1079"/>
        <w:spacing w:after="0" w:line="253" w:lineRule="auto"/>
        <w:rPr>
          <w:sz w:val="20"/>
          <w:szCs w:val="20"/>
          <w:color w:val="auto"/>
        </w:rPr>
      </w:pPr>
      <w:r>
        <w:rPr>
          <w:rFonts w:ascii="Arial" w:cs="Arial" w:eastAsia="Arial" w:hAnsi="Arial"/>
          <w:sz w:val="12"/>
          <w:szCs w:val="12"/>
          <w:color w:val="auto"/>
        </w:rPr>
        <w:t>“government securities,” within the meaning set forth in Section 2(a)(16) of the Investment Company Act, with a maturity of 185 days or less, or in money market funds meeting certain conditions under Rule 2a-7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9" w:lineRule="exact"/>
        <w:rPr>
          <w:sz w:val="20"/>
          <w:szCs w:val="20"/>
          <w:color w:val="auto"/>
        </w:rPr>
      </w:pPr>
    </w:p>
    <w:p>
      <w:pPr>
        <w:jc w:val="both"/>
        <w:ind w:left="1980" w:right="959"/>
        <w:spacing w:after="0" w:line="289" w:lineRule="auto"/>
        <w:rPr>
          <w:sz w:val="20"/>
          <w:szCs w:val="20"/>
          <w:color w:val="auto"/>
        </w:rPr>
      </w:pPr>
      <w:r>
        <w:rPr>
          <w:rFonts w:ascii="Arial" w:cs="Arial" w:eastAsia="Arial" w:hAnsi="Arial"/>
          <w:sz w:val="11"/>
          <w:szCs w:val="11"/>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an initial Business Combination with one or more operating businesses or assets with a fair market</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F-92</w:t>
      </w:r>
    </w:p>
    <w:p>
      <w:pPr>
        <w:sectPr>
          <w:pgSz w:w="11900" w:h="16838" w:orient="portrait"/>
          <w:cols w:equalWidth="0" w:num="1">
            <w:col w:w="10159"/>
          </w:cols>
          <w:pgMar w:left="300" w:top="372" w:right="1440" w:bottom="1440" w:gutter="0" w:footer="0" w:header="0"/>
        </w:sectPr>
      </w:pPr>
    </w:p>
    <w:bookmarkStart w:id="420" w:name="page421"/>
    <w:bookmarkEnd w:id="4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value equal to at least 80% of the net assets held in the Trust Account (as defined below) (excluding the deferred underwriting commissions and taxes payable on the interest earned on the Trust Account). However,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1940, as amended (the “Investment Company Act”).</w:t>
      </w:r>
    </w:p>
    <w:p>
      <w:pPr>
        <w:spacing w:after="0" w:line="128" w:lineRule="exact"/>
        <w:rPr>
          <w:sz w:val="20"/>
          <w:szCs w:val="20"/>
          <w:color w:val="auto"/>
        </w:rPr>
      </w:pPr>
    </w:p>
    <w:p>
      <w:pPr>
        <w:ind w:left="1980" w:right="839"/>
        <w:spacing w:after="0" w:line="275" w:lineRule="auto"/>
        <w:rPr>
          <w:sz w:val="20"/>
          <w:szCs w:val="20"/>
          <w:color w:val="auto"/>
        </w:rPr>
      </w:pPr>
      <w:r>
        <w:rPr>
          <w:rFonts w:ascii="Arial" w:cs="Arial" w:eastAsia="Arial" w:hAnsi="Arial"/>
          <w:sz w:val="11"/>
          <w:szCs w:val="11"/>
          <w:color w:val="auto"/>
        </w:rPr>
        <w:t>The Company will provide holders (the “Public Stockholders”) of the Company’s outstanding shares of Class A common stock sold in the Initial Public Offering (the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calculated as of two business days prior to the initial Business Combination, including interest earned on the funds held in the trust account and not previously released to the Company to pay the Company’s taxes, net of taxes payable. The per-share amount to be distributed to Public Stockholders who redeem their Public Shares will not be reduced by the deferred underwriting commissions the Company will pay to the underwriters (as discussed in Note 5).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applicable law or stock exchange rule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rule, or the Company decides to obtain stockholder approval for business or reasons, the Company will offer to redeem shares in conjunction with a proxy solicitation pursuant to the proxy rules and not pursuant to the tender offer rules. Additionally, each Public Stockholder may elect to redeem their Public Shares without voting, and if they do vote, irrespective of whether they vote for or against the proposed transaction. If the Company seeks stockholder approval in connection with a Business Combination, the initial stockholders (as defined below) agreed to vote any Founder Shares (as defined below in Note 4) and any Public Shares held by them in favor of a Business Combination. In addition, the initial stockholders agreed to waive their redemption rights with respect to any Founder Shares and any Public Shares held by them in connection with the completion of a Business Combination.</w:t>
      </w:r>
    </w:p>
    <w:p>
      <w:pPr>
        <w:spacing w:after="0" w:line="124" w:lineRule="exact"/>
        <w:rPr>
          <w:sz w:val="20"/>
          <w:szCs w:val="20"/>
          <w:color w:val="auto"/>
        </w:rPr>
      </w:pPr>
    </w:p>
    <w:p>
      <w:pPr>
        <w:ind w:left="1980" w:right="899"/>
        <w:spacing w:after="0" w:line="279" w:lineRule="auto"/>
        <w:rPr>
          <w:sz w:val="20"/>
          <w:szCs w:val="20"/>
          <w:color w:val="auto"/>
        </w:rPr>
      </w:pPr>
      <w:r>
        <w:rPr>
          <w:rFonts w:ascii="Arial" w:cs="Arial" w:eastAsia="Arial" w:hAnsi="Arial"/>
          <w:sz w:val="11"/>
          <w:szCs w:val="11"/>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 The Sponsor and the Company’s officers and directors (the “initial stockholders”) agreed, pursuant to a letter agreement with the Company, that they will not propose any amendment to the Certificate of Incorporation (A) to modify the substance or timing of the Company’s obligation to allow redemption in connection with the initial Business Combination or to redeem 100% of the Public Shares if the Company does not complete a Business Combination within the Combination Period (as defined below) or (B) with respect to any other provision relating to stockholders’ rights or pre-initial Business Combination activity, unless the Company provides the Public Stockholders with the opportunity to redeem their Public Shares upon approval of any such amendment at a per-share price, payable in cash, equal to the aggregate amount then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F-93</w:t>
      </w:r>
    </w:p>
    <w:p>
      <w:pPr>
        <w:sectPr>
          <w:pgSz w:w="11900" w:h="16838" w:orient="portrait"/>
          <w:cols w:equalWidth="0" w:num="1">
            <w:col w:w="10159"/>
          </w:cols>
          <w:pgMar w:left="300" w:top="372" w:right="1440" w:bottom="1440" w:gutter="0" w:footer="0" w:header="0"/>
        </w:sectPr>
      </w:pPr>
    </w:p>
    <w:bookmarkStart w:id="421" w:name="page422"/>
    <w:bookmarkEnd w:id="4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on deposit in the Trust Account, including interest (which interest shall be net of taxes payable) divided by the number of then outstanding Public Shares.</w:t>
      </w:r>
    </w:p>
    <w:p>
      <w:pPr>
        <w:spacing w:after="0" w:line="115" w:lineRule="exact"/>
        <w:rPr>
          <w:sz w:val="20"/>
          <w:szCs w:val="20"/>
          <w:color w:val="auto"/>
        </w:rPr>
      </w:pPr>
    </w:p>
    <w:p>
      <w:pPr>
        <w:ind w:left="1980" w:right="939"/>
        <w:spacing w:after="0" w:line="279" w:lineRule="auto"/>
        <w:rPr>
          <w:sz w:val="20"/>
          <w:szCs w:val="20"/>
          <w:color w:val="auto"/>
        </w:rPr>
      </w:pPr>
      <w:r>
        <w:rPr>
          <w:rFonts w:ascii="Arial" w:cs="Arial" w:eastAsia="Arial" w:hAnsi="Arial"/>
          <w:sz w:val="11"/>
          <w:szCs w:val="11"/>
          <w:color w:val="auto"/>
        </w:rPr>
        <w:t>If the Company is unable to complete a Business Combination within 24 months from the closing of the Initial Public Offering, or October 9, 2022, (as such period may be extended pursuant to the Certificate of Incorporation,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if any (less up to $100,000 of interest to pay dissolution expenses), divided by the number of the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17" w:lineRule="exact"/>
        <w:rPr>
          <w:sz w:val="20"/>
          <w:szCs w:val="20"/>
          <w:color w:val="auto"/>
        </w:rPr>
      </w:pPr>
    </w:p>
    <w:p>
      <w:pPr>
        <w:ind w:left="1980" w:right="859"/>
        <w:spacing w:after="0" w:line="275" w:lineRule="auto"/>
        <w:rPr>
          <w:sz w:val="20"/>
          <w:szCs w:val="20"/>
          <w:color w:val="auto"/>
        </w:rPr>
      </w:pPr>
      <w:r>
        <w:rPr>
          <w:rFonts w:ascii="Arial" w:cs="Arial" w:eastAsia="Arial" w:hAnsi="Arial"/>
          <w:sz w:val="11"/>
          <w:szCs w:val="11"/>
          <w:color w:val="auto"/>
        </w:rPr>
        <w:t>The initial stockholders agreed to waive their rights to liquidating distributions from the Trust Account with respect to any Founder Shares held by them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or less than,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discussed entering into a transaction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then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and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Proposed Business Combination</w:t>
      </w:r>
    </w:p>
    <w:p>
      <w:pPr>
        <w:spacing w:after="0" w:line="82"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On May 1, 2021, we entered into a business combination agreement (the “</w:t>
      </w:r>
      <w:r>
        <w:rPr>
          <w:rFonts w:ascii="Arial" w:cs="Arial" w:eastAsia="Arial" w:hAnsi="Arial"/>
          <w:sz w:val="12"/>
          <w:szCs w:val="12"/>
          <w:i w:val="1"/>
          <w:iCs w:val="1"/>
          <w:color w:val="auto"/>
        </w:rPr>
        <w:t>Business Combination Agreement</w:t>
      </w:r>
      <w:r>
        <w:rPr>
          <w:rFonts w:ascii="Arial" w:cs="Arial" w:eastAsia="Arial" w:hAnsi="Arial"/>
          <w:sz w:val="12"/>
          <w:szCs w:val="12"/>
          <w:color w:val="auto"/>
        </w:rPr>
        <w:t>”) with Roivant Sciences Ltd., a Bermuda exempted limited company (“</w:t>
      </w:r>
      <w:r>
        <w:rPr>
          <w:rFonts w:ascii="Arial" w:cs="Arial" w:eastAsia="Arial" w:hAnsi="Arial"/>
          <w:sz w:val="12"/>
          <w:szCs w:val="12"/>
          <w:i w:val="1"/>
          <w:iCs w:val="1"/>
          <w:color w:val="auto"/>
        </w:rPr>
        <w:t>Roivant</w:t>
      </w:r>
      <w:r>
        <w:rPr>
          <w:rFonts w:ascii="Arial" w:cs="Arial" w:eastAsia="Arial" w:hAnsi="Arial"/>
          <w:sz w:val="12"/>
          <w:szCs w:val="12"/>
          <w:color w:val="auto"/>
        </w:rPr>
        <w:t>”), and Rhine Merger Sub, Inc., a Delaware corporation (“</w:t>
      </w:r>
      <w:r>
        <w:rPr>
          <w:rFonts w:ascii="Arial" w:cs="Arial" w:eastAsia="Arial" w:hAnsi="Arial"/>
          <w:sz w:val="12"/>
          <w:szCs w:val="12"/>
          <w:i w:val="1"/>
          <w:iCs w:val="1"/>
          <w:color w:val="auto"/>
        </w:rPr>
        <w:t>Merger Sub”</w:t>
      </w:r>
      <w:r>
        <w:rPr>
          <w:rFonts w:ascii="Arial" w:cs="Arial" w:eastAsia="Arial" w:hAnsi="Arial"/>
          <w:sz w:val="12"/>
          <w:szCs w:val="12"/>
          <w:color w:val="auto"/>
        </w:rPr>
        <w: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F-94</w:t>
      </w:r>
    </w:p>
    <w:p>
      <w:pPr>
        <w:sectPr>
          <w:pgSz w:w="11900" w:h="16838" w:orient="portrait"/>
          <w:cols w:equalWidth="0" w:num="1">
            <w:col w:w="10159"/>
          </w:cols>
          <w:pgMar w:left="300" w:top="372" w:right="1440" w:bottom="1440" w:gutter="0" w:footer="0" w:header="0"/>
        </w:sectPr>
      </w:pPr>
    </w:p>
    <w:bookmarkStart w:id="422" w:name="page423"/>
    <w:bookmarkEnd w:id="4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Business Combination Agreement and the transactions contemplated thereby (collectively, the “</w:t>
      </w:r>
      <w:r>
        <w:rPr>
          <w:rFonts w:ascii="Arial" w:cs="Arial" w:eastAsia="Arial" w:hAnsi="Arial"/>
          <w:sz w:val="12"/>
          <w:szCs w:val="12"/>
          <w:i w:val="1"/>
          <w:iCs w:val="1"/>
          <w:color w:val="auto"/>
        </w:rPr>
        <w:t>Transaction</w:t>
      </w:r>
      <w:r>
        <w:rPr>
          <w:rFonts w:ascii="Arial" w:cs="Arial" w:eastAsia="Arial" w:hAnsi="Arial"/>
          <w:sz w:val="12"/>
          <w:szCs w:val="12"/>
          <w:color w:val="auto"/>
        </w:rPr>
        <w:t>”) were approved by the boards of directors of each of MAAC, Roivant and Merger Sub, the requisite shareholders of Roivant and Roivant in its capacity as the sole stockholder of Merger Sub.</w:t>
      </w:r>
    </w:p>
    <w:p>
      <w:pPr>
        <w:spacing w:after="0" w:line="122"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The Business Combination Agreement provides for, among other things, the following transactions: (i) Roivant’s bye-laws will be amended and restated, each outstanding share of Roivant will be subdivided (and in the case of certain non-voting shares of Roivant, converted) into common shares of Roivant (the “</w:t>
      </w:r>
      <w:r>
        <w:rPr>
          <w:rFonts w:ascii="Arial" w:cs="Arial" w:eastAsia="Arial" w:hAnsi="Arial"/>
          <w:sz w:val="11"/>
          <w:szCs w:val="11"/>
          <w:i w:val="1"/>
          <w:iCs w:val="1"/>
          <w:color w:val="auto"/>
        </w:rPr>
        <w:t>Roivant Common Shares</w:t>
      </w:r>
      <w:r>
        <w:rPr>
          <w:rFonts w:ascii="Arial" w:cs="Arial" w:eastAsia="Arial" w:hAnsi="Arial"/>
          <w:sz w:val="11"/>
          <w:szCs w:val="11"/>
          <w:color w:val="auto"/>
        </w:rPr>
        <w:t>”) based on a fixed exchange ratio of 2.9262 (the “</w:t>
      </w:r>
      <w:r>
        <w:rPr>
          <w:rFonts w:ascii="Arial" w:cs="Arial" w:eastAsia="Arial" w:hAnsi="Arial"/>
          <w:sz w:val="11"/>
          <w:szCs w:val="11"/>
          <w:i w:val="1"/>
          <w:iCs w:val="1"/>
          <w:color w:val="auto"/>
        </w:rPr>
        <w:t>Roivant Exchange Ratio</w:t>
      </w:r>
      <w:r>
        <w:rPr>
          <w:rFonts w:ascii="Arial" w:cs="Arial" w:eastAsia="Arial" w:hAnsi="Arial"/>
          <w:sz w:val="11"/>
          <w:szCs w:val="11"/>
          <w:color w:val="auto"/>
        </w:rPr>
        <w:t>”), and each outstanding equity award of Roivant will be subdivided and adjusted into comparable equity awards of Roivant, based on the Roivant Exchange Ratio (the steps contemplated by this clause (i), collectively, the “</w:t>
      </w:r>
      <w:r>
        <w:rPr>
          <w:rFonts w:ascii="Arial" w:cs="Arial" w:eastAsia="Arial" w:hAnsi="Arial"/>
          <w:sz w:val="11"/>
          <w:szCs w:val="11"/>
          <w:i w:val="1"/>
          <w:iCs w:val="1"/>
          <w:color w:val="auto"/>
        </w:rPr>
        <w:t>Pre-Closing Steps</w:t>
      </w:r>
      <w:r>
        <w:rPr>
          <w:rFonts w:ascii="Arial" w:cs="Arial" w:eastAsia="Arial" w:hAnsi="Arial"/>
          <w:sz w:val="11"/>
          <w:szCs w:val="11"/>
          <w:color w:val="auto"/>
        </w:rPr>
        <w:t>”); and (ii) Merger Sub will merge with and into MAAC, with MAAC surviving the merger as a wholly-owned subsidiary of Roivant (the “</w:t>
      </w:r>
      <w:r>
        <w:rPr>
          <w:rFonts w:ascii="Arial" w:cs="Arial" w:eastAsia="Arial" w:hAnsi="Arial"/>
          <w:sz w:val="11"/>
          <w:szCs w:val="11"/>
          <w:i w:val="1"/>
          <w:iCs w:val="1"/>
          <w:color w:val="auto"/>
        </w:rPr>
        <w:t>Merger</w:t>
      </w:r>
      <w:r>
        <w:rPr>
          <w:rFonts w:ascii="Arial" w:cs="Arial" w:eastAsia="Arial" w:hAnsi="Arial"/>
          <w:sz w:val="11"/>
          <w:szCs w:val="11"/>
          <w:color w:val="auto"/>
        </w:rPr>
        <w:t>”). At the effective time of the Merger (the “</w:t>
      </w:r>
      <w:r>
        <w:rPr>
          <w:rFonts w:ascii="Arial" w:cs="Arial" w:eastAsia="Arial" w:hAnsi="Arial"/>
          <w:sz w:val="11"/>
          <w:szCs w:val="11"/>
          <w:i w:val="1"/>
          <w:iCs w:val="1"/>
          <w:color w:val="auto"/>
        </w:rPr>
        <w:t>Effective Time</w:t>
      </w:r>
      <w:r>
        <w:rPr>
          <w:rFonts w:ascii="Arial" w:cs="Arial" w:eastAsia="Arial" w:hAnsi="Arial"/>
          <w:sz w:val="11"/>
          <w:szCs w:val="11"/>
          <w:color w:val="auto"/>
        </w:rPr>
        <w:t>”), (a) each outstanding share of MAAC Class A common stock and MAAC Class B common stock (other than treasury shares and any shares held by Patient Square Capital LLC, a Delaware limited liability company (the “</w:t>
      </w:r>
      <w:r>
        <w:rPr>
          <w:rFonts w:ascii="Arial" w:cs="Arial" w:eastAsia="Arial" w:hAnsi="Arial"/>
          <w:sz w:val="11"/>
          <w:szCs w:val="11"/>
          <w:i w:val="1"/>
          <w:iCs w:val="1"/>
          <w:color w:val="auto"/>
        </w:rPr>
        <w:t>MAAC Sponsor</w:t>
      </w:r>
      <w:r>
        <w:rPr>
          <w:rFonts w:ascii="Arial" w:cs="Arial" w:eastAsia="Arial" w:hAnsi="Arial"/>
          <w:sz w:val="11"/>
          <w:szCs w:val="11"/>
          <w:color w:val="auto"/>
        </w:rPr>
        <w:t>”), or its affiliates) will be exchanged for one Roivant Common Share, (b) each outstanding share of MAAC Class B common stock held by the MAAC Sponsor or its affiliates will be exchanged for a number of Roivant Common Shares based on an exchange ratio (the “</w:t>
      </w:r>
      <w:r>
        <w:rPr>
          <w:rFonts w:ascii="Arial" w:cs="Arial" w:eastAsia="Arial" w:hAnsi="Arial"/>
          <w:sz w:val="11"/>
          <w:szCs w:val="11"/>
          <w:i w:val="1"/>
          <w:iCs w:val="1"/>
          <w:color w:val="auto"/>
        </w:rPr>
        <w:t>MAAC Sponsor Exchange Ratio</w:t>
      </w:r>
      <w:r>
        <w:rPr>
          <w:rFonts w:ascii="Arial" w:cs="Arial" w:eastAsia="Arial" w:hAnsi="Arial"/>
          <w:sz w:val="11"/>
          <w:szCs w:val="11"/>
          <w:color w:val="auto"/>
        </w:rPr>
        <w:t>”), with a portion of such Roivant Common Shares issued to the MAAC Sponsor by virtue of the Merger being subject to the vesting and other terms and conditions set forth in the Sponsor Support Agreement (as more fully described in the section entitled “Sponsor Support Agreement” below), and (c) each outstanding warrant to purchase shares of MAAC Class A common stock will be converted into a comparable warrant to purchase Roivant Common Shares on the terms and subject to the conditions set forth in the Warrant Agreement, dated as of October 6, 2020, by and between MAAC and the Continental Stock Transfer &amp; Trust Company. The MAAC Sponsor Exchange Ratio is 1.0, subject to reduction in an amount equal to one-half of the percentage of shares of MAAC Class A common stock redeemed in connection with the Business Combination (i.e., if 10% of the shares of MAAC Class A common stock are so redeemed, then the MAAC Sponsor Exchange Ratio will be equal to 0.95), provided that in no event will the MAAC Sponsor Exchange Ratio be less than 0.75.</w:t>
      </w:r>
    </w:p>
    <w:p>
      <w:pPr>
        <w:spacing w:after="0" w:line="119"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Transaction is expected to close (the “</w:t>
      </w:r>
      <w:r>
        <w:rPr>
          <w:rFonts w:ascii="Arial" w:cs="Arial" w:eastAsia="Arial" w:hAnsi="Arial"/>
          <w:sz w:val="12"/>
          <w:szCs w:val="12"/>
          <w:i w:val="1"/>
          <w:iCs w:val="1"/>
          <w:color w:val="auto"/>
        </w:rPr>
        <w:t>Closing</w:t>
      </w:r>
      <w:r>
        <w:rPr>
          <w:rFonts w:ascii="Arial" w:cs="Arial" w:eastAsia="Arial" w:hAnsi="Arial"/>
          <w:sz w:val="12"/>
          <w:szCs w:val="12"/>
          <w:color w:val="auto"/>
        </w:rPr>
        <w:t>”) in early fourth quarter of 2021, subject to the required approvals by MAAC’s stockholders and the fulfillment of other closing conditions.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Refer to the Company’s current report on Form 8-K, filed with the SEC on May 1, 2021, for more information.</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Going Concern Considerations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June 30, 2021, the Company had approximately $1,173,000 cash and a working capital deficit of approximately $7,570,000.</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Company’s liquidity needs prior to the consummation of the Initial Public Offering were satisfied through a payment of $25,000 from the Sponsor to cover certain expenses on behalf of the Company in exchange for the issuance of the Founder Shares (as defined below), the loan under the Note from the Sponsor of $200,000 (see Note 4) to the Company. The Company fully repaid the Note on October 9, 2020. Subsequent to the consummation of the Initial Public Offering, the Company’s liquidity has been satisfied through the portion of the proceeds of the Initial Public Offering and the Private Placement held outside of the Trust Account. In addition, in order to finance transaction costs in connection with a Business Combination, the Sponsor or an affiliate of the Sponsor, or certain of the Company’s officers and directors may, but are not obligated to, provide the Company Working Capital Loans (see Note 4). To date, there were no amounts outstanding under any Working Capital Loans.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F-95</w:t>
      </w:r>
    </w:p>
    <w:p>
      <w:pPr>
        <w:sectPr>
          <w:pgSz w:w="11900" w:h="16838" w:orient="portrait"/>
          <w:cols w:equalWidth="0" w:num="1">
            <w:col w:w="10159"/>
          </w:cols>
          <w:pgMar w:left="300" w:top="372" w:right="1440" w:bottom="1440" w:gutter="0" w:footer="0" w:header="0"/>
        </w:sectPr>
      </w:pPr>
    </w:p>
    <w:bookmarkStart w:id="423" w:name="page424"/>
    <w:bookmarkEnd w:id="4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In connection with our assessment of going concern considerations in accordance with ASU 2014-15, “Disclosures of Uncertainties about an Entity’s Ability to Continue as a Going Concern,” as of June 30, 2021, we do not have sufficient liquidity to meet our obligations in the next twelve months. However, management has determined that it has access to funds from the Sponsor that are sufficient to fund our working capital needs until the earlier of the consummation of a Business Combination or a minimum one year from the date of issuance of these financial statements.</w:t>
      </w:r>
    </w:p>
    <w:p>
      <w:pPr>
        <w:spacing w:after="0" w:line="111" w:lineRule="exact"/>
        <w:rPr>
          <w:sz w:val="20"/>
          <w:szCs w:val="20"/>
          <w:color w:val="auto"/>
        </w:rPr>
      </w:pPr>
    </w:p>
    <w:p>
      <w:pPr>
        <w:ind w:left="1980" w:right="979"/>
        <w:spacing w:after="0" w:line="379" w:lineRule="auto"/>
        <w:rPr>
          <w:sz w:val="20"/>
          <w:szCs w:val="20"/>
          <w:color w:val="auto"/>
        </w:rPr>
      </w:pPr>
      <w:r>
        <w:rPr>
          <w:rFonts w:ascii="Arial" w:cs="Arial" w:eastAsia="Arial" w:hAnsi="Arial"/>
          <w:sz w:val="10"/>
          <w:szCs w:val="10"/>
          <w:color w:val="auto"/>
        </w:rPr>
        <w:t>Management continues to evaluate the impact of the COVID-19 pandemic and has concluded that the specific impact is not readily determinable as of the date of the financial statements. The financial statements do not include any adjustments that might result from the outcome of this uncertainty.</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Basis of Presentation</w:t>
      </w:r>
    </w:p>
    <w:p>
      <w:pPr>
        <w:spacing w:after="0" w:line="82" w:lineRule="exact"/>
        <w:rPr>
          <w:sz w:val="20"/>
          <w:szCs w:val="20"/>
          <w:color w:val="auto"/>
        </w:rPr>
      </w:pPr>
    </w:p>
    <w:p>
      <w:pPr>
        <w:ind w:left="1980" w:right="939"/>
        <w:spacing w:after="0" w:line="255" w:lineRule="auto"/>
        <w:rPr>
          <w:sz w:val="20"/>
          <w:szCs w:val="20"/>
          <w:color w:val="auto"/>
        </w:rPr>
      </w:pPr>
      <w:r>
        <w:rPr>
          <w:rFonts w:ascii="Arial" w:cs="Arial" w:eastAsia="Arial" w:hAnsi="Arial"/>
          <w:sz w:val="12"/>
          <w:szCs w:val="12"/>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 presented. Operating results for the three and six months ended June 30, 2021 are not necessarily indicative of the results that may be expected through December 31, 2021.</w:t>
      </w:r>
    </w:p>
    <w:p>
      <w:pPr>
        <w:spacing w:after="0" w:line="128"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accompanying unaudited condensed financial statements should be read in conjunction with the audited financial statements and notes thereto included in the Form 10-K, as amended, filed by the Company with the SEC on May 14,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Emerging Growth Company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3" w:lineRule="exact"/>
        <w:rPr>
          <w:sz w:val="20"/>
          <w:szCs w:val="20"/>
          <w:color w:val="auto"/>
        </w:rPr>
      </w:pPr>
    </w:p>
    <w:p>
      <w:pPr>
        <w:ind w:left="1980" w:right="919"/>
        <w:spacing w:after="0" w:line="313" w:lineRule="auto"/>
        <w:rPr>
          <w:sz w:val="20"/>
          <w:szCs w:val="20"/>
          <w:color w:val="auto"/>
        </w:rPr>
      </w:pPr>
      <w:r>
        <w:rPr>
          <w:rFonts w:ascii="Arial" w:cs="Arial" w:eastAsia="Arial" w:hAnsi="Arial"/>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2"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F-96</w:t>
      </w:r>
    </w:p>
    <w:p>
      <w:pPr>
        <w:sectPr>
          <w:pgSz w:w="11900" w:h="16838" w:orient="portrait"/>
          <w:cols w:equalWidth="0" w:num="1">
            <w:col w:w="10159"/>
          </w:cols>
          <w:pgMar w:left="300" w:top="372" w:right="1440" w:bottom="1440" w:gutter="0" w:footer="0" w:header="0"/>
        </w:sectPr>
      </w:pPr>
    </w:p>
    <w:bookmarkStart w:id="424" w:name="page425"/>
    <w:bookmarkEnd w:id="4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2—Summary of Significant Accounting Policies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Concentration of Credit Risk</w:t>
      </w:r>
    </w:p>
    <w:p>
      <w:pPr>
        <w:spacing w:after="0" w:line="82" w:lineRule="exact"/>
        <w:rPr>
          <w:sz w:val="20"/>
          <w:szCs w:val="20"/>
          <w:color w:val="auto"/>
        </w:rPr>
      </w:pPr>
    </w:p>
    <w:p>
      <w:pPr>
        <w:jc w:val="both"/>
        <w:ind w:left="1980" w:right="999"/>
        <w:spacing w:after="0" w:line="298" w:lineRule="auto"/>
        <w:rPr>
          <w:sz w:val="20"/>
          <w:szCs w:val="20"/>
          <w:color w:val="auto"/>
        </w:rPr>
      </w:pPr>
      <w:r>
        <w:rPr>
          <w:rFonts w:ascii="Arial" w:cs="Arial" w:eastAsia="Arial" w:hAnsi="Arial"/>
          <w:sz w:val="11"/>
          <w:szCs w:val="11"/>
          <w:color w:val="auto"/>
        </w:rPr>
        <w:t>Financial instruments that potentially subject the Company to concentrations of credit risk consist of cash accounts in a financial institution, which, at times, may exceed the Federal Depository Insurance Coverage limit of $250,000. At June 30, 2021, the Company has not experienced losses on these accounts and management believes the Company is not exposed to significant risks on such accounts.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and Cash Equivalents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considers all short-term investments with an original maturity of three months or less when purchased to be cash equivalents.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Company had no cash equivalents as of June 30, 2021 and December 31, 2020.</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and Marketable Securities Held in Trust Account</w:t>
      </w:r>
    </w:p>
    <w:p>
      <w:pPr>
        <w:spacing w:after="0" w:line="82"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Company’s portfolio of investments held in the Trust Account is comprised of cash and U.S. government securities, within the meaning set forth in Section 2(a)(16) of the Investment Company Act, with a maturity of 185 days or less.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Fair Value of Financial Instruments</w:t>
      </w:r>
    </w:p>
    <w:p>
      <w:pPr>
        <w:spacing w:after="0" w:line="82"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69"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52" w:lineRule="exact"/>
        <w:rPr>
          <w:sz w:val="20"/>
          <w:szCs w:val="20"/>
          <w:color w:val="auto"/>
        </w:rPr>
      </w:pPr>
    </w:p>
    <w:p>
      <w:pPr>
        <w:ind w:left="2260" w:hanging="216"/>
        <w:spacing w:after="0"/>
        <w:tabs>
          <w:tab w:leader="none" w:pos="226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Level 1, defined as observable inputs such as quoted prices for identical instruments in active markets;</w:t>
      </w:r>
    </w:p>
    <w:p>
      <w:pPr>
        <w:spacing w:after="0" w:line="87" w:lineRule="exact"/>
        <w:rPr>
          <w:rFonts w:ascii="Arial" w:cs="Arial" w:eastAsia="Arial" w:hAnsi="Arial"/>
          <w:sz w:val="12"/>
          <w:szCs w:val="12"/>
          <w:color w:val="auto"/>
        </w:rPr>
      </w:pPr>
    </w:p>
    <w:p>
      <w:pPr>
        <w:ind w:left="2260" w:right="1159" w:hanging="216"/>
        <w:spacing w:after="0" w:line="323" w:lineRule="auto"/>
        <w:tabs>
          <w:tab w:leader="none" w:pos="226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8" w:lineRule="exact"/>
        <w:rPr>
          <w:rFonts w:ascii="Arial" w:cs="Arial" w:eastAsia="Arial" w:hAnsi="Arial"/>
          <w:sz w:val="11"/>
          <w:szCs w:val="11"/>
          <w:color w:val="auto"/>
        </w:rPr>
      </w:pPr>
    </w:p>
    <w:p>
      <w:pPr>
        <w:ind w:left="2260" w:right="899" w:hanging="216"/>
        <w:spacing w:after="0" w:line="323" w:lineRule="auto"/>
        <w:tabs>
          <w:tab w:leader="none" w:pos="226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left="1980" w:right="1439"/>
        <w:spacing w:after="0" w:line="379" w:lineRule="auto"/>
        <w:rPr>
          <w:sz w:val="20"/>
          <w:szCs w:val="20"/>
          <w:color w:val="auto"/>
        </w:rPr>
      </w:pPr>
      <w:r>
        <w:rPr>
          <w:rFonts w:ascii="Arial" w:cs="Arial" w:eastAsia="Arial" w:hAnsi="Arial"/>
          <w:sz w:val="10"/>
          <w:szCs w:val="10"/>
          <w:color w:val="auto"/>
        </w:rPr>
        <w:t>The fair value of the Company’s assets and liabilities, which qualify as financial instruments under ASC 820, “Fair Value Measurements and Disclosures,” approximates the carrying amounts represented in the accompanying balance sheet, primarily due to their short-term nature.</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Use of Estimates</w:t>
      </w:r>
    </w:p>
    <w:p>
      <w:pPr>
        <w:spacing w:after="0" w:line="82"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preparation of the financial statements in conformity with U.S. GAAP requires the Company’s management to make estimates and assumptions that affect the reported amounts of assets and liabilities and disclosure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F-97</w:t>
      </w:r>
    </w:p>
    <w:p>
      <w:pPr>
        <w:sectPr>
          <w:pgSz w:w="11900" w:h="16838" w:orient="portrait"/>
          <w:cols w:equalWidth="0" w:num="1">
            <w:col w:w="10159"/>
          </w:cols>
          <w:pgMar w:left="300" w:top="372" w:right="1440" w:bottom="1440" w:gutter="0" w:footer="0" w:header="0"/>
        </w:sectPr>
      </w:pPr>
    </w:p>
    <w:bookmarkStart w:id="425" w:name="page426"/>
    <w:bookmarkEnd w:id="4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contingent assets and liabilities at the date of the financial statements and the reported amounts of expenses during the reporting period. Actual results could differ from those estimates.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Derivative Warrant Liabilities</w:t>
      </w:r>
    </w:p>
    <w:p>
      <w:pPr>
        <w:spacing w:after="0" w:line="82"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11"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Company accounts for its 30,750,277 warrants issued in connection with its Initial Public Offering (20,535,912)and Private Placement (10,214,365)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the Public Warrants (if not market observed) and Private Placement Warrants is estimated using a Binomial Lattice in a risk-neutral framework. Specifically, the future stock price of the Company is modeled assuming a Geometric Brownian Motion in a risk-neutral framework. For each modeled future price, the Warrant payoff is calculated based on the contractual terms (incorporating any optimal early exercise / redemption), and then discounted at the term-matched risk-free rate. The value of the Warrants is calculated as the probability-weighted present value over all future modeled payoffs.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Offering Costs Associated with the Initial Public Offering</w:t>
      </w:r>
    </w:p>
    <w:p>
      <w:pPr>
        <w:spacing w:after="0" w:line="82"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Offering costs consisted of legal, accounting, underwriting fees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Public Shares were charged to stockholders’ equity upon the completion of the Initial Public Offering.</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Class A Common Stock Subject to Possible Redemption</w:t>
      </w:r>
    </w:p>
    <w:p>
      <w:pPr>
        <w:spacing w:after="0" w:line="82" w:lineRule="exact"/>
        <w:rPr>
          <w:sz w:val="20"/>
          <w:szCs w:val="20"/>
          <w:color w:val="auto"/>
        </w:rPr>
      </w:pPr>
    </w:p>
    <w:p>
      <w:pPr>
        <w:ind w:left="1980" w:right="859"/>
        <w:spacing w:after="0" w:line="253" w:lineRule="auto"/>
        <w:rPr>
          <w:sz w:val="20"/>
          <w:szCs w:val="20"/>
          <w:color w:val="auto"/>
        </w:rPr>
      </w:pPr>
      <w:r>
        <w:rPr>
          <w:rFonts w:ascii="Arial" w:cs="Arial" w:eastAsia="Arial" w:hAnsi="Arial"/>
          <w:sz w:val="12"/>
          <w:szCs w:val="12"/>
          <w:color w:val="auto"/>
        </w:rPr>
        <w:t>The Company accounts for its Class A common stock subject to possible redemption in accordance with the guidance in ASC Topic 480 “Distinguishing Liabilities from Equity.” Shares of Class A common stock subject to mandatory redemption (if any) are classified as liability instruments and are measured at fair value. Conditionally redeemable shares of Class A common stock (including shares of Class A common stock that feature redemption rights that are either within the control of the holder or subject to redemption upon the occurrence of uncertain events not solely within the Company’s control) are classified as temporary equity. At all other times, shares of Class A common stock are classified as stockholders’ equity. Shares of Class A common stock of the Company feature certain redemption rights that are considered to be outside of the Company’s control and subject to the occurrence of uncertain future events. Accordingly, as of June 30, 2021 and December 31, 2020, 33,639,240 and 34,375,578 shares, respectively, of Class A common stock subject to possible redemption were presented as temporary equity, outside of the stockholders’ equity section of the Company’s balance sheet.</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Income Taxes</w:t>
      </w:r>
    </w:p>
    <w:p>
      <w:pPr>
        <w:spacing w:after="0" w:line="8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Company complies with the accounting and reporting requirements of FASB ASC 740, “Income Taxes,” which requires an asset and liability approach to financial accounting and reporting for income taxes. Deferred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F-98</w:t>
      </w:r>
    </w:p>
    <w:p>
      <w:pPr>
        <w:sectPr>
          <w:pgSz w:w="11900" w:h="16838" w:orient="portrait"/>
          <w:cols w:equalWidth="0" w:num="1">
            <w:col w:w="10159"/>
          </w:cols>
          <w:pgMar w:left="300" w:top="372" w:right="1440" w:bottom="1440" w:gutter="0" w:footer="0" w:header="0"/>
        </w:sectPr>
      </w:pPr>
    </w:p>
    <w:bookmarkStart w:id="426" w:name="page427"/>
    <w:bookmarkEnd w:id="4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1079"/>
        <w:spacing w:after="0" w:line="340" w:lineRule="auto"/>
        <w:rPr>
          <w:sz w:val="20"/>
          <w:szCs w:val="20"/>
          <w:color w:val="auto"/>
        </w:rPr>
      </w:pPr>
      <w:r>
        <w:rPr>
          <w:rFonts w:ascii="Arial" w:cs="Arial" w:eastAsia="Arial" w:hAnsi="Arial"/>
          <w:sz w:val="10"/>
          <w:szCs w:val="10"/>
          <w:color w:val="auto"/>
        </w:rPr>
        <w:t>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87"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No amounts were accrued for the payment of interest and penalties as of June 30, 2021. The Company is currently not aware of any issues under review that could result in significant payments, accruals or material deviation from its position. The Company recognizes accrued interest and penalties related to unrecognized tax benefits as income tax expense.</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Net Income Per Common Share</w:t>
      </w:r>
    </w:p>
    <w:p>
      <w:pPr>
        <w:spacing w:after="0" w:line="82"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The Company complies with accounting and disclosure requirements of FASB ASC Topic 260, “Earnings Per Share.” Net income (loss) per common share is computed by dividing net income (loss) by the weighted average number of shares of common stock outstanding during the period. The Company has not considered the effect of the warrants sold in the Initial Public Offering and Private Placement to purchase an aggregate of 30,750,277 shares of the Company’s common stock in the calculation of diluted income per share, since the inclusion of such warrants would be anti-dilutive.</w:t>
      </w:r>
    </w:p>
    <w:p>
      <w:pPr>
        <w:spacing w:after="0" w:line="95"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Company’s statement of operations includes a presentation of income (loss) per common share for Class A common shares subject to possible redemption in a manner similar to the two-class method of income (loss) per common share. Net income (loss) per common share, basic and diluted, for Class A common stock subject to possible redemption is calculated by dividing the proportionate share of income or loss on marketable securities held by the Trust Account, net of applicable franchise and income taxes, by the weighted average number of shares of Class A common stock subject to possible redemption outstanding since original issuance.</w:t>
      </w:r>
    </w:p>
    <w:p>
      <w:pPr>
        <w:spacing w:after="0" w:line="12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Net income per common share, basic and diluted, for non-redeemable common stock is calculated by dividing the net income, adjusted for income or loss on marketable securities attributable to common stock subject to possible redemption, by the weighted average number of non-redeemable common stock outstanding for the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Non-redeemable common stock includes Founder Shares and non-redeemable shares of Class A common stock as these shares do not have any redemption features. Non-redeemable common stock participates in the income or loss on marketable securities based on non-redeemable shares’ proportionate interest.</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F-99</w:t>
      </w:r>
    </w:p>
    <w:p>
      <w:pPr>
        <w:sectPr>
          <w:pgSz w:w="11900" w:h="16838" w:orient="portrait"/>
          <w:cols w:equalWidth="0" w:num="1">
            <w:col w:w="10159"/>
          </w:cols>
          <w:pgMar w:left="300" w:top="372" w:right="1440" w:bottom="1440" w:gutter="0" w:footer="0" w:header="0"/>
        </w:sectPr>
      </w:pPr>
    </w:p>
    <w:bookmarkStart w:id="427" w:name="page428"/>
    <w:bookmarkEnd w:id="4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reflects the calculation of basic and diluted net income per common share:</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80" w:type="dxa"/>
            <w:vAlign w:val="bottom"/>
          </w:tcPr>
          <w:p>
            <w:pPr>
              <w:spacing w:after="0"/>
              <w:rPr>
                <w:sz w:val="10"/>
                <w:szCs w:val="10"/>
                <w:color w:val="auto"/>
              </w:rPr>
            </w:pPr>
          </w:p>
        </w:tc>
        <w:tc>
          <w:tcPr>
            <w:tcW w:w="1320" w:type="dxa"/>
            <w:vAlign w:val="bottom"/>
            <w:gridSpan w:val="3"/>
          </w:tcPr>
          <w:p>
            <w:pPr>
              <w:spacing w:after="0"/>
              <w:rPr>
                <w:sz w:val="20"/>
                <w:szCs w:val="20"/>
                <w:color w:val="auto"/>
              </w:rPr>
            </w:pPr>
            <w:r>
              <w:rPr>
                <w:rFonts w:ascii="Arial" w:cs="Arial" w:eastAsia="Arial" w:hAnsi="Arial"/>
                <w:sz w:val="10"/>
                <w:szCs w:val="10"/>
                <w:b w:val="1"/>
                <w:bCs w:val="1"/>
                <w:color w:val="auto"/>
              </w:rPr>
              <w:t>For the Three Months</w:t>
            </w:r>
          </w:p>
        </w:tc>
        <w:tc>
          <w:tcPr>
            <w:tcW w:w="940" w:type="dxa"/>
            <w:vAlign w:val="bottom"/>
            <w:gridSpan w:val="3"/>
          </w:tcPr>
          <w:p>
            <w:pPr>
              <w:ind w:left="40"/>
              <w:spacing w:after="0"/>
              <w:rPr>
                <w:sz w:val="20"/>
                <w:szCs w:val="20"/>
                <w:color w:val="auto"/>
              </w:rPr>
            </w:pPr>
            <w:r>
              <w:rPr>
                <w:rFonts w:ascii="Arial" w:cs="Arial" w:eastAsia="Arial" w:hAnsi="Arial"/>
                <w:sz w:val="10"/>
                <w:szCs w:val="10"/>
                <w:b w:val="1"/>
                <w:bCs w:val="1"/>
                <w:color w:val="auto"/>
                <w:w w:val="97"/>
              </w:rPr>
              <w:t>For the Six Months</w:t>
            </w:r>
          </w:p>
        </w:tc>
      </w:tr>
      <w:tr>
        <w:trPr>
          <w:trHeight w:val="113"/>
        </w:trPr>
        <w:tc>
          <w:tcPr>
            <w:tcW w:w="5080" w:type="dxa"/>
            <w:vAlign w:val="bottom"/>
          </w:tcPr>
          <w:p>
            <w:pPr>
              <w:spacing w:after="0"/>
              <w:rPr>
                <w:sz w:val="9"/>
                <w:szCs w:val="9"/>
                <w:color w:val="auto"/>
              </w:rPr>
            </w:pPr>
          </w:p>
        </w:tc>
        <w:tc>
          <w:tcPr>
            <w:tcW w:w="132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Ended June 30, 2021</w:t>
            </w:r>
          </w:p>
        </w:tc>
        <w:tc>
          <w:tcPr>
            <w:tcW w:w="94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w w:val="91"/>
              </w:rPr>
              <w:t>Ended June 30, 2021</w:t>
            </w:r>
          </w:p>
        </w:tc>
      </w:tr>
      <w:tr>
        <w:trPr>
          <w:trHeight w:val="124"/>
        </w:trPr>
        <w:tc>
          <w:tcPr>
            <w:tcW w:w="50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i w:val="1"/>
                <w:iCs w:val="1"/>
                <w:color w:val="auto"/>
              </w:rPr>
              <w:t>Class A Common stock subject to possible redemption</w:t>
            </w: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5080" w:type="dxa"/>
            <w:vAlign w:val="bottom"/>
          </w:tcPr>
          <w:p>
            <w:pPr>
              <w:spacing w:after="0"/>
              <w:rPr>
                <w:sz w:val="20"/>
                <w:szCs w:val="20"/>
                <w:color w:val="auto"/>
              </w:rPr>
            </w:pPr>
            <w:r>
              <w:rPr>
                <w:rFonts w:ascii="Arial" w:cs="Arial" w:eastAsia="Arial" w:hAnsi="Arial"/>
                <w:sz w:val="12"/>
                <w:szCs w:val="12"/>
                <w:color w:val="auto"/>
              </w:rPr>
              <w:t>Numerator: Earnings allocable to Common stock subject to possible redemption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from investments held in Trust Account</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5,795</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81,862</w:t>
            </w:r>
          </w:p>
        </w:tc>
      </w:tr>
      <w:tr>
        <w:trPr>
          <w:trHeight w:val="144"/>
        </w:trPr>
        <w:tc>
          <w:tcPr>
            <w:tcW w:w="5080" w:type="dxa"/>
            <w:vAlign w:val="bottom"/>
          </w:tcPr>
          <w:p>
            <w:pPr>
              <w:ind w:left="240"/>
              <w:spacing w:after="0"/>
              <w:rPr>
                <w:sz w:val="20"/>
                <w:szCs w:val="20"/>
                <w:color w:val="auto"/>
              </w:rPr>
            </w:pPr>
            <w:r>
              <w:rPr>
                <w:rFonts w:ascii="Arial" w:cs="Arial" w:eastAsia="Arial" w:hAnsi="Arial"/>
                <w:sz w:val="12"/>
                <w:szCs w:val="12"/>
                <w:color w:val="auto"/>
              </w:rPr>
              <w:t>Less: Company’s portion available to be withdrawn to pay taxes</w:t>
            </w:r>
          </w:p>
        </w:tc>
        <w:tc>
          <w:tcPr>
            <w:tcW w:w="200" w:type="dxa"/>
            <w:vAlign w:val="bottom"/>
          </w:tcPr>
          <w:p>
            <w:pPr>
              <w:spacing w:after="0"/>
              <w:rPr>
                <w:sz w:val="12"/>
                <w:szCs w:val="12"/>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2"/>
                <w:szCs w:val="12"/>
                <w:color w:val="auto"/>
              </w:rPr>
              <w:t>(5,795)</w:t>
            </w:r>
          </w:p>
        </w:tc>
        <w:tc>
          <w:tcPr>
            <w:tcW w:w="2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(81,862)</w:t>
            </w:r>
          </w:p>
        </w:tc>
      </w:tr>
      <w:tr>
        <w:trPr>
          <w:trHeight w:val="149"/>
        </w:trPr>
        <w:tc>
          <w:tcPr>
            <w:tcW w:w="50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income attributable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2"/>
                <w:szCs w:val="12"/>
                <w:color w:val="auto"/>
              </w:rPr>
            </w:pPr>
          </w:p>
        </w:tc>
      </w:tr>
      <w:tr>
        <w:trPr>
          <w:trHeight w:val="153"/>
        </w:trPr>
        <w:tc>
          <w:tcPr>
            <w:tcW w:w="5080" w:type="dxa"/>
            <w:vAlign w:val="bottom"/>
          </w:tcPr>
          <w:p>
            <w:pPr>
              <w:spacing w:after="0"/>
              <w:rPr>
                <w:sz w:val="20"/>
                <w:szCs w:val="20"/>
                <w:color w:val="auto"/>
              </w:rPr>
            </w:pPr>
            <w:r>
              <w:rPr>
                <w:rFonts w:ascii="Arial" w:cs="Arial" w:eastAsia="Arial" w:hAnsi="Arial"/>
                <w:sz w:val="12"/>
                <w:szCs w:val="12"/>
                <w:color w:val="auto"/>
              </w:rPr>
              <w:t>Denominator: Weighted average Class A common stock subject to possible redemption</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1"/>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36,248,495</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35,327,718</w:t>
            </w:r>
          </w:p>
        </w:tc>
      </w:tr>
      <w:tr>
        <w:trPr>
          <w:trHeight w:val="160"/>
        </w:trPr>
        <w:tc>
          <w:tcPr>
            <w:tcW w:w="5080" w:type="dxa"/>
            <w:vAlign w:val="bottom"/>
          </w:tcPr>
          <w:p>
            <w:pPr>
              <w:spacing w:after="0"/>
              <w:rPr>
                <w:sz w:val="20"/>
                <w:szCs w:val="20"/>
                <w:color w:val="auto"/>
              </w:rPr>
            </w:pPr>
            <w:r>
              <w:rPr>
                <w:rFonts w:ascii="Arial" w:cs="Arial" w:eastAsia="Arial" w:hAnsi="Arial"/>
                <w:sz w:val="12"/>
                <w:szCs w:val="12"/>
                <w:color w:val="auto"/>
              </w:rPr>
              <w:t>Basic and diluted net income per share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0.00</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0.00</w:t>
            </w:r>
          </w:p>
        </w:tc>
        <w:tc>
          <w:tcPr>
            <w:tcW w:w="80" w:type="dxa"/>
            <w:vAlign w:val="bottom"/>
          </w:tcPr>
          <w:p>
            <w:pPr>
              <w:spacing w:after="0"/>
              <w:rPr>
                <w:sz w:val="13"/>
                <w:szCs w:val="13"/>
                <w:color w:val="auto"/>
              </w:rPr>
            </w:pPr>
          </w:p>
        </w:tc>
      </w:tr>
      <w:tr>
        <w:trPr>
          <w:trHeight w:val="81"/>
        </w:trPr>
        <w:tc>
          <w:tcPr>
            <w:tcW w:w="5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44"/>
        </w:trPr>
        <w:tc>
          <w:tcPr>
            <w:tcW w:w="508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Non-Redeemable Common Stock</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080" w:type="dxa"/>
            <w:vAlign w:val="bottom"/>
          </w:tcPr>
          <w:p>
            <w:pPr>
              <w:spacing w:after="0"/>
              <w:rPr>
                <w:sz w:val="20"/>
                <w:szCs w:val="20"/>
                <w:color w:val="auto"/>
              </w:rPr>
            </w:pPr>
            <w:r>
              <w:rPr>
                <w:rFonts w:ascii="Arial" w:cs="Arial" w:eastAsia="Arial" w:hAnsi="Arial"/>
                <w:sz w:val="12"/>
                <w:szCs w:val="12"/>
                <w:color w:val="auto"/>
              </w:rPr>
              <w:t>Numerator: Net Loss minus Net Earnings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(26,382,473)</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(7,363,373)</w:t>
            </w:r>
          </w:p>
        </w:tc>
      </w:tr>
      <w:tr>
        <w:trPr>
          <w:trHeight w:val="144"/>
        </w:trPr>
        <w:tc>
          <w:tcPr>
            <w:tcW w:w="5080" w:type="dxa"/>
            <w:vAlign w:val="bottom"/>
          </w:tcPr>
          <w:p>
            <w:pPr>
              <w:ind w:left="240"/>
              <w:spacing w:after="0"/>
              <w:rPr>
                <w:sz w:val="20"/>
                <w:szCs w:val="20"/>
                <w:color w:val="auto"/>
              </w:rPr>
            </w:pPr>
            <w:r>
              <w:rPr>
                <w:rFonts w:ascii="Arial" w:cs="Arial" w:eastAsia="Arial" w:hAnsi="Arial"/>
                <w:sz w:val="12"/>
                <w:szCs w:val="12"/>
                <w:color w:val="auto"/>
              </w:rPr>
              <w:t>Less: Net income allocable to Class A common stock subject to possible redemption</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r>
      <w:tr>
        <w:trPr>
          <w:trHeight w:val="149"/>
        </w:trPr>
        <w:tc>
          <w:tcPr>
            <w:tcW w:w="50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Non-redeemable net gain</w:t>
            </w:r>
          </w:p>
        </w:tc>
        <w:tc>
          <w:tcPr>
            <w:tcW w:w="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(26,382,473)</w:t>
            </w:r>
          </w:p>
        </w:tc>
        <w:tc>
          <w:tcPr>
            <w:tcW w:w="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(7,363,373)</w:t>
            </w:r>
          </w:p>
        </w:tc>
      </w:tr>
      <w:tr>
        <w:trPr>
          <w:trHeight w:val="153"/>
        </w:trPr>
        <w:tc>
          <w:tcPr>
            <w:tcW w:w="5080" w:type="dxa"/>
            <w:vAlign w:val="bottom"/>
          </w:tcPr>
          <w:p>
            <w:pPr>
              <w:spacing w:after="0"/>
              <w:rPr>
                <w:sz w:val="20"/>
                <w:szCs w:val="20"/>
                <w:color w:val="auto"/>
              </w:rPr>
            </w:pPr>
            <w:r>
              <w:rPr>
                <w:rFonts w:ascii="Arial" w:cs="Arial" w:eastAsia="Arial" w:hAnsi="Arial"/>
                <w:sz w:val="12"/>
                <w:szCs w:val="12"/>
                <w:color w:val="auto"/>
              </w:rPr>
              <w:t>Denominator: weighted average Non-redeemable common stock</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1"/>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 Non-redeemable common stock</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15,091,284</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16,012,061</w:t>
            </w:r>
          </w:p>
        </w:tc>
      </w:tr>
      <w:tr>
        <w:trPr>
          <w:trHeight w:val="160"/>
        </w:trPr>
        <w:tc>
          <w:tcPr>
            <w:tcW w:w="5080" w:type="dxa"/>
            <w:vAlign w:val="bottom"/>
          </w:tcPr>
          <w:p>
            <w:pPr>
              <w:spacing w:after="0"/>
              <w:rPr>
                <w:sz w:val="20"/>
                <w:szCs w:val="20"/>
                <w:color w:val="auto"/>
              </w:rPr>
            </w:pPr>
            <w:r>
              <w:rPr>
                <w:rFonts w:ascii="Arial" w:cs="Arial" w:eastAsia="Arial" w:hAnsi="Arial"/>
                <w:sz w:val="12"/>
                <w:szCs w:val="12"/>
                <w:color w:val="auto"/>
              </w:rPr>
              <w:t>Basic and diluted net loss per share, Non-redeemable common stock</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(1.75)</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(0.46)</w:t>
            </w:r>
          </w:p>
        </w:tc>
        <w:tc>
          <w:tcPr>
            <w:tcW w:w="80" w:type="dxa"/>
            <w:vAlign w:val="bottom"/>
          </w:tcPr>
          <w:p>
            <w:pPr>
              <w:spacing w:after="0"/>
              <w:rPr>
                <w:sz w:val="13"/>
                <w:szCs w:val="13"/>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 Issued Accounting Standards</w:t>
      </w:r>
    </w:p>
    <w:p>
      <w:pPr>
        <w:spacing w:after="0" w:line="82"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Company’s management does not believe that any recently issued, but not yet effective, accounting standards updates, if currently adopted, would have a material effect on the accompanying financial statement.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3—Initial Public Offering</w:t>
      </w:r>
    </w:p>
    <w:p>
      <w:pPr>
        <w:spacing w:after="0" w:line="82" w:lineRule="exact"/>
        <w:rPr>
          <w:sz w:val="20"/>
          <w:szCs w:val="20"/>
          <w:color w:val="auto"/>
        </w:rPr>
      </w:pPr>
    </w:p>
    <w:p>
      <w:pPr>
        <w:ind w:left="1980" w:right="979"/>
        <w:spacing w:after="0" w:line="283" w:lineRule="auto"/>
        <w:rPr>
          <w:sz w:val="20"/>
          <w:szCs w:val="20"/>
          <w:color w:val="auto"/>
        </w:rPr>
      </w:pPr>
      <w:r>
        <w:rPr>
          <w:rFonts w:ascii="Arial" w:cs="Arial" w:eastAsia="Arial" w:hAnsi="Arial"/>
          <w:sz w:val="11"/>
          <w:szCs w:val="11"/>
          <w:color w:val="auto"/>
        </w:rPr>
        <w:t>On October 9, 2020, the Company consummated its Initial Public Offering of 40,000,000 Units at $10.00 per Unit, generating gross proceeds of $400.0 million, and incurring offering costs of approximately $22.1 million (net of reimbursement of offering costs of $520,000 from the underwriters), inclusive of $14.0 million in deferred underwriting commissions. The Underwriters exercised the over-allotment option in full and on November 12, 2020 purchased an additional 1,071,823 Over-Allotment Units, generating gross proceeds of approximately $10.7 million, and incurred additional offering costs of approximately $576,000 in underwriting fees (net of reimbursement of offering costs of approximately $14,000 from the underwriters and inclusive of approximately $375,000 in deferred underwriting fees).</w:t>
      </w:r>
    </w:p>
    <w:p>
      <w:pPr>
        <w:spacing w:after="0" w:line="113" w:lineRule="exact"/>
        <w:rPr>
          <w:sz w:val="20"/>
          <w:szCs w:val="20"/>
          <w:color w:val="auto"/>
        </w:rPr>
      </w:pPr>
    </w:p>
    <w:p>
      <w:pPr>
        <w:ind w:left="1980" w:right="1179"/>
        <w:spacing w:after="0" w:line="379" w:lineRule="auto"/>
        <w:rPr>
          <w:sz w:val="20"/>
          <w:szCs w:val="20"/>
          <w:color w:val="auto"/>
        </w:rPr>
      </w:pPr>
      <w:r>
        <w:rPr>
          <w:rFonts w:ascii="Arial" w:cs="Arial" w:eastAsia="Arial" w:hAnsi="Arial"/>
          <w:sz w:val="10"/>
          <w:szCs w:val="10"/>
          <w:color w:val="auto"/>
        </w:rPr>
        <w:t>Each Unit consists of one share of Class A common stock, and one-half of one redeemable warrant (each, a “Public Warrant”). Each whole Public Warrant entitles the holder to purchase one share of Class A common stock at a price of $11.50 per share, subject to adjustment (see Note 6).</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F-100</w:t>
      </w:r>
    </w:p>
    <w:p>
      <w:pPr>
        <w:sectPr>
          <w:pgSz w:w="11900" w:h="16838" w:orient="portrait"/>
          <w:cols w:equalWidth="0" w:num="1">
            <w:col w:w="10159"/>
          </w:cols>
          <w:pgMar w:left="300" w:top="372" w:right="1440" w:bottom="1440" w:gutter="0" w:footer="0" w:header="0"/>
        </w:sectPr>
      </w:pPr>
    </w:p>
    <w:bookmarkStart w:id="428" w:name="page429"/>
    <w:bookmarkEnd w:id="4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4—Related Party Transactions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Founder Shares</w:t>
      </w:r>
    </w:p>
    <w:p>
      <w:pPr>
        <w:spacing w:after="0" w:line="82" w:lineRule="exact"/>
        <w:rPr>
          <w:sz w:val="20"/>
          <w:szCs w:val="20"/>
          <w:color w:val="auto"/>
        </w:rPr>
      </w:pPr>
    </w:p>
    <w:p>
      <w:pPr>
        <w:ind w:left="1980" w:right="879"/>
        <w:spacing w:after="0" w:line="311" w:lineRule="auto"/>
        <w:rPr>
          <w:sz w:val="20"/>
          <w:szCs w:val="20"/>
          <w:color w:val="auto"/>
        </w:rPr>
      </w:pPr>
      <w:r>
        <w:rPr>
          <w:rFonts w:ascii="Arial" w:cs="Arial" w:eastAsia="Arial" w:hAnsi="Arial"/>
          <w:sz w:val="10"/>
          <w:szCs w:val="10"/>
          <w:color w:val="auto"/>
        </w:rPr>
        <w:t>On July 23, 2020, an affiliate of the Sponsor paid an aggregate of $25,000 for certain expenses on behalf of the Company in exchange for issuance of 14,375,000 shares of the Company’s Class B common stock, par value $0.0001 per share (the “Founder Shares”), with such shares subsequently transferred to the Sponsor. On October 6, 2020, the Sponsor surrendered 2,875,000 shares of Class B common stock to the Company for no consideration, resulting in a decrease of the Founder Shares from 14,375,000 shares to 11,500,000 shares. All shares and associated amounts have been retroactively restated to reflect the share surrender. The initial stockholders agreed to forfeit up to 1,500,000 Founder Shares to the extent that the over-allotment option is not exercised in full by the underwriters, so that the Founder Shares will represent 20.0% of the Company’s issued and outstanding shares of common stock after the Initial Public Offering. The underwriters exercised their Over-Allotment option in part on November 12, 2020; and the remaining over-allotment expired unexercised on November 20, 2020 resulting in a forfeiture of 1,232,044 shares of Class B common stock.</w:t>
      </w:r>
    </w:p>
    <w:p>
      <w:pPr>
        <w:spacing w:after="0" w:line="10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Initial Stockholders agreed, subject to limited exceptions, not to transfer, assign or sell any of the Founder Shares until the earlier to occur of:</w:t>
      </w:r>
    </w:p>
    <w:p>
      <w:pPr>
        <w:spacing w:after="0" w:line="26" w:lineRule="exact"/>
        <w:rPr>
          <w:sz w:val="20"/>
          <w:szCs w:val="20"/>
          <w:color w:val="auto"/>
        </w:rPr>
      </w:pPr>
    </w:p>
    <w:p>
      <w:pPr>
        <w:ind w:left="1980" w:right="919" w:hanging="8"/>
        <w:spacing w:after="0" w:line="281" w:lineRule="auto"/>
        <w:tabs>
          <w:tab w:leader="none" w:pos="2177" w:val="left"/>
        </w:tabs>
        <w:numPr>
          <w:ilvl w:val="0"/>
          <w:numId w:val="205"/>
        </w:numPr>
        <w:rPr>
          <w:rFonts w:ascii="Arial" w:cs="Arial" w:eastAsia="Arial" w:hAnsi="Arial"/>
          <w:sz w:val="11"/>
          <w:szCs w:val="11"/>
          <w:color w:val="auto"/>
        </w:rPr>
      </w:pPr>
      <w:r>
        <w:rPr>
          <w:rFonts w:ascii="Arial" w:cs="Arial" w:eastAsia="Arial" w:hAnsi="Arial"/>
          <w:sz w:val="11"/>
          <w:szCs w:val="11"/>
          <w:color w:val="auto"/>
        </w:rPr>
        <w:t>one year after the completion of the initial Business Combination or (B) subsequent to the initial Business Combination; (x) if the last reported sale price of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(y) the date on which the Company completes a liquidation, merger, capital stock exchange or other similar transaction that results in all of the stockholders having the right to exchange their common stock for cash, securities or other property.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Private Placement Warrants</w:t>
      </w:r>
    </w:p>
    <w:p>
      <w:pPr>
        <w:spacing w:after="0" w:line="82" w:lineRule="exact"/>
        <w:rPr>
          <w:sz w:val="20"/>
          <w:szCs w:val="20"/>
          <w:color w:val="auto"/>
        </w:rPr>
      </w:pPr>
    </w:p>
    <w:p>
      <w:pPr>
        <w:ind w:left="1980" w:right="899"/>
        <w:spacing w:after="0" w:line="326" w:lineRule="auto"/>
        <w:rPr>
          <w:sz w:val="20"/>
          <w:szCs w:val="20"/>
          <w:color w:val="auto"/>
        </w:rPr>
      </w:pPr>
      <w:r>
        <w:rPr>
          <w:rFonts w:ascii="Arial" w:cs="Arial" w:eastAsia="Arial" w:hAnsi="Arial"/>
          <w:sz w:val="10"/>
          <w:szCs w:val="10"/>
          <w:color w:val="auto"/>
        </w:rPr>
        <w:t>Simultaneously with the closing of the Initial Public Offering, the Company consummated the Private Placement of 10,000,000 Private Placement Warrants at a price of $1.00 per Private Placement Warrant to the Sponsor, generating proceeds of $10.0 million. Simultaneously with the closing of the Over-allotment on November 12, 2020, the Company consummated the second closing of the Private Placement, resulting in the purchase of an aggregate of an additional 214,365 Private Placement Warrants by the Sponsor, generating gross proceeds to the Company of approximately $214,000.</w:t>
      </w:r>
    </w:p>
    <w:p>
      <w:pPr>
        <w:spacing w:after="0" w:line="95"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Each whole Private Placement Warrant is exercisable for one whole share of Class A common stock at a price of $11.50 per share, subject to adjustment.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(except as described below) and exercisable on a cashless basis so long as they are held by the Sponsor or its permitted transferees.</w:t>
      </w:r>
    </w:p>
    <w:p>
      <w:pPr>
        <w:spacing w:after="0" w:line="113"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Sponsor agreed, subject to limited exceptions, not to transfer, assign or sell the Private Placement Warrants until 30 days after the completion of the initial Business Combination.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Related Party Loans</w:t>
      </w:r>
    </w:p>
    <w:p>
      <w:pPr>
        <w:spacing w:after="0" w:line="82" w:lineRule="exact"/>
        <w:rPr>
          <w:sz w:val="20"/>
          <w:szCs w:val="20"/>
          <w:color w:val="auto"/>
        </w:rPr>
      </w:pPr>
    </w:p>
    <w:p>
      <w:pPr>
        <w:ind w:left="1980" w:right="1079"/>
        <w:spacing w:after="0" w:line="298" w:lineRule="auto"/>
        <w:rPr>
          <w:sz w:val="20"/>
          <w:szCs w:val="20"/>
          <w:color w:val="auto"/>
        </w:rPr>
      </w:pPr>
      <w:r>
        <w:rPr>
          <w:rFonts w:ascii="Arial" w:cs="Arial" w:eastAsia="Arial" w:hAnsi="Arial"/>
          <w:sz w:val="11"/>
          <w:szCs w:val="11"/>
          <w:color w:val="auto"/>
        </w:rPr>
        <w:t>On July 23, 2020, the Sponsor agreed to loan the Company an aggregate of up to $300,000 to cover expenses related to the Initial Public Offering pursuant to a promissory note (the “Note”). This loan was non-interest bearing and payable upon the completion of the Initial Public Offering. As of September 30, 2020, the Company borrowed $200,000 under the Note. The Note was fully repaid on October 9, 2020.</w:t>
      </w:r>
    </w:p>
    <w:p>
      <w:pPr>
        <w:spacing w:after="0" w:line="6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F-101</w:t>
      </w:r>
    </w:p>
    <w:p>
      <w:pPr>
        <w:sectPr>
          <w:pgSz w:w="11900" w:h="16838" w:orient="portrait"/>
          <w:cols w:equalWidth="0" w:num="1">
            <w:col w:w="10159"/>
          </w:cols>
          <w:pgMar w:left="300" w:top="372" w:right="1440" w:bottom="1440" w:gutter="0" w:footer="0" w:header="0"/>
        </w:sectPr>
      </w:pPr>
    </w:p>
    <w:bookmarkStart w:id="429" w:name="page430"/>
    <w:bookmarkEnd w:id="4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could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$1,500,000 of such Working Capital Loans may be convertible into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had no borrowings under the Working Capital Loans.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Administrative Services Agreement</w:t>
      </w:r>
    </w:p>
    <w:p>
      <w:pPr>
        <w:spacing w:after="0" w:line="82"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The Company entered into an agreement that will provide that, commencing on October 7, 2020 through the earlier of consummation of the Business Combination and the liquidation, the Company will pay an affiliate of the Sponsor $10,000 per month for office space and administrative support services. For the three and six months ended June 30, 2021, the Company incurred approximately $30,000 and $60,000, respectively, within General and administrative expenses – related party. As of June 30, 2021 there was $0 in accounts payable – related party outstanding, as reflected in the accompanying unaudited condensed balance sheets.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5—Commitments &amp; Contingencies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Registration and Stockholder Rights</w:t>
      </w:r>
    </w:p>
    <w:p>
      <w:pPr>
        <w:spacing w:after="0" w:line="82"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The holders of the Founder Shares, Private Placement Warrants and warrants that may be issued upon conversion of Working Capital Loans (and any Class A common stock issuable upon the exercise of the Private Placement Warrants and warrants that may be issued upon conversion of Working Capital Loans) are entitled to registration rights pursuant to the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Business Combination. The Company will bear the expenses incurred in connection with the filing of any such registration statements.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Underwriting Agreement</w:t>
      </w:r>
    </w:p>
    <w:p>
      <w:pPr>
        <w:spacing w:after="0" w:line="8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underwriters were entitled to an underwriting discount of $0.20 per unit, or $8.0 million in the aggregate, paid upon the closing of the Initial Public Offering. In addition, $0.35 per unit, or $14.0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The underwriters agreed to make a payment to the Company in an amount of 0.13% of the gross proceeds of the Initial Public Offering, or $520,000, to reimburse certain of offering expenses. The Company received such reimbursement on October 27, 2020.</w:t>
      </w:r>
    </w:p>
    <w:p>
      <w:pPr>
        <w:spacing w:after="0" w:line="12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Upon closing of the Over-allotment on November 12, 2020, the underwriters received approximately $214,000 in fees paid upfront and eligible for an additional deferred underwriting commissions of approximately $375,000. In</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F-102</w:t>
      </w:r>
    </w:p>
    <w:p>
      <w:pPr>
        <w:sectPr>
          <w:pgSz w:w="11900" w:h="16838" w:orient="portrait"/>
          <w:cols w:equalWidth="0" w:num="1">
            <w:col w:w="10159"/>
          </w:cols>
          <w:pgMar w:left="300" w:top="372" w:right="1440" w:bottom="1440" w:gutter="0" w:footer="0" w:header="0"/>
        </w:sectPr>
      </w:pPr>
    </w:p>
    <w:bookmarkStart w:id="430" w:name="page431"/>
    <w:bookmarkEnd w:id="4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addition, the underwriters agreed to make an addition payment to the Company in an amount of 0.13% of the gross proceeds of the Over-allotment, or approximately $14,000, to reimburse certain of offering expenses. As of June 30, 2021, there was no outstanding balance.</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6—Stockholders’ Equity</w:t>
      </w:r>
    </w:p>
    <w:p>
      <w:pPr>
        <w:spacing w:after="0" w:line="82" w:lineRule="exact"/>
        <w:rPr>
          <w:sz w:val="20"/>
          <w:szCs w:val="20"/>
          <w:color w:val="auto"/>
        </w:rPr>
      </w:pPr>
    </w:p>
    <w:p>
      <w:pPr>
        <w:jc w:val="both"/>
        <w:ind w:left="1980" w:right="839"/>
        <w:spacing w:after="0" w:line="263" w:lineRule="auto"/>
        <w:rPr>
          <w:sz w:val="20"/>
          <w:szCs w:val="20"/>
          <w:color w:val="auto"/>
        </w:rPr>
      </w:pP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 The Company is authorized to issue 1,000,000 shares of preferred stock, par value $0.0001 per share, with such designations, voting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other rights and preferences as may be determined from time to time by the Company’s board of directors. As of June 30, 2021, there were no shares of preferred stock issued or outstanding.</w:t>
      </w:r>
    </w:p>
    <w:p>
      <w:pPr>
        <w:spacing w:after="0" w:line="122" w:lineRule="exact"/>
        <w:rPr>
          <w:sz w:val="20"/>
          <w:szCs w:val="20"/>
          <w:color w:val="auto"/>
        </w:rPr>
      </w:pPr>
    </w:p>
    <w:p>
      <w:pPr>
        <w:jc w:val="both"/>
        <w:ind w:left="1980" w:right="899"/>
        <w:spacing w:after="0" w:line="298" w:lineRule="auto"/>
        <w:rPr>
          <w:sz w:val="20"/>
          <w:szCs w:val="20"/>
          <w:color w:val="auto"/>
        </w:rPr>
      </w:pPr>
      <w:r>
        <w:rPr>
          <w:rFonts w:ascii="Arial" w:cs="Arial" w:eastAsia="Arial" w:hAnsi="Arial"/>
          <w:sz w:val="11"/>
          <w:szCs w:val="11"/>
          <w:b w:val="1"/>
          <w:bCs w:val="1"/>
          <w:i w:val="1"/>
          <w:iCs w:val="1"/>
          <w:color w:val="auto"/>
        </w:rPr>
        <w:t>Class A Common Stock</w:t>
      </w:r>
      <w:r>
        <w:rPr>
          <w:rFonts w:ascii="Arial" w:cs="Arial" w:eastAsia="Arial" w:hAnsi="Arial"/>
          <w:sz w:val="11"/>
          <w:szCs w:val="11"/>
          <w:color w:val="auto"/>
        </w:rPr>
        <w:t>— The Company is authorized to issue 400,000,000 shares of Class A common stock with a par value of $0.0001 per share. As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June 30, 2021, there were 41,071,823 shares of Class A common stock outstanding, including 33,639,240 shares of Class A common stock subject to possible redemption that were classified as temporary equity in the accompanying balance sheet.</w:t>
      </w:r>
    </w:p>
    <w:p>
      <w:pPr>
        <w:spacing w:after="0" w:line="105"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b w:val="1"/>
          <w:bCs w:val="1"/>
          <w:i w:val="1"/>
          <w:iCs w:val="1"/>
          <w:color w:val="auto"/>
        </w:rPr>
        <w:t>Class B Common Stock</w:t>
      </w:r>
      <w:r>
        <w:rPr>
          <w:rFonts w:ascii="Arial" w:cs="Arial" w:eastAsia="Arial" w:hAnsi="Arial"/>
          <w:sz w:val="11"/>
          <w:szCs w:val="11"/>
          <w:color w:val="auto"/>
        </w:rPr>
        <w:t>— The Company is authorized to issue 40,000,000 shares of Class B common stock with a par value of $0.0001 per share. 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July 23, 2020, an affiliate of the Sponsor paid an aggregate of $25,000 for certain expenses on behalf of the Company in exchange for issuance of 14,375,000 shares of Class B common stock, with such shares subsequently transferred to the Sponsor. On October 6, 2020, the Sponsor surrendered 2,875,000 shares of Class B common stock to the Company for no consideration, resulting in a decrease of the outstanding Class B common stock from 14,375,000 shares to 11,500,000 shares. All shares and associated amounts have been retroactively restated to reflect the share surrender. Of these, an aggregate of up to 1,500,000 shares of Class B common stock that are subject to forfeiture to the Company by the initial stockholders for no consideration to the extent that the underwriters’ over-allotment option is not exercised in full or in part, so that the number of Founder Shares will equal 20% of the Company’s issued and outstanding shares of common stock after the Initial Public Offering. The underwriters partially exercised their over-allotment option on November 12, 2020, and the remaining over-allotment expired unexercised on November 20, 2020 resulting in the forfeiture of 1,232,044 Class B common shares. As of June 30, 2021, 10,267,956 shares of Class B common stock were outstanding with no shares subject to forfeiture.</w:t>
      </w:r>
    </w:p>
    <w:p>
      <w:pPr>
        <w:spacing w:after="0" w:line="11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Stockholders of record are entitled to one vote for each share held on all matters to be voted on by stockholders. Holders of our Class A common stock and holders of our Class B common stock will vote together as a single class on all matters submitted to a vote of our stockholders except as required by law.</w:t>
      </w:r>
    </w:p>
    <w:p>
      <w:pPr>
        <w:spacing w:after="0" w:line="122"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The Class B common stock will automatically convert into Class A common stock on the first business day following the completion of the Business Combination at a ratio such that the number of shares of Class A common stock issuable upon conversion of all Founder Shares will equal, in the aggregate, on an as-converted basis, 20% of the sum of (i) the total number of shares of Class A common stock issued and outstanding upon completion of the Initial Public Offering, plus (ii) the sum of (a) the total number of shares of Class A common stock issued or deemed issued or issuable upon conversion or exercise of any equity-linked securities or rights issued or deemed issued, by the Company in connection with or in relation to the completion of the Business Combination, excluding any shares of Class A common stock or equity-linked securities exercisable for or convertible into shares of Class A common stock issued, or to be issued, to any seller in the initial Business Combination and any Private Placement Warrants issued to the Sponsor upon conversion of Working Capital Loans, minus (b) the number of Public Shares redeemed by Public Stockholders in connection with the initial Business Combination. In no event will the shares of Class B common stock convert into shares of Class A common stock at a rate of less than one to one.</w:t>
      </w:r>
    </w:p>
    <w:p>
      <w:pPr>
        <w:spacing w:after="0" w:line="74"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F-103</w:t>
      </w:r>
    </w:p>
    <w:p>
      <w:pPr>
        <w:sectPr>
          <w:pgSz w:w="11900" w:h="16838" w:orient="portrait"/>
          <w:cols w:equalWidth="0" w:num="1">
            <w:col w:w="10159"/>
          </w:cols>
          <w:pgMar w:left="300" w:top="372" w:right="1440" w:bottom="1440" w:gutter="0" w:footer="0" w:header="0"/>
        </w:sectPr>
      </w:pPr>
    </w:p>
    <w:bookmarkStart w:id="431" w:name="page432"/>
    <w:bookmarkEnd w:id="4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7—Warrants</w:t>
      </w:r>
    </w:p>
    <w:p>
      <w:pPr>
        <w:spacing w:after="0" w:line="82"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and (b) 12 months from the closing of the Initial Public Offering; provided in each case that the Company has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holders are permitted to exercise their warrants on a cashless basis under the circumstances specified in the warrant agreement as a result of (i) the Company’s failure to have an effective registration statement by the 60th business day after the closing of the initial Business Combination or (ii) a notice of redemption described below under “Redemption of warrants when the price per Class A common stock equals or exceeds $10.00”). If and when the warrants become redeemable by the Company, the Company may exercise its redemption right even if the Company is unable to register or qualify the underlying securities for sale under all applicable state securities laws.</w:t>
      </w:r>
    </w:p>
    <w:p>
      <w:pPr>
        <w:spacing w:after="0" w:line="119" w:lineRule="exact"/>
        <w:rPr>
          <w:sz w:val="20"/>
          <w:szCs w:val="20"/>
          <w:color w:val="auto"/>
        </w:rPr>
      </w:pPr>
    </w:p>
    <w:p>
      <w:pPr>
        <w:ind w:left="1980" w:right="1039"/>
        <w:spacing w:after="0" w:line="280" w:lineRule="auto"/>
        <w:rPr>
          <w:sz w:val="20"/>
          <w:szCs w:val="20"/>
          <w:color w:val="auto"/>
        </w:rPr>
      </w:pPr>
      <w:r>
        <w:rPr>
          <w:rFonts w:ascii="Arial" w:cs="Arial" w:eastAsia="Arial" w:hAnsi="Arial"/>
          <w:sz w:val="11"/>
          <w:szCs w:val="11"/>
          <w:color w:val="auto"/>
        </w:rPr>
        <w:t>The Company is not registering the shares of Class A common stock issuable upon exercise of the warrants at this time. However, the Company has agreed that as soon as practicable, but in no event later than twenty business days after the closing of the initial Business Combination, the Company will use its commercially reasonable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If a registration statement covering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15" w:lineRule="exact"/>
        <w:rPr>
          <w:sz w:val="20"/>
          <w:szCs w:val="20"/>
          <w:color w:val="auto"/>
        </w:rPr>
      </w:pPr>
    </w:p>
    <w:p>
      <w:pPr>
        <w:ind w:left="1980" w:right="859"/>
        <w:spacing w:after="0" w:line="306" w:lineRule="auto"/>
        <w:rPr>
          <w:sz w:val="20"/>
          <w:szCs w:val="20"/>
          <w:color w:val="auto"/>
        </w:rPr>
      </w:pPr>
      <w:r>
        <w:rPr>
          <w:rFonts w:ascii="Arial" w:cs="Arial" w:eastAsia="Arial" w:hAnsi="Arial"/>
          <w:sz w:val="10"/>
          <w:szCs w:val="10"/>
          <w:color w:val="auto"/>
        </w:rPr>
        <w:t>The warrants will have an exercise price of $11.50 per share and will expire five years after the completion of a Business Combination or earlier upon redemption or liquidation.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to the extent that such issuance is made to the Sponsor or its affiliates, without taking into account the transfer of Founder Shares or Private Placement Warrants (including if such transfer is effectuated as a surrender to the Company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volume-weighted average trading price of Class A common stock during the 20 trading day period starting on the trading day prior to the day on which the Company completes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under “Redemption of warrants when the price per Class A common stock equals or exceeds $18.00” and “Redemption of warrants when the price per Class A common stock equals or exceeds $10.00” will be adjusted (to the nearest cent) to be equal to 100% and 180% of the higher of the Market Value and the Newly Issued Price, respectively.</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F-104</w:t>
      </w:r>
    </w:p>
    <w:p>
      <w:pPr>
        <w:sectPr>
          <w:pgSz w:w="11900" w:h="16838" w:orient="portrait"/>
          <w:cols w:equalWidth="0" w:num="1">
            <w:col w:w="10159"/>
          </w:cols>
          <w:pgMar w:left="300" w:top="372" w:right="1440" w:bottom="1440" w:gutter="0" w:footer="0" w:header="0"/>
        </w:sectPr>
      </w:pPr>
    </w:p>
    <w:bookmarkStart w:id="432" w:name="page433"/>
    <w:bookmarkEnd w:id="4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979"/>
        <w:spacing w:after="0" w:line="340" w:lineRule="auto"/>
        <w:rPr>
          <w:sz w:val="20"/>
          <w:szCs w:val="20"/>
          <w:color w:val="auto"/>
        </w:rPr>
      </w:pPr>
      <w:r>
        <w:rPr>
          <w:rFonts w:ascii="Arial" w:cs="Arial" w:eastAsia="Arial" w:hAnsi="Arial"/>
          <w:sz w:val="10"/>
          <w:szCs w:val="10"/>
          <w:color w:val="auto"/>
        </w:rPr>
        <w:t>The Private Placement Warrants will be identical to the Public Warrants, except that the Private Placement Warrants (including the Class A common stock issuable upon exercise of the Private Placement Warrants) will not be transferable, assignable or salable until 30 days after the completion of the initial Business Combination and they will not be redeemable by the Company so long as they are held by the Sponsor or its permitted transferees.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Redemption of warrants when the price per share of our Class A common stock equals or exceeds $18.00:</w:t>
      </w:r>
    </w:p>
    <w:p>
      <w:pPr>
        <w:spacing w:after="0" w:line="78"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Once the warrants become exercisable, the Company may redeem the outstanding warrants (except as described herein with respect to the Private Placement Warrants):</w:t>
      </w:r>
    </w:p>
    <w:p>
      <w:pPr>
        <w:spacing w:after="0" w:line="52" w:lineRule="exact"/>
        <w:rPr>
          <w:sz w:val="20"/>
          <w:szCs w:val="20"/>
          <w:color w:val="auto"/>
        </w:rPr>
      </w:pPr>
    </w:p>
    <w:p>
      <w:pPr>
        <w:ind w:left="2620" w:hanging="288"/>
        <w:spacing w:after="0"/>
        <w:tabs>
          <w:tab w:leader="none" w:pos="26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at a price of $0.01 per warrant;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upon a minimum of 30 days ‘prior written notice of redemption; and</w:t>
      </w:r>
    </w:p>
    <w:p>
      <w:pPr>
        <w:spacing w:after="0" w:line="87" w:lineRule="exact"/>
        <w:rPr>
          <w:rFonts w:ascii="Arial" w:cs="Arial" w:eastAsia="Arial" w:hAnsi="Arial"/>
          <w:sz w:val="12"/>
          <w:szCs w:val="12"/>
          <w:color w:val="auto"/>
        </w:rPr>
      </w:pPr>
    </w:p>
    <w:p>
      <w:pPr>
        <w:ind w:left="2620" w:right="999" w:hanging="288"/>
        <w:spacing w:after="0" w:line="340" w:lineRule="auto"/>
        <w:tabs>
          <w:tab w:leader="none" w:pos="2620" w:val="left"/>
        </w:tabs>
        <w:numPr>
          <w:ilvl w:val="0"/>
          <w:numId w:val="206"/>
        </w:numPr>
        <w:rPr>
          <w:rFonts w:ascii="Arial" w:cs="Arial" w:eastAsia="Arial" w:hAnsi="Arial"/>
          <w:sz w:val="10"/>
          <w:szCs w:val="10"/>
          <w:color w:val="auto"/>
        </w:rPr>
      </w:pPr>
      <w:r>
        <w:rPr>
          <w:rFonts w:ascii="Arial" w:cs="Arial" w:eastAsia="Arial" w:hAnsi="Arial"/>
          <w:sz w:val="10"/>
          <w:szCs w:val="10"/>
          <w:color w:val="auto"/>
        </w:rPr>
        <w:t>if, and only if, the last reported sale price of Class A common stock for any 20 trading days within a 30-trading day period ending on the third trading day prior to the date on which the Company sends the notice of redemption to the warrant holders (the “Reference Value”) equals or exceeds $18.00 per share (as adjusted for stock splits, stock capitalizations, reorganizations, recapitalizations and the like).</w:t>
      </w:r>
    </w:p>
    <w:p>
      <w:pPr>
        <w:spacing w:after="0" w:line="87"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However, in this case, the Company will not redeem the warrants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Any such exercise would not be on a “cashless” basis and would require the exercising warrant holder to pay the exercise price for each warrant being exercised.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Redemption of warrants when the price per share of our Class A common stock equals or exceeds $10.00</w:t>
      </w:r>
    </w:p>
    <w:p>
      <w:pPr>
        <w:spacing w:after="0" w:line="78"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Once the warrants become exercisable, the Company may redeem the outstanding warrants (except as described herein with respect to the Private Placement Warrants):</w:t>
      </w:r>
    </w:p>
    <w:p>
      <w:pPr>
        <w:spacing w:after="0" w:line="52" w:lineRule="exact"/>
        <w:rPr>
          <w:sz w:val="20"/>
          <w:szCs w:val="20"/>
          <w:color w:val="auto"/>
        </w:rPr>
      </w:pPr>
    </w:p>
    <w:p>
      <w:pPr>
        <w:ind w:left="2620" w:hanging="288"/>
        <w:spacing w:after="0"/>
        <w:tabs>
          <w:tab w:leader="none" w:pos="2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87"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59"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if, and only if, the Reference Value equals or exceeds $10.00 per share (as adjusted for stock splits, stock dividends, rights issuances, subdivisions, reorganizations, recapitalizations and the like); and</w:t>
      </w:r>
    </w:p>
    <w:p>
      <w:pPr>
        <w:spacing w:after="0" w:line="51" w:lineRule="exact"/>
        <w:rPr>
          <w:rFonts w:ascii="Arial" w:cs="Arial" w:eastAsia="Arial" w:hAnsi="Arial"/>
          <w:sz w:val="12"/>
          <w:szCs w:val="12"/>
          <w:color w:val="auto"/>
        </w:rPr>
      </w:pPr>
    </w:p>
    <w:p>
      <w:pPr>
        <w:ind w:left="2620" w:right="1099" w:hanging="288"/>
        <w:spacing w:after="0" w:line="259" w:lineRule="auto"/>
        <w:tabs>
          <w:tab w:leader="none" w:pos="26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if the Reference Value is less than $18.00 per share (as adjusted for stock splits, stock dividends, rights issuances, subdivisions, reorganizations, recapitalizations and the like), the Private Placement Warrants must also concurrently be called for redemption on the same terms (except as described herein with respect to a holder’s ability to cashless exercise its warrants) as the outstanding Public Warrants, as described above.</w:t>
      </w:r>
    </w:p>
    <w:p>
      <w:pPr>
        <w:spacing w:after="0" w:line="124" w:lineRule="exact"/>
        <w:rPr>
          <w:sz w:val="20"/>
          <w:szCs w:val="20"/>
          <w:color w:val="auto"/>
        </w:rPr>
      </w:pPr>
    </w:p>
    <w:p>
      <w:pPr>
        <w:jc w:val="both"/>
        <w:ind w:left="1980" w:right="1139"/>
        <w:spacing w:after="0" w:line="298" w:lineRule="auto"/>
        <w:rPr>
          <w:sz w:val="20"/>
          <w:szCs w:val="20"/>
          <w:color w:val="auto"/>
        </w:rPr>
      </w:pPr>
      <w:r>
        <w:rPr>
          <w:rFonts w:ascii="Arial" w:cs="Arial" w:eastAsia="Arial" w:hAnsi="Arial"/>
          <w:sz w:val="11"/>
          <w:szCs w:val="11"/>
          <w:color w:val="auto"/>
        </w:rPr>
        <w:t>The “fair market value” of Class A common stock shall mean the volume-weighted average price of Class A common stock for the 10 trading days immediately following the date on which the notice of redemption is sent to the holders of warrants. In no event will the warrants be exercisable in connection with this redemption feature for more than 0.361 shares of Class A common stock per warrant (subject to adjustment).</w:t>
      </w:r>
    </w:p>
    <w:p>
      <w:pPr>
        <w:spacing w:after="0" w:line="6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F-105</w:t>
      </w:r>
    </w:p>
    <w:p>
      <w:pPr>
        <w:sectPr>
          <w:pgSz w:w="11900" w:h="16838" w:orient="portrait"/>
          <w:cols w:equalWidth="0" w:num="1">
            <w:col w:w="10159"/>
          </w:cols>
          <w:pgMar w:left="300" w:top="372" w:right="1440" w:bottom="1440" w:gutter="0" w:footer="0" w:header="0"/>
        </w:sectPr>
      </w:pPr>
    </w:p>
    <w:bookmarkStart w:id="433" w:name="page434"/>
    <w:bookmarkEnd w:id="4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8—Fair Value Measurements</w:t>
      </w:r>
    </w:p>
    <w:p>
      <w:pPr>
        <w:spacing w:after="0" w:line="82" w:lineRule="exact"/>
        <w:rPr>
          <w:sz w:val="20"/>
          <w:szCs w:val="20"/>
          <w:color w:val="auto"/>
        </w:rPr>
      </w:pPr>
    </w:p>
    <w:p>
      <w:pPr>
        <w:ind w:left="1980" w:right="1019"/>
        <w:spacing w:after="0" w:line="323" w:lineRule="auto"/>
        <w:rPr>
          <w:sz w:val="20"/>
          <w:szCs w:val="20"/>
          <w:color w:val="auto"/>
        </w:rPr>
      </w:pPr>
      <w:r>
        <w:rPr>
          <w:rFonts w:ascii="Arial" w:cs="Arial" w:eastAsia="Arial" w:hAnsi="Arial"/>
          <w:sz w:val="11"/>
          <w:szCs w:val="11"/>
          <w:color w:val="auto"/>
        </w:rPr>
        <w:t>The following table presents information about the Company’s financial assets and liabilities that are measured at fair value on a recurring basis as of June 30, 2021 and indicates the fair value hierarchy of the valuation techniques that the Company utilized to determine such fair value.</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w w:val="85"/>
              </w:rPr>
              <w:t>Fair Value Measured as of June 30, 2021</w:t>
            </w:r>
          </w:p>
        </w:tc>
        <w:tc>
          <w:tcPr>
            <w:tcW w:w="8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68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Quoted Prices in</w:t>
            </w:r>
          </w:p>
        </w:tc>
        <w:tc>
          <w:tcPr>
            <w:tcW w:w="500" w:type="dxa"/>
            <w:vAlign w:val="bottom"/>
          </w:tcPr>
          <w:p>
            <w:pPr>
              <w:spacing w:after="0"/>
              <w:rPr>
                <w:sz w:val="6"/>
                <w:szCs w:val="6"/>
                <w:color w:val="auto"/>
              </w:rPr>
            </w:pPr>
          </w:p>
        </w:tc>
        <w:tc>
          <w:tcPr>
            <w:tcW w:w="760" w:type="dxa"/>
            <w:vAlign w:val="bottom"/>
            <w:gridSpan w:val="2"/>
          </w:tcPr>
          <w:p>
            <w:pPr>
              <w:ind w:left="20"/>
              <w:spacing w:after="0" w:line="74" w:lineRule="exact"/>
              <w:rPr>
                <w:sz w:val="20"/>
                <w:szCs w:val="20"/>
                <w:color w:val="auto"/>
              </w:rPr>
            </w:pPr>
            <w:r>
              <w:rPr>
                <w:rFonts w:ascii="Arial" w:cs="Arial" w:eastAsia="Arial" w:hAnsi="Arial"/>
                <w:sz w:val="8"/>
                <w:szCs w:val="8"/>
                <w:b w:val="1"/>
                <w:bCs w:val="1"/>
                <w:color w:val="auto"/>
              </w:rPr>
              <w:t>Significant Other</w:t>
            </w:r>
          </w:p>
        </w:tc>
        <w:tc>
          <w:tcPr>
            <w:tcW w:w="560" w:type="dxa"/>
            <w:vAlign w:val="bottom"/>
          </w:tcPr>
          <w:p>
            <w:pPr>
              <w:spacing w:after="0"/>
              <w:rPr>
                <w:sz w:val="6"/>
                <w:szCs w:val="6"/>
                <w:color w:val="auto"/>
              </w:rPr>
            </w:pPr>
          </w:p>
        </w:tc>
        <w:tc>
          <w:tcPr>
            <w:tcW w:w="800" w:type="dxa"/>
            <w:vAlign w:val="bottom"/>
          </w:tcPr>
          <w:p>
            <w:pPr>
              <w:jc w:val="right"/>
              <w:ind w:right="27"/>
              <w:spacing w:after="0" w:line="74" w:lineRule="exact"/>
              <w:rPr>
                <w:sz w:val="20"/>
                <w:szCs w:val="20"/>
                <w:color w:val="auto"/>
              </w:rPr>
            </w:pPr>
            <w:r>
              <w:rPr>
                <w:rFonts w:ascii="Arial" w:cs="Arial" w:eastAsia="Arial" w:hAnsi="Arial"/>
                <w:sz w:val="8"/>
                <w:szCs w:val="8"/>
                <w:b w:val="1"/>
                <w:bCs w:val="1"/>
                <w:color w:val="auto"/>
              </w:rPr>
              <w:t>Significant Other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6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Active Markets</w:t>
            </w:r>
          </w:p>
        </w:tc>
        <w:tc>
          <w:tcPr>
            <w:tcW w:w="500" w:type="dxa"/>
            <w:vAlign w:val="bottom"/>
          </w:tcPr>
          <w:p>
            <w:pPr>
              <w:spacing w:after="0"/>
              <w:rPr>
                <w:sz w:val="8"/>
                <w:szCs w:val="8"/>
                <w:color w:val="auto"/>
              </w:rPr>
            </w:pPr>
          </w:p>
        </w:tc>
        <w:tc>
          <w:tcPr>
            <w:tcW w:w="7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w w:val="84"/>
              </w:rPr>
              <w:t>Observable Inputs</w:t>
            </w:r>
          </w:p>
        </w:tc>
        <w:tc>
          <w:tcPr>
            <w:tcW w:w="560" w:type="dxa"/>
            <w:vAlign w:val="bottom"/>
          </w:tcPr>
          <w:p>
            <w:pPr>
              <w:spacing w:after="0"/>
              <w:rPr>
                <w:sz w:val="8"/>
                <w:szCs w:val="8"/>
                <w:color w:val="auto"/>
              </w:rPr>
            </w:pPr>
          </w:p>
        </w:tc>
        <w:tc>
          <w:tcPr>
            <w:tcW w:w="8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w w:val="82"/>
              </w:rPr>
              <w:t>Unobservable Inputs</w:t>
            </w:r>
          </w:p>
        </w:tc>
        <w:tc>
          <w:tcPr>
            <w:tcW w:w="0" w:type="dxa"/>
            <w:vAlign w:val="bottom"/>
          </w:tcPr>
          <w:p>
            <w:pPr>
              <w:spacing w:after="0"/>
              <w:rPr>
                <w:sz w:val="1"/>
                <w:szCs w:val="1"/>
                <w:color w:val="auto"/>
              </w:rPr>
            </w:pPr>
          </w:p>
        </w:tc>
      </w:tr>
      <w:tr>
        <w:trPr>
          <w:trHeight w:val="115"/>
        </w:trPr>
        <w:tc>
          <w:tcPr>
            <w:tcW w:w="4000" w:type="dxa"/>
            <w:vAlign w:val="bottom"/>
            <w:gridSpan w:val="2"/>
            <w:vMerge w:val="continue"/>
          </w:tcPr>
          <w:p>
            <w:pPr>
              <w:spacing w:after="0"/>
              <w:rPr>
                <w:sz w:val="10"/>
                <w:szCs w:val="10"/>
                <w:color w:val="auto"/>
              </w:rPr>
            </w:pPr>
          </w:p>
        </w:tc>
        <w:tc>
          <w:tcPr>
            <w:tcW w:w="68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(Level 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(Level 2)</w:t>
            </w:r>
          </w:p>
        </w:tc>
        <w:tc>
          <w:tcPr>
            <w:tcW w:w="560" w:type="dxa"/>
            <w:vAlign w:val="bottom"/>
          </w:tcPr>
          <w:p>
            <w:pPr>
              <w:spacing w:after="0"/>
              <w:rPr>
                <w:sz w:val="10"/>
                <w:szCs w:val="10"/>
                <w:color w:val="auto"/>
              </w:rPr>
            </w:pPr>
          </w:p>
        </w:tc>
        <w:tc>
          <w:tcPr>
            <w:tcW w:w="840" w:type="dxa"/>
            <w:vAlign w:val="bottom"/>
            <w:gridSpan w:val="2"/>
          </w:tcPr>
          <w:p>
            <w:pPr>
              <w:jc w:val="right"/>
              <w:ind w:right="300"/>
              <w:spacing w:after="0" w:line="76" w:lineRule="exact"/>
              <w:rPr>
                <w:sz w:val="20"/>
                <w:szCs w:val="20"/>
                <w:color w:val="auto"/>
              </w:rPr>
            </w:pPr>
            <w:r>
              <w:rPr>
                <w:rFonts w:ascii="Arial" w:cs="Arial" w:eastAsia="Arial" w:hAnsi="Arial"/>
                <w:sz w:val="8"/>
                <w:szCs w:val="8"/>
                <w:b w:val="1"/>
                <w:bCs w:val="1"/>
                <w:color w:val="auto"/>
              </w:rPr>
              <w:t>(Level 3)</w:t>
            </w:r>
          </w:p>
        </w:tc>
        <w:tc>
          <w:tcPr>
            <w:tcW w:w="0" w:type="dxa"/>
            <w:vAlign w:val="bottom"/>
          </w:tcPr>
          <w:p>
            <w:pPr>
              <w:spacing w:after="0"/>
              <w:rPr>
                <w:sz w:val="1"/>
                <w:szCs w:val="1"/>
                <w:color w:val="auto"/>
              </w:rPr>
            </w:pPr>
          </w:p>
        </w:tc>
      </w:tr>
      <w:tr>
        <w:trPr>
          <w:trHeight w:val="122"/>
        </w:trPr>
        <w:tc>
          <w:tcPr>
            <w:tcW w:w="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Assets:</w:t>
            </w:r>
          </w:p>
        </w:tc>
        <w:tc>
          <w:tcPr>
            <w:tcW w:w="35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CCEEFF"/>
              <w:lef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right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color w:val="auto"/>
              </w:rPr>
              <w:t>Investments held in Trust Account—U.S. Treasury securities</w:t>
            </w:r>
          </w:p>
        </w:tc>
        <w:tc>
          <w:tcPr>
            <w:tcW w:w="680" w:type="dxa"/>
            <w:vAlign w:val="bottom"/>
          </w:tcPr>
          <w:p>
            <w:pPr>
              <w:jc w:val="right"/>
              <w:spacing w:after="0"/>
              <w:rPr>
                <w:sz w:val="20"/>
                <w:szCs w:val="20"/>
                <w:color w:val="auto"/>
              </w:rPr>
            </w:pPr>
            <w:r>
              <w:rPr>
                <w:rFonts w:ascii="Arial" w:cs="Arial" w:eastAsia="Arial" w:hAnsi="Arial"/>
                <w:sz w:val="12"/>
                <w:szCs w:val="12"/>
                <w:color w:val="auto"/>
                <w:w w:val="88"/>
              </w:rPr>
              <w:t>$ 410,798,072</w:t>
            </w:r>
          </w:p>
        </w:tc>
        <w:tc>
          <w:tcPr>
            <w:tcW w:w="62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ind w:left="500"/>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680" w:type="dxa"/>
            <w:vAlign w:val="bottom"/>
            <w:shd w:val="clear" w:color="auto" w:fill="CCEEFF"/>
          </w:tcPr>
          <w:p>
            <w:pPr>
              <w:spacing w:after="0"/>
              <w:rPr>
                <w:sz w:val="12"/>
                <w:szCs w:val="12"/>
                <w:color w:val="auto"/>
              </w:rPr>
            </w:pP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color w:val="auto"/>
              </w:rPr>
              <w:t>Derivative warrant liabilities—public warrants</w:t>
            </w:r>
          </w:p>
        </w:tc>
        <w:tc>
          <w:tcPr>
            <w:tcW w:w="680" w:type="dxa"/>
            <w:vAlign w:val="bottom"/>
          </w:tcPr>
          <w:p>
            <w:pPr>
              <w:jc w:val="right"/>
              <w:spacing w:after="0"/>
              <w:rPr>
                <w:sz w:val="20"/>
                <w:szCs w:val="20"/>
                <w:color w:val="auto"/>
              </w:rPr>
            </w:pPr>
            <w:r>
              <w:rPr>
                <w:rFonts w:ascii="Arial" w:cs="Arial" w:eastAsia="Arial" w:hAnsi="Arial"/>
                <w:sz w:val="12"/>
                <w:szCs w:val="12"/>
                <w:color w:val="auto"/>
              </w:rPr>
              <w:t>31,625,300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warrant liabilities—private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15,730,120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color w:val="auto"/>
              </w:rPr>
              <w:t>Total Fair Value</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88"/>
              </w:rPr>
              <w:t>$ 442,423,372</w:t>
            </w:r>
          </w:p>
        </w:tc>
        <w:tc>
          <w:tcPr>
            <w:tcW w:w="62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ind w:left="500"/>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15,730,120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presents information about the Company’s financial assets and liabilities that are measured at fair value on a recurring basis as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December 31, 2020 by level within the fair value hierarchy:</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40" w:type="dxa"/>
            <w:vAlign w:val="bottom"/>
            <w:gridSpan w:val="6"/>
          </w:tcPr>
          <w:p>
            <w:pPr>
              <w:ind w:left="20"/>
              <w:spacing w:after="0"/>
              <w:rPr>
                <w:sz w:val="20"/>
                <w:szCs w:val="20"/>
                <w:color w:val="auto"/>
              </w:rPr>
            </w:pPr>
            <w:r>
              <w:rPr>
                <w:rFonts w:ascii="Arial" w:cs="Arial" w:eastAsia="Arial" w:hAnsi="Arial"/>
                <w:sz w:val="10"/>
                <w:szCs w:val="10"/>
                <w:b w:val="1"/>
                <w:bCs w:val="1"/>
                <w:color w:val="auto"/>
              </w:rPr>
              <w:t>Fair Value Measured as of December 31, 2020</w:t>
            </w:r>
          </w:p>
        </w:tc>
        <w:tc>
          <w:tcPr>
            <w:tcW w:w="0" w:type="dxa"/>
            <w:vAlign w:val="bottom"/>
          </w:tcPr>
          <w:p>
            <w:pPr>
              <w:spacing w:after="0"/>
              <w:rPr>
                <w:sz w:val="1"/>
                <w:szCs w:val="1"/>
                <w:color w:val="auto"/>
              </w:rPr>
            </w:pPr>
          </w:p>
        </w:tc>
      </w:tr>
      <w:tr>
        <w:trPr>
          <w:trHeight w:val="74"/>
        </w:trPr>
        <w:tc>
          <w:tcPr>
            <w:tcW w:w="4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70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Quoted Prices in</w:t>
            </w:r>
          </w:p>
        </w:tc>
        <w:tc>
          <w:tcPr>
            <w:tcW w:w="4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ind w:left="20"/>
              <w:spacing w:after="0" w:line="74" w:lineRule="exact"/>
              <w:rPr>
                <w:sz w:val="20"/>
                <w:szCs w:val="20"/>
                <w:color w:val="auto"/>
              </w:rPr>
            </w:pPr>
            <w:r>
              <w:rPr>
                <w:rFonts w:ascii="Arial" w:cs="Arial" w:eastAsia="Arial" w:hAnsi="Arial"/>
                <w:sz w:val="8"/>
                <w:szCs w:val="8"/>
                <w:b w:val="1"/>
                <w:bCs w:val="1"/>
                <w:color w:val="auto"/>
              </w:rPr>
              <w:t>Significant Other</w:t>
            </w:r>
          </w:p>
        </w:tc>
        <w:tc>
          <w:tcPr>
            <w:tcW w:w="5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ind w:right="6"/>
              <w:spacing w:after="0" w:line="74" w:lineRule="exact"/>
              <w:rPr>
                <w:sz w:val="20"/>
                <w:szCs w:val="20"/>
                <w:color w:val="auto"/>
              </w:rPr>
            </w:pPr>
            <w:r>
              <w:rPr>
                <w:rFonts w:ascii="Arial" w:cs="Arial" w:eastAsia="Arial" w:hAnsi="Arial"/>
                <w:sz w:val="8"/>
                <w:szCs w:val="8"/>
                <w:b w:val="1"/>
                <w:bCs w:val="1"/>
                <w:color w:val="auto"/>
              </w:rPr>
              <w:t>Significant Other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7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Active Markets</w:t>
            </w:r>
          </w:p>
        </w:tc>
        <w:tc>
          <w:tcPr>
            <w:tcW w:w="480" w:type="dxa"/>
            <w:vAlign w:val="bottom"/>
          </w:tcPr>
          <w:p>
            <w:pPr>
              <w:spacing w:after="0"/>
              <w:rPr>
                <w:sz w:val="8"/>
                <w:szCs w:val="8"/>
                <w:color w:val="auto"/>
              </w:rPr>
            </w:pPr>
          </w:p>
        </w:tc>
        <w:tc>
          <w:tcPr>
            <w:tcW w:w="7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w w:val="84"/>
              </w:rPr>
              <w:t>Observable Inputs</w:t>
            </w:r>
          </w:p>
        </w:tc>
        <w:tc>
          <w:tcPr>
            <w:tcW w:w="560" w:type="dxa"/>
            <w:vAlign w:val="bottom"/>
          </w:tcPr>
          <w:p>
            <w:pPr>
              <w:spacing w:after="0"/>
              <w:rPr>
                <w:sz w:val="8"/>
                <w:szCs w:val="8"/>
                <w:color w:val="auto"/>
              </w:rPr>
            </w:pPr>
          </w:p>
        </w:tc>
        <w:tc>
          <w:tcPr>
            <w:tcW w:w="8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w w:val="82"/>
              </w:rPr>
              <w:t>Unobservable Inputs</w:t>
            </w:r>
          </w:p>
        </w:tc>
        <w:tc>
          <w:tcPr>
            <w:tcW w:w="0" w:type="dxa"/>
            <w:vAlign w:val="bottom"/>
          </w:tcPr>
          <w:p>
            <w:pPr>
              <w:spacing w:after="0"/>
              <w:rPr>
                <w:sz w:val="1"/>
                <w:szCs w:val="1"/>
                <w:color w:val="auto"/>
              </w:rPr>
            </w:pPr>
          </w:p>
        </w:tc>
      </w:tr>
      <w:tr>
        <w:trPr>
          <w:trHeight w:val="115"/>
        </w:trPr>
        <w:tc>
          <w:tcPr>
            <w:tcW w:w="4000" w:type="dxa"/>
            <w:vAlign w:val="bottom"/>
            <w:gridSpan w:val="2"/>
            <w:vMerge w:val="continue"/>
          </w:tcPr>
          <w:p>
            <w:pPr>
              <w:spacing w:after="0"/>
              <w:rPr>
                <w:sz w:val="10"/>
                <w:szCs w:val="10"/>
                <w:color w:val="auto"/>
              </w:rPr>
            </w:pPr>
          </w:p>
        </w:tc>
        <w:tc>
          <w:tcPr>
            <w:tcW w:w="70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(Level 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(Level 2)</w:t>
            </w:r>
          </w:p>
        </w:tc>
        <w:tc>
          <w:tcPr>
            <w:tcW w:w="560" w:type="dxa"/>
            <w:vAlign w:val="bottom"/>
          </w:tcPr>
          <w:p>
            <w:pPr>
              <w:spacing w:after="0"/>
              <w:rPr>
                <w:sz w:val="10"/>
                <w:szCs w:val="10"/>
                <w:color w:val="auto"/>
              </w:rPr>
            </w:pPr>
          </w:p>
        </w:tc>
        <w:tc>
          <w:tcPr>
            <w:tcW w:w="840" w:type="dxa"/>
            <w:vAlign w:val="bottom"/>
            <w:gridSpan w:val="2"/>
          </w:tcPr>
          <w:p>
            <w:pPr>
              <w:jc w:val="center"/>
              <w:ind w:right="120"/>
              <w:spacing w:after="0" w:line="76" w:lineRule="exact"/>
              <w:rPr>
                <w:sz w:val="20"/>
                <w:szCs w:val="20"/>
                <w:color w:val="auto"/>
              </w:rPr>
            </w:pPr>
            <w:r>
              <w:rPr>
                <w:rFonts w:ascii="Arial" w:cs="Arial" w:eastAsia="Arial" w:hAnsi="Arial"/>
                <w:sz w:val="8"/>
                <w:szCs w:val="8"/>
                <w:b w:val="1"/>
                <w:bCs w:val="1"/>
                <w:color w:val="auto"/>
              </w:rPr>
              <w:t>(Level 3)</w:t>
            </w:r>
          </w:p>
        </w:tc>
        <w:tc>
          <w:tcPr>
            <w:tcW w:w="0" w:type="dxa"/>
            <w:vAlign w:val="bottom"/>
          </w:tcPr>
          <w:p>
            <w:pPr>
              <w:spacing w:after="0"/>
              <w:rPr>
                <w:sz w:val="1"/>
                <w:szCs w:val="1"/>
                <w:color w:val="auto"/>
              </w:rPr>
            </w:pPr>
          </w:p>
        </w:tc>
      </w:tr>
      <w:tr>
        <w:trPr>
          <w:trHeight w:val="122"/>
        </w:trPr>
        <w:tc>
          <w:tcPr>
            <w:tcW w:w="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Assets:</w:t>
            </w:r>
          </w:p>
        </w:tc>
        <w:tc>
          <w:tcPr>
            <w:tcW w:w="35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right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Investment held in Trust Account</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Treasury securities maturing on April 8, 2021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8"/>
              </w:rPr>
              <w:t>$ 410,803,122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color w:val="auto"/>
              </w:rPr>
              <w:t>Cash</w:t>
            </w:r>
          </w:p>
        </w:tc>
        <w:tc>
          <w:tcPr>
            <w:tcW w:w="700" w:type="dxa"/>
            <w:vAlign w:val="bottom"/>
          </w:tcPr>
          <w:p>
            <w:pPr>
              <w:jc w:val="right"/>
              <w:spacing w:after="0"/>
              <w:rPr>
                <w:sz w:val="20"/>
                <w:szCs w:val="20"/>
                <w:color w:val="auto"/>
              </w:rPr>
            </w:pPr>
            <w:r>
              <w:rPr>
                <w:rFonts w:ascii="Arial" w:cs="Arial" w:eastAsia="Arial" w:hAnsi="Arial"/>
                <w:sz w:val="12"/>
                <w:szCs w:val="12"/>
                <w:color w:val="auto"/>
              </w:rPr>
              <w:t>289</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4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7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color w:val="auto"/>
              </w:rPr>
              <w:t>Derivative warrant liabilities—public warrants</w:t>
            </w:r>
          </w:p>
        </w:tc>
        <w:tc>
          <w:tcPr>
            <w:tcW w:w="700" w:type="dxa"/>
            <w:vAlign w:val="bottom"/>
          </w:tcPr>
          <w:p>
            <w:pPr>
              <w:jc w:val="right"/>
              <w:spacing w:after="0"/>
              <w:rPr>
                <w:sz w:val="20"/>
                <w:szCs w:val="20"/>
                <w:color w:val="auto"/>
              </w:rPr>
            </w:pPr>
            <w:r>
              <w:rPr>
                <w:rFonts w:ascii="Arial" w:cs="Arial" w:eastAsia="Arial" w:hAnsi="Arial"/>
                <w:sz w:val="12"/>
                <w:szCs w:val="12"/>
                <w:color w:val="auto"/>
              </w:rPr>
              <w:t>32,652,100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4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warrant liabilities—private warrants</w:t>
            </w:r>
          </w:p>
        </w:tc>
        <w:tc>
          <w:tcPr>
            <w:tcW w:w="700" w:type="dxa"/>
            <w:vAlign w:val="bottom"/>
            <w:tcBorders>
              <w:bottom w:val="single" w:sz="8" w:color="auto"/>
              <w:right w:val="single" w:sz="8" w:color="CCEEFF"/>
            </w:tcBorders>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16,445,130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rPr>
                <w:sz w:val="20"/>
                <w:szCs w:val="20"/>
                <w:color w:val="auto"/>
              </w:rPr>
            </w:pPr>
            <w:r>
              <w:rPr>
                <w:rFonts w:ascii="Arial" w:cs="Arial" w:eastAsia="Arial" w:hAnsi="Arial"/>
                <w:sz w:val="12"/>
                <w:szCs w:val="12"/>
                <w:color w:val="auto"/>
              </w:rPr>
              <w:t>Total Fair Value</w:t>
            </w:r>
          </w:p>
        </w:tc>
        <w:tc>
          <w:tcPr>
            <w:tcW w:w="700" w:type="dxa"/>
            <w:vAlign w:val="bottom"/>
          </w:tcPr>
          <w:p>
            <w:pPr>
              <w:jc w:val="right"/>
              <w:spacing w:after="0"/>
              <w:rPr>
                <w:sz w:val="20"/>
                <w:szCs w:val="20"/>
                <w:color w:val="auto"/>
              </w:rPr>
            </w:pPr>
            <w:r>
              <w:rPr>
                <w:rFonts w:ascii="Arial" w:cs="Arial" w:eastAsia="Arial" w:hAnsi="Arial"/>
                <w:sz w:val="12"/>
                <w:szCs w:val="12"/>
                <w:color w:val="auto"/>
                <w:w w:val="88"/>
              </w:rPr>
              <w:t>$ 443,455,511</w:t>
            </w:r>
          </w:p>
        </w:tc>
        <w:tc>
          <w:tcPr>
            <w:tcW w:w="60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560" w:type="dxa"/>
            <w:vAlign w:val="bottom"/>
          </w:tcPr>
          <w:p>
            <w:pPr>
              <w:ind w:left="500"/>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16,445,130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color w:val="auto"/>
        </w:rPr>
        <w:t>Transfers to/from Levels 1, 2, and 3 are recognized at the beginning of the reporting period. There were no transfers between levels for the three and six months ended June 30, 2021.</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Level 1 assets include investments in U.S. government securities. The Company uses inputs such as actual trade data, benchmark yields, quoted market prices from dealers or brokers, and other similar sources to determine the fair value of its investments.</w:t>
      </w:r>
    </w:p>
    <w:p>
      <w:pPr>
        <w:spacing w:after="0" w:line="115"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The fair value of the Public Warrants has been measured by the observable listed trading price, a Level 1 measurement, as of June 30, 2021 and December 31, 2020. The fair value of the Private Placement Warrants is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F-106</w:t>
      </w:r>
    </w:p>
    <w:p>
      <w:pPr>
        <w:sectPr>
          <w:pgSz w:w="11900" w:h="16838" w:orient="portrait"/>
          <w:cols w:equalWidth="0" w:num="1">
            <w:col w:w="10159"/>
          </w:cols>
          <w:pgMar w:left="300" w:top="372" w:right="1440" w:bottom="1440" w:gutter="0" w:footer="0" w:header="0"/>
        </w:sectPr>
      </w:pPr>
    </w:p>
    <w:bookmarkStart w:id="434" w:name="page435"/>
    <w:bookmarkEnd w:id="4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MONTES ARCHIMEDES ACQUISITION CORP.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59" w:lineRule="exact"/>
        <w:rPr>
          <w:sz w:val="20"/>
          <w:szCs w:val="20"/>
          <w:color w:val="auto"/>
        </w:rPr>
      </w:pPr>
    </w:p>
    <w:p>
      <w:pPr>
        <w:ind w:left="1980" w:right="939"/>
        <w:spacing w:after="0" w:line="326" w:lineRule="auto"/>
        <w:rPr>
          <w:sz w:val="20"/>
          <w:szCs w:val="20"/>
          <w:color w:val="auto"/>
        </w:rPr>
      </w:pPr>
      <w:r>
        <w:rPr>
          <w:rFonts w:ascii="Arial" w:cs="Arial" w:eastAsia="Arial" w:hAnsi="Arial"/>
          <w:sz w:val="10"/>
          <w:szCs w:val="10"/>
          <w:color w:val="auto"/>
        </w:rPr>
        <w:t>estimated using a Binomial Lattice in a risk-neutral framework. Specifically, the future stock price of the Company is modeled assuming a Geometric Brownian Motion in a risk-neutral framework. For each modeled future price, the Warrant payoff is calculated based on the contractual terms (incorporating any optimal early exercise / redemption), and then discounted at the term-matched risk-free rate. The value of the Warrants is calculated as the probability-weighted present value over all future modeled payoffs with changes in fair value recognized in the statement of operations.</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three months ended June 30, 2021, the Company recognized a loss for the change in the fair value of warrant liabilities of approximately</w:t>
      </w:r>
    </w:p>
    <w:p>
      <w:pPr>
        <w:spacing w:after="0" w:line="26" w:lineRule="exact"/>
        <w:rPr>
          <w:sz w:val="20"/>
          <w:szCs w:val="20"/>
          <w:color w:val="auto"/>
        </w:rPr>
      </w:pPr>
    </w:p>
    <w:p>
      <w:pPr>
        <w:ind w:left="1980" w:right="919"/>
        <w:spacing w:after="0" w:line="306" w:lineRule="auto"/>
        <w:rPr>
          <w:sz w:val="20"/>
          <w:szCs w:val="20"/>
          <w:color w:val="auto"/>
        </w:rPr>
      </w:pPr>
      <w:r>
        <w:rPr>
          <w:rFonts w:ascii="Arial" w:cs="Arial" w:eastAsia="Arial" w:hAnsi="Arial"/>
          <w:sz w:val="11"/>
          <w:szCs w:val="11"/>
          <w:color w:val="auto"/>
        </w:rPr>
        <w:t>$21.2 million, presented on the accompanying statement of operations. For the six months ended June 30, 2021, the Company recognized a gain for the change in the fair value of warrant liabilities of approximately $1.7 million, presented on the accompanying statement of operations.</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change in the fair value of the level 3 derivative warrant liabilities for three and six months ended June 30, 2021 is summarized as follows:</w:t>
      </w:r>
    </w:p>
    <w:p>
      <w:pPr>
        <w:spacing w:after="0" w:line="188"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Derivative warrant liabilities at December 31, 2020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16,445,130</w:t>
            </w:r>
          </w:p>
        </w:tc>
      </w:tr>
      <w:tr>
        <w:trPr>
          <w:trHeight w:val="144"/>
        </w:trPr>
        <w:tc>
          <w:tcPr>
            <w:tcW w:w="4860" w:type="dxa"/>
            <w:vAlign w:val="bottom"/>
          </w:tcPr>
          <w:p>
            <w:pPr>
              <w:ind w:left="240"/>
              <w:spacing w:after="0"/>
              <w:rPr>
                <w:sz w:val="20"/>
                <w:szCs w:val="20"/>
                <w:color w:val="auto"/>
              </w:rPr>
            </w:pPr>
            <w:r>
              <w:rPr>
                <w:rFonts w:ascii="Arial" w:cs="Arial" w:eastAsia="Arial" w:hAnsi="Arial"/>
                <w:sz w:val="12"/>
                <w:szCs w:val="12"/>
                <w:color w:val="auto"/>
              </w:rPr>
              <w:t>Change in fair value of derivative warrant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(7,762,920)</w:t>
            </w: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Derivative warrant liabilities at March 31, 2021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8,682,210</w:t>
            </w:r>
          </w:p>
        </w:tc>
      </w:tr>
      <w:tr>
        <w:trPr>
          <w:trHeight w:val="144"/>
        </w:trPr>
        <w:tc>
          <w:tcPr>
            <w:tcW w:w="4860" w:type="dxa"/>
            <w:vAlign w:val="bottom"/>
          </w:tcPr>
          <w:p>
            <w:pPr>
              <w:ind w:left="240"/>
              <w:spacing w:after="0"/>
              <w:rPr>
                <w:sz w:val="20"/>
                <w:szCs w:val="20"/>
                <w:color w:val="auto"/>
              </w:rPr>
            </w:pPr>
            <w:r>
              <w:rPr>
                <w:rFonts w:ascii="Arial" w:cs="Arial" w:eastAsia="Arial" w:hAnsi="Arial"/>
                <w:sz w:val="12"/>
                <w:szCs w:val="12"/>
                <w:color w:val="auto"/>
              </w:rPr>
              <w:t>Change in fair value of derivative warrant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7,047,910</w:t>
            </w: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Derivative warrant liabilities at June 30, 2021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$ 15,730,120</w:t>
            </w:r>
          </w:p>
        </w:tc>
      </w:tr>
      <w:tr>
        <w:trPr>
          <w:trHeight w:val="297"/>
        </w:trPr>
        <w:tc>
          <w:tcPr>
            <w:tcW w:w="6600" w:type="dxa"/>
            <w:vAlign w:val="bottom"/>
            <w:gridSpan w:val="5"/>
          </w:tcPr>
          <w:p>
            <w:pPr>
              <w:spacing w:after="0"/>
              <w:rPr>
                <w:sz w:val="20"/>
                <w:szCs w:val="20"/>
                <w:color w:val="auto"/>
              </w:rPr>
            </w:pPr>
            <w:r>
              <w:rPr>
                <w:rFonts w:ascii="Arial" w:cs="Arial" w:eastAsia="Arial" w:hAnsi="Arial"/>
                <w:sz w:val="12"/>
                <w:szCs w:val="12"/>
                <w:color w:val="auto"/>
                <w:w w:val="94"/>
              </w:rPr>
              <w:t>The following table provides quantitative information regarding Level 3 fair value measurements inputs as their measurement dates: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486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0"/>
                <w:szCs w:val="10"/>
                <w:b w:val="1"/>
                <w:bCs w:val="1"/>
                <w:color w:val="auto"/>
              </w:rPr>
              <w:t>June 30, 2021</w:t>
            </w:r>
          </w:p>
        </w:tc>
        <w:tc>
          <w:tcPr>
            <w:tcW w:w="1140" w:type="dxa"/>
            <w:vAlign w:val="bottom"/>
            <w:gridSpan w:val="4"/>
          </w:tcPr>
          <w:p>
            <w:pPr>
              <w:spacing w:after="0"/>
              <w:rPr>
                <w:sz w:val="20"/>
                <w:szCs w:val="20"/>
                <w:color w:val="auto"/>
              </w:rPr>
            </w:pPr>
            <w:r>
              <w:rPr>
                <w:rFonts w:ascii="Arial" w:cs="Arial" w:eastAsia="Arial" w:hAnsi="Arial"/>
                <w:sz w:val="10"/>
                <w:szCs w:val="10"/>
                <w:b w:val="1"/>
                <w:bCs w:val="1"/>
                <w:color w:val="auto"/>
                <w:w w:val="95"/>
              </w:rPr>
              <w:t>As of December 31, 2020</w:t>
            </w:r>
          </w:p>
        </w:tc>
      </w:tr>
      <w:tr>
        <w:trPr>
          <w:trHeight w:val="133"/>
        </w:trPr>
        <w:tc>
          <w:tcPr>
            <w:tcW w:w="4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Exercise price</w:t>
            </w: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w w:val="79"/>
              </w:rPr>
              <w:t>11.50</w:t>
            </w:r>
          </w:p>
        </w:tc>
        <w:tc>
          <w:tcPr>
            <w:tcW w:w="8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860" w:type="dxa"/>
            <w:vAlign w:val="bottom"/>
          </w:tcPr>
          <w:p>
            <w:pPr>
              <w:spacing w:after="0"/>
              <w:rPr>
                <w:sz w:val="20"/>
                <w:szCs w:val="20"/>
                <w:color w:val="auto"/>
              </w:rPr>
            </w:pPr>
            <w:r>
              <w:rPr>
                <w:rFonts w:ascii="Arial" w:cs="Arial" w:eastAsia="Arial" w:hAnsi="Arial"/>
                <w:sz w:val="12"/>
                <w:szCs w:val="12"/>
                <w:color w:val="auto"/>
              </w:rPr>
              <w:t>Stock Price</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180" w:type="dxa"/>
            <w:vAlign w:val="bottom"/>
            <w:gridSpan w:val="2"/>
          </w:tcPr>
          <w:p>
            <w:pPr>
              <w:ind w:left="180"/>
              <w:spacing w:after="0"/>
              <w:rPr>
                <w:sz w:val="20"/>
                <w:szCs w:val="20"/>
                <w:color w:val="auto"/>
              </w:rPr>
            </w:pPr>
            <w:r>
              <w:rPr>
                <w:rFonts w:ascii="Arial" w:cs="Arial" w:eastAsia="Arial" w:hAnsi="Arial"/>
                <w:sz w:val="12"/>
                <w:szCs w:val="12"/>
                <w:color w:val="auto"/>
              </w:rPr>
              <w:t>9.89</w:t>
            </w:r>
          </w:p>
        </w:tc>
        <w:tc>
          <w:tcPr>
            <w:tcW w:w="40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12"/>
                <w:szCs w:val="12"/>
                <w:color w:val="auto"/>
              </w:rPr>
            </w:pP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23.1%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22.8%</w:t>
            </w:r>
          </w:p>
        </w:tc>
      </w:tr>
      <w:tr>
        <w:trPr>
          <w:trHeight w:val="144"/>
        </w:trPr>
        <w:tc>
          <w:tcPr>
            <w:tcW w:w="4860" w:type="dxa"/>
            <w:vAlign w:val="bottom"/>
          </w:tcPr>
          <w:p>
            <w:pPr>
              <w:spacing w:after="0"/>
              <w:rPr>
                <w:sz w:val="20"/>
                <w:szCs w:val="20"/>
                <w:color w:val="auto"/>
              </w:rPr>
            </w:pPr>
            <w:r>
              <w:rPr>
                <w:rFonts w:ascii="Arial" w:cs="Arial" w:eastAsia="Arial" w:hAnsi="Arial"/>
                <w:sz w:val="12"/>
                <w:szCs w:val="12"/>
                <w:color w:val="auto"/>
              </w:rPr>
              <w:t>Risk-free rate</w:t>
            </w:r>
          </w:p>
        </w:tc>
        <w:tc>
          <w:tcPr>
            <w:tcW w:w="160" w:type="dxa"/>
            <w:vAlign w:val="bottom"/>
          </w:tcPr>
          <w:p>
            <w:pPr>
              <w:spacing w:after="0"/>
              <w:rPr>
                <w:sz w:val="12"/>
                <w:szCs w:val="12"/>
                <w:color w:val="auto"/>
              </w:rPr>
            </w:pPr>
          </w:p>
        </w:tc>
        <w:tc>
          <w:tcPr>
            <w:tcW w:w="1180" w:type="dxa"/>
            <w:vAlign w:val="bottom"/>
            <w:gridSpan w:val="2"/>
          </w:tcPr>
          <w:p>
            <w:pPr>
              <w:ind w:left="180"/>
              <w:spacing w:after="0"/>
              <w:rPr>
                <w:sz w:val="20"/>
                <w:szCs w:val="20"/>
                <w:color w:val="auto"/>
              </w:rPr>
            </w:pPr>
            <w:r>
              <w:rPr>
                <w:rFonts w:ascii="Arial" w:cs="Arial" w:eastAsia="Arial" w:hAnsi="Arial"/>
                <w:sz w:val="12"/>
                <w:szCs w:val="12"/>
                <w:color w:val="auto"/>
              </w:rPr>
              <w:t>0.90%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0.42%</w:t>
            </w: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0.00%</w:t>
            </w:r>
          </w:p>
        </w:tc>
      </w:tr>
    </w:tbl>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Note 9—Subsequent Events</w:t>
      </w:r>
    </w:p>
    <w:p>
      <w:pPr>
        <w:spacing w:after="0" w:line="8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Management has evaluated subsequent events and transactions that occurred after the balance sheet date through the date the balance sheet was issued. Based on this review, the Company did not identify any subsequent events that would have required adjustment or disclosure in the unaudited condensed financial statements.</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F-107</w:t>
      </w:r>
    </w:p>
    <w:p>
      <w:pPr>
        <w:sectPr>
          <w:pgSz w:w="11900" w:h="16838" w:orient="portrait"/>
          <w:cols w:equalWidth="0" w:num="1">
            <w:col w:w="10159"/>
          </w:cols>
          <w:pgMar w:left="300" w:top="372" w:right="1440" w:bottom="1440" w:gutter="0" w:footer="0" w:header="0"/>
        </w:sectPr>
      </w:pPr>
    </w:p>
    <w:bookmarkStart w:id="435" w:name="page436"/>
    <w:bookmarkEnd w:id="43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161925</wp:posOffset>
            </wp:positionV>
            <wp:extent cx="466344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663440" cy="1714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201930</wp:posOffset>
            </wp:positionV>
            <wp:extent cx="466344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595,134,445 Common Shares</w:t>
      </w:r>
    </w:p>
    <w:p>
      <w:pPr>
        <w:spacing w:after="0" w:line="302"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30,750,261 Common Shares Issuable Upon Exercise of Warrants</w:t>
      </w:r>
    </w:p>
    <w:p>
      <w:pPr>
        <w:spacing w:after="0" w:line="314"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10,214,365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1742440</wp:posOffset>
            </wp:positionV>
            <wp:extent cx="98298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325120</wp:posOffset>
            </wp:positionV>
            <wp:extent cx="2217420" cy="5314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2174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166370</wp:posOffset>
            </wp:positionV>
            <wp:extent cx="98298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1075055</wp:posOffset>
            </wp:positionV>
            <wp:extent cx="466344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1109345</wp:posOffset>
            </wp:positionV>
            <wp:extent cx="466344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type w:val="continuous"/>
        </w:sectPr>
      </w:pPr>
    </w:p>
    <w:bookmarkStart w:id="436" w:name="page437"/>
    <w:bookmarkEnd w:id="4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87" w:lineRule="exact"/>
        <w:rPr>
          <w:sz w:val="20"/>
          <w:szCs w:val="20"/>
          <w:color w:val="auto"/>
        </w:rPr>
      </w:pPr>
    </w:p>
    <w:p>
      <w:pPr>
        <w:ind w:left="1980"/>
        <w:spacing w:after="0"/>
        <w:tabs>
          <w:tab w:leader="none" w:pos="268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Other Expenses of Issuance and Distribution.</w:t>
      </w:r>
    </w:p>
    <w:p>
      <w:pPr>
        <w:spacing w:after="0" w:line="82"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The following is an estimate of the expenses (all of which are to be paid by the registrant) that we may incur in connection with the securities being registered hereby.</w:t>
      </w:r>
    </w:p>
    <w:p>
      <w:pPr>
        <w:spacing w:after="0" w:line="135"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9"/>
              </w:rPr>
              <w:t>Amount</w:t>
            </w:r>
          </w:p>
        </w:tc>
      </w:tr>
      <w:tr>
        <w:trPr>
          <w:trHeight w:val="133"/>
        </w:trPr>
        <w:tc>
          <w:tcPr>
            <w:tcW w:w="4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SEC registration fee</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$387,280</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42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Accounting fees and expenses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420" w:type="dxa"/>
            <w:vAlign w:val="bottom"/>
          </w:tcPr>
          <w:p>
            <w:pPr>
              <w:spacing w:after="0"/>
              <w:rPr>
                <w:sz w:val="20"/>
                <w:szCs w:val="20"/>
                <w:color w:val="auto"/>
              </w:rPr>
            </w:pPr>
            <w:r>
              <w:rPr>
                <w:rFonts w:ascii="Arial" w:cs="Arial" w:eastAsia="Arial" w:hAnsi="Arial"/>
                <w:sz w:val="12"/>
                <w:szCs w:val="12"/>
                <w:color w:val="auto"/>
              </w:rPr>
              <w:t>Miscellaneous</w:t>
            </w:r>
          </w:p>
        </w:tc>
        <w:tc>
          <w:tcPr>
            <w:tcW w:w="460" w:type="dxa"/>
            <w:vAlign w:val="bottom"/>
            <w:tcBorders>
              <w:bottom w:val="single" w:sz="8" w:color="auto"/>
            </w:tcBorders>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4"/>
              </w:rPr>
              <w:t>*</w:t>
            </w:r>
          </w:p>
        </w:tc>
      </w:tr>
      <w:tr>
        <w:trPr>
          <w:trHeight w:val="149"/>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These fees are calculated based on the securities offered and the number of issuances and accordingly cannot be defined at this time.</w:t>
      </w:r>
    </w:p>
    <w:p>
      <w:pPr>
        <w:spacing w:after="0" w:line="78" w:lineRule="exact"/>
        <w:rPr>
          <w:sz w:val="20"/>
          <w:szCs w:val="20"/>
          <w:color w:val="auto"/>
        </w:rPr>
      </w:pPr>
    </w:p>
    <w:p>
      <w:pPr>
        <w:jc w:val="both"/>
        <w:ind w:left="1980" w:right="1179" w:firstLine="294"/>
        <w:spacing w:after="0" w:line="263" w:lineRule="auto"/>
        <w:rPr>
          <w:sz w:val="20"/>
          <w:szCs w:val="20"/>
          <w:color w:val="auto"/>
        </w:rPr>
      </w:pPr>
      <w:r>
        <w:rPr>
          <w:rFonts w:ascii="Arial" w:cs="Arial" w:eastAsia="Arial" w:hAnsi="Arial"/>
          <w:sz w:val="12"/>
          <w:szCs w:val="12"/>
          <w:color w:val="auto"/>
        </w:rPr>
        <w:t>We will bear all costs, expenses and fees in connection with the registration of the securities, including with regard to compliance with state securities or “blue sky” laws. The Holders, however, will bear all underwriting commissions and discounts, if any, attributable to their sale of the securities. All amounts are estimates except the SEC registration fee and the FINRA filing fee.</w:t>
      </w:r>
    </w:p>
    <w:p>
      <w:pPr>
        <w:spacing w:after="0" w:line="217" w:lineRule="exact"/>
        <w:rPr>
          <w:sz w:val="20"/>
          <w:szCs w:val="20"/>
          <w:color w:val="auto"/>
        </w:rPr>
      </w:pPr>
    </w:p>
    <w:p>
      <w:pPr>
        <w:ind w:left="1980"/>
        <w:spacing w:after="0"/>
        <w:tabs>
          <w:tab w:leader="none" w:pos="268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Indemnification of Directors and Officers.</w:t>
      </w:r>
    </w:p>
    <w:p>
      <w:pPr>
        <w:spacing w:after="0" w:line="8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13"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These indemnification agreements will provide the directors and executive officers with contractual rights to indemnification and expense advancement that are, in some cases, broader than the specific indemnification provisions contained under Bermuda law.</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2654300</wp:posOffset>
            </wp:positionV>
            <wp:extent cx="7214870" cy="539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68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Recent Sales of Unregistered Securities.</w:t>
      </w:r>
    </w:p>
    <w:p>
      <w:pPr>
        <w:spacing w:after="0" w:line="82" w:lineRule="exact"/>
        <w:rPr>
          <w:sz w:val="20"/>
          <w:szCs w:val="20"/>
          <w:color w:val="auto"/>
        </w:rPr>
      </w:pPr>
    </w:p>
    <w:p>
      <w:pPr>
        <w:jc w:val="both"/>
        <w:ind w:left="1980" w:right="879" w:firstLine="294"/>
        <w:spacing w:after="0" w:line="379" w:lineRule="auto"/>
        <w:rPr>
          <w:sz w:val="20"/>
          <w:szCs w:val="20"/>
          <w:color w:val="auto"/>
        </w:rPr>
      </w:pPr>
      <w:r>
        <w:rPr>
          <w:rFonts w:ascii="Arial" w:cs="Arial" w:eastAsia="Arial" w:hAnsi="Arial"/>
          <w:sz w:val="10"/>
          <w:szCs w:val="10"/>
          <w:color w:val="auto"/>
        </w:rPr>
        <w:t>The following sets forth information regarding all unregistered securities sold since January 1, 2018. Note that all Common Share totals presented below give effect to the 2.9262:1 share subdivision completed in connection with the Business Combination, rounding down to the nearest whole share.</w:t>
      </w:r>
    </w:p>
    <w:p>
      <w:pPr>
        <w:spacing w:after="0" w:line="6" w:lineRule="exact"/>
        <w:rPr>
          <w:sz w:val="20"/>
          <w:szCs w:val="20"/>
          <w:color w:val="auto"/>
        </w:rPr>
      </w:pPr>
    </w:p>
    <w:p>
      <w:pPr>
        <w:ind w:left="2620" w:right="939" w:hanging="288"/>
        <w:spacing w:after="0" w:line="276" w:lineRule="auto"/>
        <w:tabs>
          <w:tab w:leader="none" w:pos="26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the fiscal year ended March 31, 2019, we issued an aggregate of 17,539,045 Common Shares to various investment funds, institutional investors and other persons for aggregate consideration of approximately $193.3 million.</w:t>
      </w:r>
    </w:p>
    <w:p>
      <w:pPr>
        <w:spacing w:after="0" w:line="51"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December 2019, we issued 78,867,360 Common Shares to Sumitomo Dainippon Pharma Co., Ltd. in connection with the Transaction Agreement, dated as of October 31, 2019, by and among Sumitomo Dainippon Pharma Co., Ltd. and Roivant, for aggregate consideration of $1.0 billion.</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November 2020, we issued 1,387,481 Common Shares to a pharmaceutical company in connection with a strategic transaction at with an aggregate value of $20.0 million.</w:t>
      </w:r>
    </w:p>
    <w:p>
      <w:pPr>
        <w:spacing w:after="0" w:line="51"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On March 19, 2021 and September 29, 2021, we issued an aggregate of 22,250,195 Common Shares to Silicon Therapeutics LLC, in each case in connection with the Agreement and Plan of Merger, dated as of February 2, 2021, by and among Roivant, Silicon Insite, Inc., Silicon TX China and Silicon Therapeutics LLC, as consideration in connection with the transaction, with an aggregate value of approximately $304.2 million.</w:t>
      </w:r>
    </w:p>
    <w:p>
      <w:pPr>
        <w:spacing w:after="0" w:line="6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On September 30, 2021, we issued 22,000,000 Common Shares pursuant to the Subscription Agreements entered into in connection with the PIPE Financing for aggregate consideration of $220.0 million.</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21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2"/>
                <w:szCs w:val="12"/>
                <w:b w:val="1"/>
                <w:bCs w:val="1"/>
                <w:color w:val="auto"/>
                <w:w w:val="98"/>
              </w:rPr>
              <w:t>Item 16.</w:t>
            </w:r>
          </w:p>
        </w:tc>
        <w:tc>
          <w:tcPr>
            <w:tcW w:w="6800" w:type="dxa"/>
            <w:vAlign w:val="bottom"/>
            <w:gridSpan w:val="6"/>
          </w:tcPr>
          <w:p>
            <w:pPr>
              <w:ind w:left="260"/>
              <w:spacing w:after="0"/>
              <w:rPr>
                <w:sz w:val="20"/>
                <w:szCs w:val="20"/>
                <w:color w:val="auto"/>
              </w:rPr>
            </w:pPr>
            <w:r>
              <w:rPr>
                <w:rFonts w:ascii="Arial" w:cs="Arial" w:eastAsia="Arial" w:hAnsi="Arial"/>
                <w:sz w:val="12"/>
                <w:szCs w:val="12"/>
                <w:b w:val="1"/>
                <w:bCs w:val="1"/>
                <w:color w:val="auto"/>
              </w:rPr>
              <w:t>Exhibits.</w:t>
            </w:r>
          </w:p>
        </w:tc>
      </w:tr>
      <w:tr>
        <w:trPr>
          <w:trHeight w:val="26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Exhibit No.</w:t>
            </w:r>
          </w:p>
        </w:tc>
        <w:tc>
          <w:tcPr>
            <w:tcW w:w="640" w:type="dxa"/>
            <w:vAlign w:val="bottom"/>
          </w:tcPr>
          <w:p>
            <w:pPr>
              <w:spacing w:after="0"/>
              <w:rPr>
                <w:sz w:val="22"/>
                <w:szCs w:val="22"/>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Description of Exhibit</w:t>
            </w:r>
          </w:p>
        </w:tc>
        <w:tc>
          <w:tcPr>
            <w:tcW w:w="2900" w:type="dxa"/>
            <w:vAlign w:val="bottom"/>
            <w:gridSpan w:val="3"/>
          </w:tcPr>
          <w:p>
            <w:pPr>
              <w:spacing w:after="0"/>
              <w:rPr>
                <w:sz w:val="22"/>
                <w:szCs w:val="22"/>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2.1**</w:t>
            </w:r>
          </w:p>
        </w:tc>
        <w:tc>
          <w:tcPr>
            <w:tcW w:w="640" w:type="dxa"/>
            <w:vAlign w:val="bottom"/>
          </w:tcPr>
          <w:p>
            <w:pPr>
              <w:spacing w:after="0"/>
              <w:rPr>
                <w:sz w:val="15"/>
                <w:szCs w:val="15"/>
                <w:color w:val="auto"/>
              </w:rPr>
            </w:pPr>
          </w:p>
        </w:tc>
        <w:tc>
          <w:tcPr>
            <w:tcW w:w="5940" w:type="dxa"/>
            <w:vAlign w:val="bottom"/>
            <w:tcBorders>
              <w:bottom w:val="single" w:sz="8" w:color="0000EE"/>
            </w:tcBorders>
            <w:gridSpan w:val="3"/>
          </w:tcPr>
          <w:p>
            <w:pPr>
              <w:spacing w:after="0"/>
              <w:rPr>
                <w:rFonts w:ascii="Arial" w:cs="Arial" w:eastAsia="Arial" w:hAnsi="Arial"/>
                <w:sz w:val="12"/>
                <w:szCs w:val="12"/>
                <w:color w:val="0000EE"/>
                <w:w w:val="91"/>
              </w:rPr>
            </w:pPr>
            <w:hyperlink r:id="rId585">
              <w:r>
                <w:rPr>
                  <w:rFonts w:ascii="Arial" w:cs="Arial" w:eastAsia="Arial" w:hAnsi="Arial"/>
                  <w:sz w:val="12"/>
                  <w:szCs w:val="12"/>
                  <w:color w:val="0000EE"/>
                  <w:w w:val="91"/>
                </w:rPr>
                <w:t>Business Combination Agreement, dated as of May 1, 2021, by and among Montes Archimedes Acquisition Corp., Roivant</w:t>
              </w:r>
            </w:hyperlink>
          </w:p>
        </w:tc>
        <w:tc>
          <w:tcPr>
            <w:tcW w:w="220" w:type="dxa"/>
            <w:vAlign w:val="bottom"/>
            <w:gridSpan w:val="2"/>
          </w:tcPr>
          <w:p>
            <w:pPr>
              <w:spacing w:after="0"/>
              <w:rPr>
                <w:sz w:val="15"/>
                <w:szCs w:val="15"/>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6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585">
              <w:r>
                <w:rPr>
                  <w:rFonts w:ascii="Arial" w:cs="Arial" w:eastAsia="Arial" w:hAnsi="Arial"/>
                  <w:sz w:val="12"/>
                  <w:szCs w:val="12"/>
                  <w:color w:val="0000EE"/>
                  <w:w w:val="90"/>
                </w:rPr>
                <w:t>Sciences Ltd. and Rhine Merger Sub, Inc. (included as Annex A to the joint proxy statement/prospectus which is part of Roivant</w:t>
              </w:r>
            </w:hyperlink>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6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r:id="rId585">
              <w:r>
                <w:rPr>
                  <w:rFonts w:ascii="Arial" w:cs="Arial" w:eastAsia="Arial" w:hAnsi="Arial"/>
                  <w:sz w:val="12"/>
                  <w:szCs w:val="12"/>
                  <w:color w:val="0000EE"/>
                  <w:w w:val="91"/>
                </w:rPr>
                <w:t>Sciences Ltd.’s Form S-4 filed with the SEC on August 6, 2021) (incorporated by reference to Exhibit 2.1 to Roivant Sciences</w:t>
              </w:r>
            </w:hyperlink>
          </w:p>
        </w:tc>
        <w:tc>
          <w:tcPr>
            <w:tcW w:w="100" w:type="dxa"/>
            <w:vAlign w:val="bottom"/>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60" w:type="dxa"/>
            <w:vAlign w:val="bottom"/>
            <w:gridSpan w:val="5"/>
          </w:tcPr>
          <w:p>
            <w:pPr>
              <w:spacing w:after="0" w:line="124" w:lineRule="exact"/>
              <w:rPr>
                <w:rFonts w:ascii="Arial" w:cs="Arial" w:eastAsia="Arial" w:hAnsi="Arial"/>
                <w:sz w:val="12"/>
                <w:szCs w:val="12"/>
                <w:color w:val="0000EE"/>
              </w:rPr>
            </w:pPr>
            <w:hyperlink r:id="rId585">
              <w:r>
                <w:rPr>
                  <w:rFonts w:ascii="Arial" w:cs="Arial" w:eastAsia="Arial" w:hAnsi="Arial"/>
                  <w:sz w:val="12"/>
                  <w:szCs w:val="12"/>
                  <w:color w:val="0000EE"/>
                </w:rPr>
                <w:t>Ltd.’s Form 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159"/>
          </w:cols>
          <w:pgMar w:left="300" w:top="372" w:right="1440" w:bottom="0" w:gutter="0" w:footer="0" w:header="0"/>
        </w:sectPr>
      </w:pPr>
    </w:p>
    <w:bookmarkStart w:id="437" w:name="page438"/>
    <w:bookmarkEnd w:id="437"/>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1100" w:type="dxa"/>
            <w:vAlign w:val="bottom"/>
          </w:tcPr>
          <w:p>
            <w:pPr>
              <w:jc w:val="right"/>
              <w:ind w:right="720"/>
              <w:spacing w:after="0"/>
              <w:rPr>
                <w:sz w:val="20"/>
                <w:szCs w:val="20"/>
                <w:color w:val="auto"/>
              </w:rPr>
            </w:pPr>
            <w:r>
              <w:rPr>
                <w:rFonts w:ascii="Arial" w:cs="Arial" w:eastAsia="Arial" w:hAnsi="Arial"/>
                <w:sz w:val="12"/>
                <w:szCs w:val="12"/>
                <w:color w:val="auto"/>
                <w:w w:val="91"/>
              </w:rPr>
              <w:t>2.2#**</w:t>
            </w:r>
          </w:p>
        </w:tc>
        <w:tc>
          <w:tcPr>
            <w:tcW w:w="6220" w:type="dxa"/>
            <w:vAlign w:val="bottom"/>
            <w:gridSpan w:val="9"/>
          </w:tcPr>
          <w:p>
            <w:pPr>
              <w:spacing w:after="0"/>
              <w:rPr>
                <w:rFonts w:ascii="Arial" w:cs="Arial" w:eastAsia="Arial" w:hAnsi="Arial"/>
                <w:sz w:val="12"/>
                <w:szCs w:val="12"/>
                <w:color w:val="0000EE"/>
                <w:w w:val="92"/>
              </w:rPr>
            </w:pPr>
            <w:hyperlink r:id="rId586">
              <w:r>
                <w:rPr>
                  <w:rFonts w:ascii="Arial" w:cs="Arial" w:eastAsia="Arial" w:hAnsi="Arial"/>
                  <w:sz w:val="12"/>
                  <w:szCs w:val="12"/>
                  <w:color w:val="0000EE"/>
                  <w:w w:val="92"/>
                </w:rPr>
                <w:t>Agreement and Plan of Merger, dated as of February 2, 2021, by and among Roivant Sciences Ltd., Silicon Insite, Inc., Silicon</w:t>
              </w:r>
            </w:hyperlink>
          </w:p>
        </w:tc>
      </w:tr>
      <w:tr>
        <w:trPr>
          <w:trHeight w:val="124"/>
        </w:trPr>
        <w:tc>
          <w:tcPr>
            <w:tcW w:w="1100" w:type="dxa"/>
            <w:vAlign w:val="bottom"/>
          </w:tcPr>
          <w:p>
            <w:pPr>
              <w:spacing w:after="0"/>
              <w:rPr>
                <w:sz w:val="10"/>
                <w:szCs w:val="10"/>
                <w:color w:val="auto"/>
              </w:rPr>
            </w:pPr>
          </w:p>
        </w:tc>
        <w:tc>
          <w:tcPr>
            <w:tcW w:w="594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586">
              <w:r>
                <w:rPr>
                  <w:rFonts w:ascii="Arial" w:cs="Arial" w:eastAsia="Arial" w:hAnsi="Arial"/>
                  <w:sz w:val="12"/>
                  <w:szCs w:val="12"/>
                  <w:color w:val="0000EE"/>
                  <w:w w:val="91"/>
                </w:rPr>
                <w:t>TX China, Silicon Therapeutics, LLC and Silicon SWAT, Inc. (incorporated by reference to Exhibit 2.2 to Roivant Sciences</w:t>
              </w:r>
            </w:hyperlink>
          </w:p>
        </w:tc>
        <w:tc>
          <w:tcPr>
            <w:tcW w:w="140" w:type="dxa"/>
            <w:vAlign w:val="bottom"/>
            <w:tcBorders>
              <w:top w:val="single" w:sz="8" w:color="0000EE"/>
            </w:tcBorders>
          </w:tcPr>
          <w:p>
            <w:pPr>
              <w:spacing w:after="0"/>
              <w:rPr>
                <w:sz w:val="10"/>
                <w:szCs w:val="10"/>
                <w:color w:val="auto"/>
              </w:rPr>
            </w:pPr>
          </w:p>
        </w:tc>
        <w:tc>
          <w:tcPr>
            <w:tcW w:w="140" w:type="dxa"/>
            <w:vAlign w:val="bottom"/>
            <w:gridSpan w:val="4"/>
          </w:tcPr>
          <w:p>
            <w:pPr>
              <w:spacing w:after="0"/>
              <w:rPr>
                <w:sz w:val="10"/>
                <w:szCs w:val="10"/>
                <w:color w:val="auto"/>
              </w:rPr>
            </w:pPr>
          </w:p>
        </w:tc>
      </w:tr>
      <w:tr>
        <w:trPr>
          <w:trHeight w:val="124"/>
        </w:trPr>
        <w:tc>
          <w:tcPr>
            <w:tcW w:w="1100" w:type="dxa"/>
            <w:vAlign w:val="bottom"/>
          </w:tcPr>
          <w:p>
            <w:pPr>
              <w:spacing w:after="0"/>
              <w:rPr>
                <w:sz w:val="10"/>
                <w:szCs w:val="10"/>
                <w:color w:val="auto"/>
              </w:rPr>
            </w:pPr>
          </w:p>
        </w:tc>
        <w:tc>
          <w:tcPr>
            <w:tcW w:w="6220" w:type="dxa"/>
            <w:vAlign w:val="bottom"/>
            <w:gridSpan w:val="9"/>
          </w:tcPr>
          <w:p>
            <w:pPr>
              <w:spacing w:after="0" w:line="124" w:lineRule="exact"/>
              <w:rPr>
                <w:rFonts w:ascii="Arial" w:cs="Arial" w:eastAsia="Arial" w:hAnsi="Arial"/>
                <w:sz w:val="12"/>
                <w:szCs w:val="12"/>
                <w:color w:val="0000EE"/>
              </w:rPr>
            </w:pPr>
            <w:hyperlink r:id="rId586">
              <w:r>
                <w:rPr>
                  <w:rFonts w:ascii="Arial" w:cs="Arial" w:eastAsia="Arial" w:hAnsi="Arial"/>
                  <w:sz w:val="12"/>
                  <w:szCs w:val="12"/>
                  <w:color w:val="0000EE"/>
                </w:rPr>
                <w:t>Ltd.’s Form S-4 filed with the SEC on August 6, 2021, as amended)</w:t>
              </w:r>
            </w:hyperlink>
          </w:p>
        </w:tc>
      </w:tr>
      <w:tr>
        <w:trPr>
          <w:trHeight w:val="20"/>
        </w:trPr>
        <w:tc>
          <w:tcPr>
            <w:tcW w:w="11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jc w:val="right"/>
              <w:ind w:right="720"/>
              <w:spacing w:after="0"/>
              <w:rPr>
                <w:sz w:val="20"/>
                <w:szCs w:val="20"/>
                <w:color w:val="auto"/>
              </w:rPr>
            </w:pPr>
            <w:r>
              <w:rPr>
                <w:rFonts w:ascii="Arial" w:cs="Arial" w:eastAsia="Arial" w:hAnsi="Arial"/>
                <w:sz w:val="12"/>
                <w:szCs w:val="12"/>
                <w:color w:val="auto"/>
                <w:w w:val="91"/>
              </w:rPr>
              <w:t>2.3#**</w:t>
            </w:r>
          </w:p>
        </w:tc>
        <w:tc>
          <w:tcPr>
            <w:tcW w:w="6220" w:type="dxa"/>
            <w:vAlign w:val="bottom"/>
            <w:tcBorders>
              <w:bottom w:val="single" w:sz="8" w:color="0000EE"/>
            </w:tcBorders>
            <w:gridSpan w:val="9"/>
          </w:tcPr>
          <w:p>
            <w:pPr>
              <w:spacing w:after="0"/>
              <w:rPr>
                <w:rFonts w:ascii="Arial" w:cs="Arial" w:eastAsia="Arial" w:hAnsi="Arial"/>
                <w:sz w:val="12"/>
                <w:szCs w:val="12"/>
                <w:color w:val="0000EE"/>
                <w:w w:val="89"/>
              </w:rPr>
            </w:pPr>
            <w:hyperlink r:id="rId587">
              <w:r>
                <w:rPr>
                  <w:rFonts w:ascii="Arial" w:cs="Arial" w:eastAsia="Arial" w:hAnsi="Arial"/>
                  <w:sz w:val="12"/>
                  <w:szCs w:val="12"/>
                  <w:color w:val="0000EE"/>
                  <w:w w:val="89"/>
                </w:rPr>
                <w:t>Stock Purchase Agreement, dated as of November 6, 2020, by and among Oncopia Therapeutics, Inc., Pharmavant 5, Inc., certain</w:t>
              </w:r>
            </w:hyperlink>
          </w:p>
        </w:tc>
      </w:tr>
      <w:tr>
        <w:trPr>
          <w:trHeight w:val="124"/>
        </w:trPr>
        <w:tc>
          <w:tcPr>
            <w:tcW w:w="1100" w:type="dxa"/>
            <w:vAlign w:val="bottom"/>
          </w:tcPr>
          <w:p>
            <w:pPr>
              <w:spacing w:after="0"/>
              <w:rPr>
                <w:sz w:val="10"/>
                <w:szCs w:val="10"/>
                <w:color w:val="auto"/>
              </w:rPr>
            </w:pPr>
          </w:p>
        </w:tc>
        <w:tc>
          <w:tcPr>
            <w:tcW w:w="6220" w:type="dxa"/>
            <w:vAlign w:val="bottom"/>
            <w:gridSpan w:val="9"/>
          </w:tcPr>
          <w:p>
            <w:pPr>
              <w:spacing w:after="0" w:line="124" w:lineRule="exact"/>
              <w:rPr>
                <w:rFonts w:ascii="Arial" w:cs="Arial" w:eastAsia="Arial" w:hAnsi="Arial"/>
                <w:sz w:val="12"/>
                <w:szCs w:val="12"/>
                <w:color w:val="0000EE"/>
                <w:w w:val="90"/>
              </w:rPr>
            </w:pPr>
            <w:hyperlink r:id="rId587">
              <w:r>
                <w:rPr>
                  <w:rFonts w:ascii="Arial" w:cs="Arial" w:eastAsia="Arial" w:hAnsi="Arial"/>
                  <w:sz w:val="12"/>
                  <w:szCs w:val="12"/>
                  <w:color w:val="0000EE"/>
                  <w:w w:val="90"/>
                </w:rPr>
                <w:t>selling securityholders and certain seller representative (incorporated by reference to Exhibit 2.3 to Roivant Sciences Ltd.’s Form</w:t>
              </w:r>
            </w:hyperlink>
          </w:p>
        </w:tc>
      </w:tr>
      <w:tr>
        <w:trPr>
          <w:trHeight w:val="124"/>
        </w:trPr>
        <w:tc>
          <w:tcPr>
            <w:tcW w:w="1100" w:type="dxa"/>
            <w:vAlign w:val="bottom"/>
          </w:tcPr>
          <w:p>
            <w:pPr>
              <w:spacing w:after="0"/>
              <w:rPr>
                <w:sz w:val="10"/>
                <w:szCs w:val="10"/>
                <w:color w:val="auto"/>
              </w:rPr>
            </w:pPr>
          </w:p>
        </w:tc>
        <w:tc>
          <w:tcPr>
            <w:tcW w:w="620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r:id="rId587">
              <w:r>
                <w:rPr>
                  <w:rFonts w:ascii="Arial" w:cs="Arial" w:eastAsia="Arial" w:hAnsi="Arial"/>
                  <w:sz w:val="12"/>
                  <w:szCs w:val="12"/>
                  <w:color w:val="0000EE"/>
                </w:rPr>
                <w:t>S-4 filed with the SEC on August 6, 2021, as amended)</w:t>
              </w:r>
            </w:hyperlink>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jc w:val="right"/>
              <w:ind w:right="720"/>
              <w:spacing w:after="0"/>
              <w:rPr>
                <w:sz w:val="20"/>
                <w:szCs w:val="20"/>
                <w:color w:val="auto"/>
              </w:rPr>
            </w:pPr>
            <w:r>
              <w:rPr>
                <w:rFonts w:ascii="Arial" w:cs="Arial" w:eastAsia="Arial" w:hAnsi="Arial"/>
                <w:sz w:val="12"/>
                <w:szCs w:val="12"/>
                <w:color w:val="auto"/>
                <w:w w:val="91"/>
              </w:rPr>
              <w:t>2.4#**</w:t>
            </w:r>
          </w:p>
        </w:tc>
        <w:tc>
          <w:tcPr>
            <w:tcW w:w="6220" w:type="dxa"/>
            <w:vAlign w:val="bottom"/>
            <w:gridSpan w:val="9"/>
          </w:tcPr>
          <w:p>
            <w:pPr>
              <w:spacing w:after="0"/>
              <w:rPr>
                <w:rFonts w:ascii="Arial" w:cs="Arial" w:eastAsia="Arial" w:hAnsi="Arial"/>
                <w:sz w:val="12"/>
                <w:szCs w:val="12"/>
                <w:color w:val="0000EE"/>
                <w:w w:val="90"/>
              </w:rPr>
            </w:pPr>
            <w:hyperlink r:id="rId588">
              <w:r>
                <w:rPr>
                  <w:rFonts w:ascii="Arial" w:cs="Arial" w:eastAsia="Arial" w:hAnsi="Arial"/>
                  <w:sz w:val="12"/>
                  <w:szCs w:val="12"/>
                  <w:color w:val="0000EE"/>
                  <w:w w:val="90"/>
                </w:rPr>
                <w:t>Amendment No. 1 to the Stock Purchase Agreement, dated as of November 17, 2020, by and among Oncopia Therapeutics, Inc.,</w:t>
              </w:r>
            </w:hyperlink>
          </w:p>
        </w:tc>
      </w:tr>
      <w:tr>
        <w:trPr>
          <w:trHeight w:val="124"/>
        </w:trPr>
        <w:tc>
          <w:tcPr>
            <w:tcW w:w="1100" w:type="dxa"/>
            <w:vAlign w:val="bottom"/>
          </w:tcPr>
          <w:p>
            <w:pPr>
              <w:spacing w:after="0"/>
              <w:rPr>
                <w:sz w:val="10"/>
                <w:szCs w:val="10"/>
                <w:color w:val="auto"/>
              </w:rPr>
            </w:pPr>
          </w:p>
        </w:tc>
        <w:tc>
          <w:tcPr>
            <w:tcW w:w="6180" w:type="dxa"/>
            <w:vAlign w:val="bottom"/>
            <w:tcBorders>
              <w:top w:val="single" w:sz="8" w:color="0000EE"/>
            </w:tcBorders>
            <w:gridSpan w:val="7"/>
          </w:tcPr>
          <w:p>
            <w:pPr>
              <w:spacing w:after="0" w:line="124" w:lineRule="exact"/>
              <w:rPr>
                <w:rFonts w:ascii="Arial" w:cs="Arial" w:eastAsia="Arial" w:hAnsi="Arial"/>
                <w:sz w:val="12"/>
                <w:szCs w:val="12"/>
                <w:color w:val="0000EE"/>
                <w:w w:val="91"/>
              </w:rPr>
            </w:pPr>
            <w:hyperlink r:id="rId588">
              <w:r>
                <w:rPr>
                  <w:rFonts w:ascii="Arial" w:cs="Arial" w:eastAsia="Arial" w:hAnsi="Arial"/>
                  <w:sz w:val="12"/>
                  <w:szCs w:val="12"/>
                  <w:color w:val="0000EE"/>
                  <w:w w:val="91"/>
                </w:rPr>
                <w:t>Pharmavant 5, Inc., certain selling securityholders and WRYP Stockholders Services, LLC (incorporated by reference to Exhibit</w:t>
              </w:r>
            </w:hyperlink>
          </w:p>
        </w:tc>
        <w:tc>
          <w:tcPr>
            <w:tcW w:w="40" w:type="dxa"/>
            <w:vAlign w:val="bottom"/>
            <w:gridSpan w:val="2"/>
          </w:tcPr>
          <w:p>
            <w:pPr>
              <w:spacing w:after="0"/>
              <w:rPr>
                <w:sz w:val="10"/>
                <w:szCs w:val="10"/>
                <w:color w:val="auto"/>
              </w:rPr>
            </w:pPr>
          </w:p>
        </w:tc>
      </w:tr>
      <w:tr>
        <w:trPr>
          <w:trHeight w:val="124"/>
        </w:trPr>
        <w:tc>
          <w:tcPr>
            <w:tcW w:w="1100" w:type="dxa"/>
            <w:vAlign w:val="bottom"/>
          </w:tcPr>
          <w:p>
            <w:pPr>
              <w:spacing w:after="0"/>
              <w:rPr>
                <w:sz w:val="10"/>
                <w:szCs w:val="10"/>
                <w:color w:val="auto"/>
              </w:rPr>
            </w:pPr>
          </w:p>
        </w:tc>
        <w:tc>
          <w:tcPr>
            <w:tcW w:w="616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r:id="rId588">
              <w:r>
                <w:rPr>
                  <w:rFonts w:ascii="Arial" w:cs="Arial" w:eastAsia="Arial" w:hAnsi="Arial"/>
                  <w:sz w:val="12"/>
                  <w:szCs w:val="12"/>
                  <w:color w:val="0000EE"/>
                </w:rPr>
                <w:t>2.</w:t>
              </w:r>
              <w:r>
                <w:rPr>
                  <w:rFonts w:ascii="Arial" w:cs="Arial" w:eastAsia="Arial" w:hAnsi="Arial"/>
                  <w:sz w:val="12"/>
                  <w:szCs w:val="12"/>
                  <w:u w:val="single" w:color="auto"/>
                  <w:color w:val="0000EE"/>
                </w:rPr>
                <w:t>4</w:t>
              </w:r>
              <w:r>
                <w:rPr>
                  <w:rFonts w:ascii="Arial" w:cs="Arial" w:eastAsia="Arial" w:hAnsi="Arial"/>
                  <w:sz w:val="12"/>
                  <w:szCs w:val="12"/>
                  <w:color w:val="0000EE"/>
                </w:rPr>
                <w:t xml:space="preserve"> to Roivant Sciences Ltd.’s Form S-4 filed with the SEC on August 6, 2021, as amended)</w:t>
              </w:r>
            </w:hyperlink>
          </w:p>
        </w:tc>
        <w:tc>
          <w:tcPr>
            <w:tcW w:w="60" w:type="dxa"/>
            <w:vAlign w:val="bottom"/>
            <w:gridSpan w:val="3"/>
          </w:tcPr>
          <w:p>
            <w:pPr>
              <w:spacing w:after="0"/>
              <w:rPr>
                <w:sz w:val="10"/>
                <w:szCs w:val="10"/>
                <w:color w:val="auto"/>
              </w:rPr>
            </w:pPr>
          </w:p>
        </w:tc>
      </w:tr>
      <w:tr>
        <w:trPr>
          <w:trHeight w:val="250"/>
        </w:trPr>
        <w:tc>
          <w:tcPr>
            <w:tcW w:w="1100" w:type="dxa"/>
            <w:vAlign w:val="bottom"/>
          </w:tcPr>
          <w:p>
            <w:pPr>
              <w:spacing w:after="0"/>
              <w:rPr>
                <w:sz w:val="21"/>
                <w:szCs w:val="21"/>
                <w:color w:val="auto"/>
              </w:rPr>
            </w:pPr>
          </w:p>
        </w:tc>
        <w:tc>
          <w:tcPr>
            <w:tcW w:w="4420" w:type="dxa"/>
            <w:vAlign w:val="bottom"/>
            <w:tcBorders>
              <w:top w:val="single" w:sz="8" w:color="0000EE"/>
            </w:tcBorders>
            <w:gridSpan w:val="3"/>
          </w:tcPr>
          <w:p>
            <w:pPr>
              <w:ind w:left="2480"/>
              <w:spacing w:after="0"/>
              <w:rPr>
                <w:sz w:val="20"/>
                <w:szCs w:val="20"/>
                <w:color w:val="auto"/>
              </w:rPr>
            </w:pPr>
            <w:r>
              <w:rPr>
                <w:rFonts w:ascii="Arial" w:cs="Arial" w:eastAsia="Arial" w:hAnsi="Arial"/>
                <w:sz w:val="12"/>
                <w:szCs w:val="12"/>
                <w:color w:val="auto"/>
              </w:rPr>
              <w:t>II-2</w:t>
            </w:r>
          </w:p>
        </w:tc>
        <w:tc>
          <w:tcPr>
            <w:tcW w:w="1800" w:type="dxa"/>
            <w:vAlign w:val="bottom"/>
            <w:gridSpan w:val="6"/>
          </w:tcPr>
          <w:p>
            <w:pPr>
              <w:spacing w:after="0"/>
              <w:rPr>
                <w:sz w:val="21"/>
                <w:szCs w:val="21"/>
                <w:color w:val="auto"/>
              </w:rPr>
            </w:pPr>
          </w:p>
        </w:tc>
      </w:tr>
    </w:tbl>
    <w:p>
      <w:pPr>
        <w:sectPr>
          <w:pgSz w:w="11900" w:h="16838" w:orient="portrait"/>
          <w:cols w:equalWidth="0" w:num="1">
            <w:col w:w="9019"/>
          </w:cols>
          <w:pgMar w:left="1440" w:top="119" w:right="1440" w:bottom="1440" w:gutter="0" w:footer="0" w:header="0"/>
        </w:sectPr>
      </w:pPr>
    </w:p>
    <w:bookmarkStart w:id="438" w:name="page439"/>
    <w:bookmarkEnd w:id="4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0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240" w:type="dxa"/>
            <w:vAlign w:val="bottom"/>
            <w:gridSpan w:val="26"/>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2.5**</w:t>
            </w:r>
          </w:p>
        </w:tc>
        <w:tc>
          <w:tcPr>
            <w:tcW w:w="640" w:type="dxa"/>
            <w:vAlign w:val="bottom"/>
          </w:tcPr>
          <w:p>
            <w:pPr>
              <w:spacing w:after="0"/>
              <w:rPr>
                <w:sz w:val="15"/>
                <w:szCs w:val="15"/>
                <w:color w:val="auto"/>
              </w:rPr>
            </w:pPr>
          </w:p>
        </w:tc>
        <w:tc>
          <w:tcPr>
            <w:tcW w:w="6220" w:type="dxa"/>
            <w:vAlign w:val="bottom"/>
            <w:tcBorders>
              <w:bottom w:val="single" w:sz="8" w:color="0000EE"/>
            </w:tcBorders>
            <w:gridSpan w:val="25"/>
          </w:tcPr>
          <w:p>
            <w:pPr>
              <w:spacing w:after="0"/>
              <w:rPr>
                <w:rFonts w:ascii="Arial" w:cs="Arial" w:eastAsia="Arial" w:hAnsi="Arial"/>
                <w:sz w:val="12"/>
                <w:szCs w:val="12"/>
                <w:color w:val="0000EE"/>
                <w:w w:val="90"/>
              </w:rPr>
            </w:pPr>
            <w:hyperlink r:id="rId590">
              <w:r>
                <w:rPr>
                  <w:rFonts w:ascii="Arial" w:cs="Arial" w:eastAsia="Arial" w:hAnsi="Arial"/>
                  <w:sz w:val="12"/>
                  <w:szCs w:val="12"/>
                  <w:color w:val="0000EE"/>
                  <w:w w:val="90"/>
                </w:rPr>
                <w:t>Transaction Agreement, dated as of October 31, 2019, by and among Sumitomo Dainippon Pharma Co., Ltd., Vant Alliance Ltd.,</w:t>
              </w:r>
            </w:hyperlink>
          </w:p>
        </w:tc>
        <w:tc>
          <w:tcPr>
            <w:tcW w:w="20" w:type="dxa"/>
            <w:vAlign w:val="bottom"/>
          </w:tcPr>
          <w:p>
            <w:pPr>
              <w:spacing w:after="0"/>
              <w:rPr>
                <w:sz w:val="15"/>
                <w:szCs w:val="15"/>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40" w:type="dxa"/>
            <w:vAlign w:val="bottom"/>
            <w:gridSpan w:val="26"/>
          </w:tcPr>
          <w:p>
            <w:pPr>
              <w:spacing w:after="0" w:line="124" w:lineRule="exact"/>
              <w:rPr>
                <w:rFonts w:ascii="Arial" w:cs="Arial" w:eastAsia="Arial" w:hAnsi="Arial"/>
                <w:sz w:val="12"/>
                <w:szCs w:val="12"/>
                <w:color w:val="0000EE"/>
                <w:w w:val="92"/>
              </w:rPr>
            </w:pPr>
            <w:hyperlink r:id="rId590">
              <w:r>
                <w:rPr>
                  <w:rFonts w:ascii="Arial" w:cs="Arial" w:eastAsia="Arial" w:hAnsi="Arial"/>
                  <w:sz w:val="12"/>
                  <w:szCs w:val="12"/>
                  <w:color w:val="0000EE"/>
                  <w:w w:val="92"/>
                </w:rPr>
                <w:t>Roivant Sciences Ltd., Enzyvant Therapeutics Ltd., Altavant Sciences Ltd. and Spirovant Sciences Ltd. (incorporated herein by</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20" w:type="dxa"/>
            <w:vAlign w:val="bottom"/>
            <w:tcBorders>
              <w:bottom w:val="single" w:sz="8" w:color="0000EE"/>
            </w:tcBorders>
            <w:gridSpan w:val="25"/>
          </w:tcPr>
          <w:p>
            <w:pPr>
              <w:spacing w:after="0" w:line="124" w:lineRule="exact"/>
              <w:rPr>
                <w:rFonts w:ascii="Arial" w:cs="Arial" w:eastAsia="Arial" w:hAnsi="Arial"/>
                <w:sz w:val="12"/>
                <w:szCs w:val="12"/>
                <w:color w:val="0000EE"/>
                <w:w w:val="91"/>
              </w:rPr>
            </w:pPr>
            <w:hyperlink r:id="rId590">
              <w:r>
                <w:rPr>
                  <w:rFonts w:ascii="Arial" w:cs="Arial" w:eastAsia="Arial" w:hAnsi="Arial"/>
                  <w:sz w:val="12"/>
                  <w:szCs w:val="12"/>
                  <w:color w:val="0000EE"/>
                  <w:w w:val="91"/>
                </w:rPr>
                <w:t>reference to Exhibit 7.04 of Roivant Sciences Ltd.’s Schedule 13D/A, filed with the SEC on November 4, 2019) (incorporated by</w:t>
              </w:r>
            </w:hyperlink>
          </w:p>
        </w:tc>
        <w:tc>
          <w:tcPr>
            <w:tcW w:w="20" w:type="dxa"/>
            <w:vAlign w:val="bottom"/>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40" w:type="dxa"/>
            <w:vAlign w:val="bottom"/>
            <w:gridSpan w:val="26"/>
          </w:tcPr>
          <w:p>
            <w:pPr>
              <w:spacing w:after="0" w:line="124" w:lineRule="exact"/>
              <w:rPr>
                <w:rFonts w:ascii="Arial" w:cs="Arial" w:eastAsia="Arial" w:hAnsi="Arial"/>
                <w:sz w:val="12"/>
                <w:szCs w:val="12"/>
                <w:color w:val="0000EE"/>
              </w:rPr>
            </w:pPr>
            <w:hyperlink r:id="rId590">
              <w:r>
                <w:rPr>
                  <w:rFonts w:ascii="Arial" w:cs="Arial" w:eastAsia="Arial" w:hAnsi="Arial"/>
                  <w:sz w:val="12"/>
                  <w:szCs w:val="12"/>
                  <w:color w:val="0000EE"/>
                </w:rPr>
                <w:t>reference to Exhibit 2.5 to Roivant Sciences Ltd.’s Form 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2.6#**</w:t>
            </w:r>
          </w:p>
        </w:tc>
        <w:tc>
          <w:tcPr>
            <w:tcW w:w="640" w:type="dxa"/>
            <w:vAlign w:val="bottom"/>
          </w:tcPr>
          <w:p>
            <w:pPr>
              <w:spacing w:after="0"/>
              <w:rPr>
                <w:sz w:val="17"/>
                <w:szCs w:val="17"/>
                <w:color w:val="auto"/>
              </w:rPr>
            </w:pPr>
          </w:p>
        </w:tc>
        <w:tc>
          <w:tcPr>
            <w:tcW w:w="6120" w:type="dxa"/>
            <w:vAlign w:val="bottom"/>
            <w:tcBorders>
              <w:bottom w:val="single" w:sz="8" w:color="0000EE"/>
            </w:tcBorders>
            <w:gridSpan w:val="20"/>
          </w:tcPr>
          <w:p>
            <w:pPr>
              <w:spacing w:after="0"/>
              <w:rPr>
                <w:rFonts w:ascii="Arial" w:cs="Arial" w:eastAsia="Arial" w:hAnsi="Arial"/>
                <w:sz w:val="12"/>
                <w:szCs w:val="12"/>
                <w:color w:val="0000EE"/>
                <w:w w:val="90"/>
              </w:rPr>
            </w:pPr>
            <w:hyperlink r:id="rId591">
              <w:r>
                <w:rPr>
                  <w:rFonts w:ascii="Arial" w:cs="Arial" w:eastAsia="Arial" w:hAnsi="Arial"/>
                  <w:sz w:val="12"/>
                  <w:szCs w:val="12"/>
                  <w:color w:val="0000EE"/>
                  <w:w w:val="90"/>
                </w:rPr>
                <w:t>Asset Purchase Agreement, dated as of July 10, 2018, by and among GlaxoSmithKline Intellectual Property Development Ltd.,</w:t>
              </w:r>
            </w:hyperlink>
          </w:p>
        </w:tc>
        <w:tc>
          <w:tcPr>
            <w:tcW w:w="120" w:type="dxa"/>
            <w:vAlign w:val="bottom"/>
            <w:gridSpan w:val="6"/>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0" w:type="dxa"/>
            <w:vAlign w:val="bottom"/>
            <w:tcBorders>
              <w:bottom w:val="single" w:sz="8" w:color="0000EE"/>
            </w:tcBorders>
            <w:gridSpan w:val="24"/>
          </w:tcPr>
          <w:p>
            <w:pPr>
              <w:spacing w:after="0" w:line="124" w:lineRule="exact"/>
              <w:rPr>
                <w:rFonts w:ascii="Arial" w:cs="Arial" w:eastAsia="Arial" w:hAnsi="Arial"/>
                <w:sz w:val="12"/>
                <w:szCs w:val="12"/>
                <w:color w:val="0000EE"/>
                <w:w w:val="91"/>
              </w:rPr>
            </w:pPr>
            <w:hyperlink r:id="rId591">
              <w:r>
                <w:rPr>
                  <w:rFonts w:ascii="Arial" w:cs="Arial" w:eastAsia="Arial" w:hAnsi="Arial"/>
                  <w:sz w:val="12"/>
                  <w:szCs w:val="12"/>
                  <w:color w:val="0000EE"/>
                  <w:w w:val="91"/>
                </w:rPr>
                <w:t>Glaxo Group Limited and Dermavant Sciences GmBH (incorporated by reference to Exhibit 2.6 to Roivant Sciences Ltd.’s Form</w:t>
              </w:r>
            </w:hyperlink>
          </w:p>
        </w:tc>
        <w:tc>
          <w:tcPr>
            <w:tcW w:w="40" w:type="dxa"/>
            <w:vAlign w:val="bottom"/>
            <w:gridSpan w:val="2"/>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40" w:type="dxa"/>
            <w:vAlign w:val="bottom"/>
            <w:gridSpan w:val="26"/>
          </w:tcPr>
          <w:p>
            <w:pPr>
              <w:spacing w:after="0" w:line="124" w:lineRule="exact"/>
              <w:rPr>
                <w:rFonts w:ascii="Arial" w:cs="Arial" w:eastAsia="Arial" w:hAnsi="Arial"/>
                <w:sz w:val="12"/>
                <w:szCs w:val="12"/>
                <w:color w:val="0000EE"/>
              </w:rPr>
            </w:pPr>
            <w:hyperlink r:id="rId591">
              <w:r>
                <w:rPr>
                  <w:rFonts w:ascii="Arial" w:cs="Arial" w:eastAsia="Arial" w:hAnsi="Arial"/>
                  <w:sz w:val="12"/>
                  <w:szCs w:val="12"/>
                  <w:color w:val="0000EE"/>
                </w:rPr>
                <w:t>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2.7#**</w:t>
            </w:r>
          </w:p>
        </w:tc>
        <w:tc>
          <w:tcPr>
            <w:tcW w:w="640" w:type="dxa"/>
            <w:vAlign w:val="bottom"/>
          </w:tcPr>
          <w:p>
            <w:pPr>
              <w:spacing w:after="0"/>
              <w:rPr>
                <w:sz w:val="17"/>
                <w:szCs w:val="17"/>
                <w:color w:val="auto"/>
              </w:rPr>
            </w:pPr>
          </w:p>
        </w:tc>
        <w:tc>
          <w:tcPr>
            <w:tcW w:w="6240" w:type="dxa"/>
            <w:vAlign w:val="bottom"/>
            <w:gridSpan w:val="26"/>
          </w:tcPr>
          <w:p>
            <w:pPr>
              <w:spacing w:after="0"/>
              <w:rPr>
                <w:rFonts w:ascii="Arial" w:cs="Arial" w:eastAsia="Arial" w:hAnsi="Arial"/>
                <w:sz w:val="12"/>
                <w:szCs w:val="12"/>
                <w:color w:val="0000EE"/>
                <w:w w:val="97"/>
              </w:rPr>
            </w:pPr>
            <w:hyperlink r:id="rId592">
              <w:r>
                <w:rPr>
                  <w:rFonts w:ascii="Arial" w:cs="Arial" w:eastAsia="Arial" w:hAnsi="Arial"/>
                  <w:sz w:val="12"/>
                  <w:szCs w:val="12"/>
                  <w:color w:val="0000EE"/>
                  <w:w w:val="97"/>
                </w:rPr>
                <w:t>Asset Purchase Agreement, dated as of May 29, 2012, by and between Glaxo Group Limited and Welichem Biotech Inc.</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40" w:type="dxa"/>
            <w:vAlign w:val="bottom"/>
            <w:tcBorders>
              <w:bottom w:val="single" w:sz="8" w:color="0000EE"/>
            </w:tcBorders>
            <w:gridSpan w:val="26"/>
          </w:tcPr>
          <w:p>
            <w:pPr>
              <w:spacing w:after="0" w:line="124" w:lineRule="exact"/>
              <w:rPr>
                <w:rFonts w:ascii="Arial" w:cs="Arial" w:eastAsia="Arial" w:hAnsi="Arial"/>
                <w:sz w:val="12"/>
                <w:szCs w:val="12"/>
                <w:color w:val="0000EE"/>
                <w:w w:val="90"/>
              </w:rPr>
            </w:pPr>
            <w:hyperlink r:id="rId592">
              <w:r>
                <w:rPr>
                  <w:rFonts w:ascii="Arial" w:cs="Arial" w:eastAsia="Arial" w:hAnsi="Arial"/>
                  <w:sz w:val="12"/>
                  <w:szCs w:val="12"/>
                  <w:color w:val="0000EE"/>
                  <w:w w:val="90"/>
                </w:rPr>
                <w:t>(incorporated by reference to Exhibit 2.7 to Roivant Sciences Ltd.’s Form S-4 filed with the SEC on August 6, 2021, as amended)</w:t>
              </w:r>
            </w:hyperlink>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2.8#**</w:t>
            </w:r>
          </w:p>
        </w:tc>
        <w:tc>
          <w:tcPr>
            <w:tcW w:w="640" w:type="dxa"/>
            <w:vAlign w:val="bottom"/>
          </w:tcPr>
          <w:p>
            <w:pPr>
              <w:spacing w:after="0"/>
              <w:rPr>
                <w:sz w:val="17"/>
                <w:szCs w:val="17"/>
                <w:color w:val="auto"/>
              </w:rPr>
            </w:pPr>
          </w:p>
        </w:tc>
        <w:tc>
          <w:tcPr>
            <w:tcW w:w="5960" w:type="dxa"/>
            <w:vAlign w:val="bottom"/>
            <w:tcBorders>
              <w:bottom w:val="single" w:sz="8" w:color="0000EE"/>
            </w:tcBorders>
            <w:gridSpan w:val="15"/>
          </w:tcPr>
          <w:p>
            <w:pPr>
              <w:spacing w:after="0"/>
              <w:rPr>
                <w:rFonts w:ascii="Arial" w:cs="Arial" w:eastAsia="Arial" w:hAnsi="Arial"/>
                <w:sz w:val="12"/>
                <w:szCs w:val="12"/>
                <w:color w:val="0000EE"/>
                <w:w w:val="90"/>
              </w:rPr>
            </w:pPr>
            <w:hyperlink r:id="rId593">
              <w:r>
                <w:rPr>
                  <w:rFonts w:ascii="Arial" w:cs="Arial" w:eastAsia="Arial" w:hAnsi="Arial"/>
                  <w:sz w:val="12"/>
                  <w:szCs w:val="12"/>
                  <w:color w:val="0000EE"/>
                  <w:w w:val="90"/>
                </w:rPr>
                <w:t>First Amendment to the Asset Purchase Agreement, dated as of August 31, 2012, by and between Glaxo Group Limited and</w:t>
              </w:r>
            </w:hyperlink>
          </w:p>
        </w:tc>
        <w:tc>
          <w:tcPr>
            <w:tcW w:w="280" w:type="dxa"/>
            <w:vAlign w:val="bottom"/>
            <w:gridSpan w:val="11"/>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980" w:type="dxa"/>
            <w:vAlign w:val="bottom"/>
            <w:tcBorders>
              <w:bottom w:val="single" w:sz="8" w:color="0000EE"/>
            </w:tcBorders>
            <w:gridSpan w:val="16"/>
          </w:tcPr>
          <w:p>
            <w:pPr>
              <w:spacing w:after="0" w:line="124" w:lineRule="exact"/>
              <w:rPr>
                <w:rFonts w:ascii="Arial" w:cs="Arial" w:eastAsia="Arial" w:hAnsi="Arial"/>
                <w:sz w:val="12"/>
                <w:szCs w:val="12"/>
                <w:color w:val="0000EE"/>
                <w:w w:val="91"/>
              </w:rPr>
            </w:pPr>
            <w:hyperlink r:id="rId593">
              <w:r>
                <w:rPr>
                  <w:rFonts w:ascii="Arial" w:cs="Arial" w:eastAsia="Arial" w:hAnsi="Arial"/>
                  <w:sz w:val="12"/>
                  <w:szCs w:val="12"/>
                  <w:color w:val="0000EE"/>
                  <w:w w:val="91"/>
                </w:rPr>
                <w:t>Welichem Biotech, Inc. (incorporated by reference to Exhibit 2.8 to Roivant Sciences Ltd.’s Form S-4 filed with the SEC on</w:t>
              </w:r>
            </w:hyperlink>
          </w:p>
        </w:tc>
        <w:tc>
          <w:tcPr>
            <w:tcW w:w="260" w:type="dxa"/>
            <w:vAlign w:val="bottom"/>
            <w:gridSpan w:val="10"/>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tcBorders>
              <w:bottom w:val="single" w:sz="8" w:color="0000EE"/>
            </w:tcBorders>
            <w:gridSpan w:val="3"/>
          </w:tcPr>
          <w:p>
            <w:pPr>
              <w:spacing w:after="0" w:line="124" w:lineRule="exact"/>
              <w:rPr>
                <w:rFonts w:ascii="Arial" w:cs="Arial" w:eastAsia="Arial" w:hAnsi="Arial"/>
                <w:sz w:val="12"/>
                <w:szCs w:val="12"/>
                <w:color w:val="0000EE"/>
                <w:w w:val="88"/>
              </w:rPr>
            </w:pPr>
            <w:hyperlink r:id="rId593">
              <w:r>
                <w:rPr>
                  <w:rFonts w:ascii="Arial" w:cs="Arial" w:eastAsia="Arial" w:hAnsi="Arial"/>
                  <w:sz w:val="12"/>
                  <w:szCs w:val="12"/>
                  <w:color w:val="0000EE"/>
                  <w:w w:val="88"/>
                </w:rPr>
                <w:t>August 6, 2021, as amended)</w:t>
              </w:r>
            </w:hyperlink>
          </w:p>
        </w:tc>
        <w:tc>
          <w:tcPr>
            <w:tcW w:w="4820" w:type="dxa"/>
            <w:vAlign w:val="bottom"/>
            <w:gridSpan w:val="23"/>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2.9**</w:t>
            </w:r>
          </w:p>
        </w:tc>
        <w:tc>
          <w:tcPr>
            <w:tcW w:w="640" w:type="dxa"/>
            <w:vAlign w:val="bottom"/>
          </w:tcPr>
          <w:p>
            <w:pPr>
              <w:spacing w:after="0"/>
              <w:rPr>
                <w:sz w:val="17"/>
                <w:szCs w:val="17"/>
                <w:color w:val="auto"/>
              </w:rPr>
            </w:pPr>
          </w:p>
        </w:tc>
        <w:tc>
          <w:tcPr>
            <w:tcW w:w="6160" w:type="dxa"/>
            <w:vAlign w:val="bottom"/>
            <w:tcBorders>
              <w:bottom w:val="single" w:sz="8" w:color="0000EE"/>
            </w:tcBorders>
            <w:gridSpan w:val="22"/>
          </w:tcPr>
          <w:p>
            <w:pPr>
              <w:spacing w:after="0"/>
              <w:rPr>
                <w:rFonts w:ascii="Arial" w:cs="Arial" w:eastAsia="Arial" w:hAnsi="Arial"/>
                <w:sz w:val="12"/>
                <w:szCs w:val="12"/>
                <w:color w:val="0000EE"/>
                <w:w w:val="90"/>
              </w:rPr>
            </w:pPr>
            <w:hyperlink r:id="rId594">
              <w:r>
                <w:rPr>
                  <w:rFonts w:ascii="Arial" w:cs="Arial" w:eastAsia="Arial" w:hAnsi="Arial"/>
                  <w:sz w:val="12"/>
                  <w:szCs w:val="12"/>
                  <w:color w:val="0000EE"/>
                  <w:w w:val="90"/>
                </w:rPr>
                <w:t>Amendment No. 1 to the Business Combination Agreement, dated June 9, 2021, by and among Montes Archimedes Acquisition</w:t>
              </w:r>
            </w:hyperlink>
          </w:p>
        </w:tc>
        <w:tc>
          <w:tcPr>
            <w:tcW w:w="80" w:type="dxa"/>
            <w:vAlign w:val="bottom"/>
            <w:gridSpan w:val="4"/>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40" w:type="dxa"/>
            <w:vAlign w:val="bottom"/>
            <w:gridSpan w:val="26"/>
          </w:tcPr>
          <w:p>
            <w:pPr>
              <w:spacing w:after="0" w:line="124" w:lineRule="exact"/>
              <w:rPr>
                <w:rFonts w:ascii="Arial" w:cs="Arial" w:eastAsia="Arial" w:hAnsi="Arial"/>
                <w:sz w:val="12"/>
                <w:szCs w:val="12"/>
                <w:color w:val="0000EE"/>
                <w:w w:val="92"/>
              </w:rPr>
            </w:pPr>
            <w:hyperlink r:id="rId594">
              <w:r>
                <w:rPr>
                  <w:rFonts w:ascii="Arial" w:cs="Arial" w:eastAsia="Arial" w:hAnsi="Arial"/>
                  <w:sz w:val="12"/>
                  <w:szCs w:val="12"/>
                  <w:color w:val="0000EE"/>
                  <w:w w:val="92"/>
                </w:rPr>
                <w:t>Corp., Roivant Sciences Ltd. and Rhine Merger Sub, Inc. (included as Annex AA to the joint proxy statement/prospectus which</w:t>
              </w:r>
            </w:hyperlink>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20" w:type="dxa"/>
            <w:vAlign w:val="bottom"/>
            <w:tcBorders>
              <w:top w:val="single" w:sz="8" w:color="0000EE"/>
            </w:tcBorders>
            <w:gridSpan w:val="20"/>
          </w:tcPr>
          <w:p>
            <w:pPr>
              <w:spacing w:after="0" w:line="124" w:lineRule="exact"/>
              <w:rPr>
                <w:rFonts w:ascii="Arial" w:cs="Arial" w:eastAsia="Arial" w:hAnsi="Arial"/>
                <w:sz w:val="12"/>
                <w:szCs w:val="12"/>
                <w:color w:val="0000EE"/>
                <w:w w:val="92"/>
              </w:rPr>
            </w:pPr>
            <w:hyperlink r:id="rId594">
              <w:r>
                <w:rPr>
                  <w:rFonts w:ascii="Arial" w:cs="Arial" w:eastAsia="Arial" w:hAnsi="Arial"/>
                  <w:sz w:val="12"/>
                  <w:szCs w:val="12"/>
                  <w:color w:val="0000EE"/>
                  <w:w w:val="92"/>
                </w:rPr>
                <w:t>is part of Roivant Sciences Ltd.’s Form S-4 filed with the SEC on August 6, 2021) (incorporated by reference to Exhibit 2.9 to</w:t>
              </w:r>
            </w:hyperlink>
          </w:p>
        </w:tc>
        <w:tc>
          <w:tcPr>
            <w:tcW w:w="120" w:type="dxa"/>
            <w:vAlign w:val="bottom"/>
            <w:gridSpan w:val="6"/>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12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0"/>
              </w:rPr>
            </w:pPr>
            <w:hyperlink r:id="rId594">
              <w:r>
                <w:rPr>
                  <w:rFonts w:ascii="Arial" w:cs="Arial" w:eastAsia="Arial" w:hAnsi="Arial"/>
                  <w:sz w:val="12"/>
                  <w:szCs w:val="12"/>
                  <w:color w:val="0000EE"/>
                  <w:w w:val="90"/>
                </w:rPr>
                <w:t>Roivant Sciences Ltd.’s Form S-4 filed with the SEC on August 6, 2021, as amended)</w:t>
              </w:r>
            </w:hyperlink>
          </w:p>
        </w:tc>
        <w:tc>
          <w:tcPr>
            <w:tcW w:w="1940" w:type="dxa"/>
            <w:vAlign w:val="bottom"/>
            <w:tcBorders>
              <w:top w:val="single" w:sz="8" w:color="0000EE"/>
            </w:tcBorders>
            <w:gridSpan w:val="10"/>
          </w:tcPr>
          <w:p>
            <w:pPr>
              <w:spacing w:after="0"/>
              <w:rPr>
                <w:sz w:val="10"/>
                <w:szCs w:val="10"/>
                <w:color w:val="auto"/>
              </w:rPr>
            </w:pPr>
          </w:p>
        </w:tc>
        <w:tc>
          <w:tcPr>
            <w:tcW w:w="180" w:type="dxa"/>
            <w:vAlign w:val="bottom"/>
            <w:gridSpan w:val="8"/>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3.1**</w:t>
            </w:r>
          </w:p>
        </w:tc>
        <w:tc>
          <w:tcPr>
            <w:tcW w:w="640" w:type="dxa"/>
            <w:vAlign w:val="bottom"/>
          </w:tcPr>
          <w:p>
            <w:pPr>
              <w:spacing w:after="0"/>
              <w:rPr>
                <w:sz w:val="17"/>
                <w:szCs w:val="17"/>
                <w:color w:val="auto"/>
              </w:rPr>
            </w:pPr>
          </w:p>
        </w:tc>
        <w:tc>
          <w:tcPr>
            <w:tcW w:w="6240" w:type="dxa"/>
            <w:vAlign w:val="bottom"/>
            <w:gridSpan w:val="26"/>
          </w:tcPr>
          <w:p>
            <w:pPr>
              <w:spacing w:after="0"/>
              <w:rPr>
                <w:rFonts w:ascii="Arial" w:cs="Arial" w:eastAsia="Arial" w:hAnsi="Arial"/>
                <w:sz w:val="12"/>
                <w:szCs w:val="12"/>
                <w:color w:val="0000EE"/>
                <w:w w:val="92"/>
              </w:rPr>
            </w:pPr>
            <w:hyperlink r:id="rId595">
              <w:r>
                <w:rPr>
                  <w:rFonts w:ascii="Arial" w:cs="Arial" w:eastAsia="Arial" w:hAnsi="Arial"/>
                  <w:sz w:val="12"/>
                  <w:szCs w:val="12"/>
                  <w:color w:val="0000EE"/>
                  <w:w w:val="92"/>
                </w:rPr>
                <w:t>Memorandum of Association of Roivant Sciences Ltd. (incorporated by reference to Exhibit 3.1 to Roivant Sciences Ltd.’s Form</w:t>
              </w:r>
            </w:hyperlink>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8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r:id="rId595">
              <w:r>
                <w:rPr>
                  <w:rFonts w:ascii="Arial" w:cs="Arial" w:eastAsia="Arial" w:hAnsi="Arial"/>
                  <w:sz w:val="12"/>
                  <w:szCs w:val="12"/>
                  <w:color w:val="0000EE"/>
                </w:rPr>
                <w:t>S-4 filed with the SEC on August 6, 2021, as amended)</w:t>
              </w:r>
            </w:hyperlink>
          </w:p>
        </w:tc>
        <w:tc>
          <w:tcPr>
            <w:tcW w:w="60" w:type="dxa"/>
            <w:vAlign w:val="bottom"/>
            <w:gridSpan w:val="3"/>
          </w:tcPr>
          <w:p>
            <w:pPr>
              <w:spacing w:after="0"/>
              <w:rPr>
                <w:sz w:val="10"/>
                <w:szCs w:val="10"/>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3.2**</w:t>
            </w:r>
          </w:p>
        </w:tc>
        <w:tc>
          <w:tcPr>
            <w:tcW w:w="640" w:type="dxa"/>
            <w:vAlign w:val="bottom"/>
          </w:tcPr>
          <w:p>
            <w:pPr>
              <w:spacing w:after="0"/>
              <w:rPr>
                <w:sz w:val="17"/>
                <w:szCs w:val="17"/>
                <w:color w:val="auto"/>
              </w:rPr>
            </w:pPr>
          </w:p>
        </w:tc>
        <w:tc>
          <w:tcPr>
            <w:tcW w:w="6120" w:type="dxa"/>
            <w:vAlign w:val="bottom"/>
            <w:tcBorders>
              <w:bottom w:val="single" w:sz="8" w:color="0000EE"/>
            </w:tcBorders>
            <w:gridSpan w:val="20"/>
          </w:tcPr>
          <w:p>
            <w:pPr>
              <w:spacing w:after="0"/>
              <w:rPr>
                <w:rFonts w:ascii="Arial" w:cs="Arial" w:eastAsia="Arial" w:hAnsi="Arial"/>
                <w:sz w:val="12"/>
                <w:szCs w:val="12"/>
                <w:color w:val="0000EE"/>
                <w:w w:val="90"/>
              </w:rPr>
            </w:pPr>
            <w:hyperlink r:id="rId596">
              <w:r>
                <w:rPr>
                  <w:rFonts w:ascii="Arial" w:cs="Arial" w:eastAsia="Arial" w:hAnsi="Arial"/>
                  <w:sz w:val="12"/>
                  <w:szCs w:val="12"/>
                  <w:color w:val="0000EE"/>
                  <w:w w:val="90"/>
                </w:rPr>
                <w:t>Amended and Restated Bye-laws of Roivant Sciences Ltd. (incorporated by reference to Exhibit 3.1 to Roivant Sciences Ltd.’s</w:t>
              </w:r>
            </w:hyperlink>
          </w:p>
        </w:tc>
        <w:tc>
          <w:tcPr>
            <w:tcW w:w="120" w:type="dxa"/>
            <w:vAlign w:val="bottom"/>
            <w:gridSpan w:val="6"/>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0" w:type="dxa"/>
            <w:vAlign w:val="bottom"/>
            <w:tcBorders>
              <w:bottom w:val="single" w:sz="8" w:color="0000EE"/>
            </w:tcBorders>
            <w:gridSpan w:val="6"/>
          </w:tcPr>
          <w:p>
            <w:pPr>
              <w:spacing w:after="0" w:line="124" w:lineRule="exact"/>
              <w:rPr>
                <w:rFonts w:ascii="Arial" w:cs="Arial" w:eastAsia="Arial" w:hAnsi="Arial"/>
                <w:sz w:val="12"/>
                <w:szCs w:val="12"/>
                <w:color w:val="0000EE"/>
                <w:w w:val="92"/>
              </w:rPr>
            </w:pPr>
            <w:hyperlink r:id="rId596">
              <w:r>
                <w:rPr>
                  <w:rFonts w:ascii="Arial" w:cs="Arial" w:eastAsia="Arial" w:hAnsi="Arial"/>
                  <w:sz w:val="12"/>
                  <w:szCs w:val="12"/>
                  <w:color w:val="0000EE"/>
                  <w:w w:val="92"/>
                </w:rPr>
                <w:t>Form 8-K filed with the SEC on October 1, 2021)</w:t>
              </w:r>
            </w:hyperlink>
          </w:p>
        </w:tc>
        <w:tc>
          <w:tcPr>
            <w:tcW w:w="3840" w:type="dxa"/>
            <w:vAlign w:val="bottom"/>
            <w:gridSpan w:val="20"/>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4.1**</w:t>
            </w:r>
          </w:p>
        </w:tc>
        <w:tc>
          <w:tcPr>
            <w:tcW w:w="640" w:type="dxa"/>
            <w:vAlign w:val="bottom"/>
          </w:tcPr>
          <w:p>
            <w:pPr>
              <w:spacing w:after="0"/>
              <w:rPr>
                <w:sz w:val="17"/>
                <w:szCs w:val="17"/>
                <w:color w:val="auto"/>
              </w:rPr>
            </w:pPr>
          </w:p>
        </w:tc>
        <w:tc>
          <w:tcPr>
            <w:tcW w:w="6240" w:type="dxa"/>
            <w:vAlign w:val="bottom"/>
            <w:gridSpan w:val="26"/>
          </w:tcPr>
          <w:p>
            <w:pPr>
              <w:spacing w:after="0"/>
              <w:rPr>
                <w:rFonts w:ascii="Arial" w:cs="Arial" w:eastAsia="Arial" w:hAnsi="Arial"/>
                <w:sz w:val="12"/>
                <w:szCs w:val="12"/>
                <w:color w:val="0000EE"/>
                <w:w w:val="94"/>
              </w:rPr>
            </w:pPr>
            <w:hyperlink r:id="rId597">
              <w:r>
                <w:rPr>
                  <w:rFonts w:ascii="Arial" w:cs="Arial" w:eastAsia="Arial" w:hAnsi="Arial"/>
                  <w:sz w:val="12"/>
                  <w:szCs w:val="12"/>
                  <w:color w:val="0000EE"/>
                  <w:w w:val="94"/>
                </w:rPr>
                <w:t>Specimen Unit Certificate of Montes Archimedes Acquisition Corp. (incorporated herein by reference to Exhibit 4.1 of Montes</w:t>
              </w:r>
            </w:hyperlink>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20" w:type="dxa"/>
            <w:vAlign w:val="bottom"/>
            <w:tcBorders>
              <w:top w:val="single" w:sz="8" w:color="0000EE"/>
            </w:tcBorders>
            <w:gridSpan w:val="20"/>
          </w:tcPr>
          <w:p>
            <w:pPr>
              <w:spacing w:after="0" w:line="124" w:lineRule="exact"/>
              <w:rPr>
                <w:rFonts w:ascii="Arial" w:cs="Arial" w:eastAsia="Arial" w:hAnsi="Arial"/>
                <w:sz w:val="12"/>
                <w:szCs w:val="12"/>
                <w:color w:val="0000EE"/>
                <w:w w:val="99"/>
              </w:rPr>
            </w:pPr>
            <w:hyperlink r:id="rId597">
              <w:r>
                <w:rPr>
                  <w:rFonts w:ascii="Arial" w:cs="Arial" w:eastAsia="Arial" w:hAnsi="Arial"/>
                  <w:sz w:val="12"/>
                  <w:szCs w:val="12"/>
                  <w:color w:val="0000EE"/>
                  <w:w w:val="99"/>
                </w:rPr>
                <w:t>Archimedes Acquisition Corp.’s Amendment No. 1 to the Registration Statement on Form S-1, filed with the SEC on</w:t>
              </w:r>
            </w:hyperlink>
          </w:p>
        </w:tc>
        <w:tc>
          <w:tcPr>
            <w:tcW w:w="120" w:type="dxa"/>
            <w:vAlign w:val="bottom"/>
            <w:gridSpan w:val="6"/>
          </w:tcPr>
          <w:p>
            <w:pPr>
              <w:spacing w:after="0"/>
              <w:rPr>
                <w:sz w:val="10"/>
                <w:szCs w:val="10"/>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4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597">
              <w:r>
                <w:rPr>
                  <w:rFonts w:ascii="Arial" w:cs="Arial" w:eastAsia="Arial" w:hAnsi="Arial"/>
                  <w:sz w:val="12"/>
                  <w:szCs w:val="12"/>
                  <w:color w:val="0000EE"/>
                  <w:w w:val="91"/>
                </w:rPr>
                <w:t>September 24, 2020) (incorporated by reference to Exhibit 4.1 to Roivant Sciences Ltd.’s Form S-4 filed with the SEC on</w:t>
              </w:r>
            </w:hyperlink>
          </w:p>
        </w:tc>
        <w:tc>
          <w:tcPr>
            <w:tcW w:w="400" w:type="dxa"/>
            <w:vAlign w:val="bottom"/>
            <w:gridSpan w:val="13"/>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tcBorders>
              <w:bottom w:val="single" w:sz="8" w:color="0000EE"/>
            </w:tcBorders>
            <w:gridSpan w:val="3"/>
          </w:tcPr>
          <w:p>
            <w:pPr>
              <w:spacing w:after="0" w:line="124" w:lineRule="exact"/>
              <w:rPr>
                <w:rFonts w:ascii="Arial" w:cs="Arial" w:eastAsia="Arial" w:hAnsi="Arial"/>
                <w:sz w:val="12"/>
                <w:szCs w:val="12"/>
                <w:color w:val="0000EE"/>
                <w:w w:val="88"/>
              </w:rPr>
            </w:pPr>
            <w:hyperlink r:id="rId597">
              <w:r>
                <w:rPr>
                  <w:rFonts w:ascii="Arial" w:cs="Arial" w:eastAsia="Arial" w:hAnsi="Arial"/>
                  <w:sz w:val="12"/>
                  <w:szCs w:val="12"/>
                  <w:color w:val="0000EE"/>
                  <w:w w:val="88"/>
                </w:rPr>
                <w:t>August 6, 2021, as amended)</w:t>
              </w:r>
            </w:hyperlink>
          </w:p>
        </w:tc>
        <w:tc>
          <w:tcPr>
            <w:tcW w:w="4820" w:type="dxa"/>
            <w:vAlign w:val="bottom"/>
            <w:gridSpan w:val="23"/>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4.2**</w:t>
            </w:r>
          </w:p>
        </w:tc>
        <w:tc>
          <w:tcPr>
            <w:tcW w:w="640" w:type="dxa"/>
            <w:vAlign w:val="bottom"/>
          </w:tcPr>
          <w:p>
            <w:pPr>
              <w:spacing w:after="0"/>
              <w:rPr>
                <w:sz w:val="17"/>
                <w:szCs w:val="17"/>
                <w:color w:val="auto"/>
              </w:rPr>
            </w:pPr>
          </w:p>
        </w:tc>
        <w:tc>
          <w:tcPr>
            <w:tcW w:w="6240" w:type="dxa"/>
            <w:vAlign w:val="bottom"/>
            <w:gridSpan w:val="26"/>
          </w:tcPr>
          <w:p>
            <w:pPr>
              <w:spacing w:after="0"/>
              <w:rPr>
                <w:rFonts w:ascii="Arial" w:cs="Arial" w:eastAsia="Arial" w:hAnsi="Arial"/>
                <w:sz w:val="12"/>
                <w:szCs w:val="12"/>
                <w:color w:val="0000EE"/>
                <w:w w:val="95"/>
              </w:rPr>
            </w:pPr>
            <w:hyperlink r:id="rId598">
              <w:r>
                <w:rPr>
                  <w:rFonts w:ascii="Arial" w:cs="Arial" w:eastAsia="Arial" w:hAnsi="Arial"/>
                  <w:sz w:val="12"/>
                  <w:szCs w:val="12"/>
                  <w:color w:val="0000EE"/>
                  <w:w w:val="95"/>
                </w:rPr>
                <w:t>Specimen Class A Common Stock Certificate of Montes Archimedes Acquisition Corp. (incorporated herein by reference to</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140" w:type="dxa"/>
            <w:vAlign w:val="bottom"/>
            <w:tcBorders>
              <w:bottom w:val="single" w:sz="8" w:color="0000EE"/>
            </w:tcBorders>
            <w:gridSpan w:val="21"/>
          </w:tcPr>
          <w:p>
            <w:pPr>
              <w:spacing w:after="0" w:line="124" w:lineRule="exact"/>
              <w:rPr>
                <w:rFonts w:ascii="Arial" w:cs="Arial" w:eastAsia="Arial" w:hAnsi="Arial"/>
                <w:sz w:val="12"/>
                <w:szCs w:val="12"/>
                <w:color w:val="0000EE"/>
                <w:w w:val="92"/>
              </w:rPr>
            </w:pPr>
            <w:hyperlink r:id="rId598">
              <w:r>
                <w:rPr>
                  <w:rFonts w:ascii="Arial" w:cs="Arial" w:eastAsia="Arial" w:hAnsi="Arial"/>
                  <w:sz w:val="12"/>
                  <w:szCs w:val="12"/>
                  <w:color w:val="0000EE"/>
                  <w:w w:val="92"/>
                </w:rPr>
                <w:t>Exhibit 4.2 of Montes Archimedes Acquisition Corp.’s Amendment No. 1 to the Registration Statement on Form S-1, filed with</w:t>
              </w:r>
            </w:hyperlink>
          </w:p>
        </w:tc>
        <w:tc>
          <w:tcPr>
            <w:tcW w:w="100" w:type="dxa"/>
            <w:vAlign w:val="bottom"/>
            <w:gridSpan w:val="5"/>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20" w:type="dxa"/>
            <w:vAlign w:val="bottom"/>
            <w:tcBorders>
              <w:bottom w:val="single" w:sz="8" w:color="0000EE"/>
            </w:tcBorders>
            <w:gridSpan w:val="17"/>
          </w:tcPr>
          <w:p>
            <w:pPr>
              <w:spacing w:after="0" w:line="124" w:lineRule="exact"/>
              <w:rPr>
                <w:rFonts w:ascii="Arial" w:cs="Arial" w:eastAsia="Arial" w:hAnsi="Arial"/>
                <w:sz w:val="12"/>
                <w:szCs w:val="12"/>
                <w:color w:val="0000EE"/>
                <w:w w:val="91"/>
              </w:rPr>
            </w:pPr>
            <w:hyperlink r:id="rId598">
              <w:r>
                <w:rPr>
                  <w:rFonts w:ascii="Arial" w:cs="Arial" w:eastAsia="Arial" w:hAnsi="Arial"/>
                  <w:sz w:val="12"/>
                  <w:szCs w:val="12"/>
                  <w:color w:val="0000EE"/>
                  <w:w w:val="91"/>
                </w:rPr>
                <w:t>the SEC on September 24, 2020) (incorporated by reference to Exhibit 4.2 to Roivant Sciences Ltd.’s Form S-4 filed with the</w:t>
              </w:r>
            </w:hyperlink>
          </w:p>
        </w:tc>
        <w:tc>
          <w:tcPr>
            <w:tcW w:w="220" w:type="dxa"/>
            <w:vAlign w:val="bottom"/>
            <w:gridSpan w:val="9"/>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r:id="rId598">
              <w:r>
                <w:rPr>
                  <w:rFonts w:ascii="Arial" w:cs="Arial" w:eastAsia="Arial" w:hAnsi="Arial"/>
                  <w:sz w:val="12"/>
                  <w:szCs w:val="12"/>
                  <w:color w:val="0000EE"/>
                  <w:w w:val="88"/>
                </w:rPr>
                <w:t>SEC on August 6, 2021, as amended)</w:t>
              </w:r>
            </w:hyperlink>
          </w:p>
        </w:tc>
        <w:tc>
          <w:tcPr>
            <w:tcW w:w="4440" w:type="dxa"/>
            <w:vAlign w:val="bottom"/>
            <w:gridSpan w:val="21"/>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4.3**</w:t>
            </w:r>
          </w:p>
        </w:tc>
        <w:tc>
          <w:tcPr>
            <w:tcW w:w="640" w:type="dxa"/>
            <w:vAlign w:val="bottom"/>
          </w:tcPr>
          <w:p>
            <w:pPr>
              <w:spacing w:after="0"/>
              <w:rPr>
                <w:sz w:val="17"/>
                <w:szCs w:val="17"/>
                <w:color w:val="auto"/>
              </w:rPr>
            </w:pPr>
          </w:p>
        </w:tc>
        <w:tc>
          <w:tcPr>
            <w:tcW w:w="6240" w:type="dxa"/>
            <w:vAlign w:val="bottom"/>
            <w:gridSpan w:val="26"/>
          </w:tcPr>
          <w:p>
            <w:pPr>
              <w:spacing w:after="0"/>
              <w:rPr>
                <w:rFonts w:ascii="Arial" w:cs="Arial" w:eastAsia="Arial" w:hAnsi="Arial"/>
                <w:sz w:val="12"/>
                <w:szCs w:val="12"/>
                <w:color w:val="0000EE"/>
                <w:w w:val="97"/>
              </w:rPr>
            </w:pPr>
            <w:hyperlink r:id="rId599">
              <w:r>
                <w:rPr>
                  <w:rFonts w:ascii="Arial" w:cs="Arial" w:eastAsia="Arial" w:hAnsi="Arial"/>
                  <w:sz w:val="12"/>
                  <w:szCs w:val="12"/>
                  <w:color w:val="0000EE"/>
                  <w:w w:val="97"/>
                </w:rPr>
                <w:t>Specimen Warrant Certificate of Montes Archimedes Acquisition Corp. (incorporated herein by reference to Exhibit 4.3 of</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20" w:type="dxa"/>
            <w:vAlign w:val="bottom"/>
            <w:tcBorders>
              <w:bottom w:val="single" w:sz="8" w:color="0000EE"/>
            </w:tcBorders>
            <w:gridSpan w:val="17"/>
          </w:tcPr>
          <w:p>
            <w:pPr>
              <w:spacing w:after="0" w:line="124" w:lineRule="exact"/>
              <w:rPr>
                <w:rFonts w:ascii="Arial" w:cs="Arial" w:eastAsia="Arial" w:hAnsi="Arial"/>
                <w:sz w:val="12"/>
                <w:szCs w:val="12"/>
                <w:color w:val="0000EE"/>
                <w:w w:val="91"/>
              </w:rPr>
            </w:pPr>
            <w:hyperlink r:id="rId599">
              <w:r>
                <w:rPr>
                  <w:rFonts w:ascii="Arial" w:cs="Arial" w:eastAsia="Arial" w:hAnsi="Arial"/>
                  <w:sz w:val="12"/>
                  <w:szCs w:val="12"/>
                  <w:color w:val="0000EE"/>
                  <w:w w:val="91"/>
                </w:rPr>
                <w:t>Montes Archimedes Acquisition Corp.’s Amendment No. 1 to the Registration Statement on Form S-1, filed with the SEC on</w:t>
              </w:r>
            </w:hyperlink>
          </w:p>
        </w:tc>
        <w:tc>
          <w:tcPr>
            <w:tcW w:w="220" w:type="dxa"/>
            <w:vAlign w:val="bottom"/>
            <w:gridSpan w:val="9"/>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4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599">
              <w:r>
                <w:rPr>
                  <w:rFonts w:ascii="Arial" w:cs="Arial" w:eastAsia="Arial" w:hAnsi="Arial"/>
                  <w:sz w:val="12"/>
                  <w:szCs w:val="12"/>
                  <w:color w:val="0000EE"/>
                  <w:w w:val="91"/>
                </w:rPr>
                <w:t>September 24, 2020) (incorporated by reference to Exhibit 4.3 to Roivant Sciences Ltd.’s Form S-4 filed with the SEC on</w:t>
              </w:r>
            </w:hyperlink>
          </w:p>
        </w:tc>
        <w:tc>
          <w:tcPr>
            <w:tcW w:w="400" w:type="dxa"/>
            <w:vAlign w:val="bottom"/>
            <w:gridSpan w:val="13"/>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Borders>
              <w:bottom w:val="single" w:sz="8" w:color="0000EE"/>
            </w:tcBorders>
            <w:gridSpan w:val="2"/>
          </w:tcPr>
          <w:p>
            <w:pPr>
              <w:spacing w:after="0" w:line="124" w:lineRule="exact"/>
              <w:rPr>
                <w:rFonts w:ascii="Arial" w:cs="Arial" w:eastAsia="Arial" w:hAnsi="Arial"/>
                <w:sz w:val="12"/>
                <w:szCs w:val="12"/>
                <w:color w:val="0000EE"/>
                <w:w w:val="87"/>
              </w:rPr>
            </w:pPr>
            <w:hyperlink r:id="rId599">
              <w:r>
                <w:rPr>
                  <w:rFonts w:ascii="Arial" w:cs="Arial" w:eastAsia="Arial" w:hAnsi="Arial"/>
                  <w:sz w:val="12"/>
                  <w:szCs w:val="12"/>
                  <w:color w:val="0000EE"/>
                  <w:w w:val="87"/>
                </w:rPr>
                <w:t>August 6, 2021, as amended)</w:t>
              </w:r>
            </w:hyperlink>
          </w:p>
        </w:tc>
        <w:tc>
          <w:tcPr>
            <w:tcW w:w="4840" w:type="dxa"/>
            <w:vAlign w:val="bottom"/>
            <w:gridSpan w:val="24"/>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4.4**</w:t>
            </w:r>
          </w:p>
        </w:tc>
        <w:tc>
          <w:tcPr>
            <w:tcW w:w="640" w:type="dxa"/>
            <w:vAlign w:val="bottom"/>
          </w:tcPr>
          <w:p>
            <w:pPr>
              <w:spacing w:after="0"/>
              <w:rPr>
                <w:sz w:val="17"/>
                <w:szCs w:val="17"/>
                <w:color w:val="auto"/>
              </w:rPr>
            </w:pPr>
          </w:p>
        </w:tc>
        <w:tc>
          <w:tcPr>
            <w:tcW w:w="5700" w:type="dxa"/>
            <w:vAlign w:val="bottom"/>
            <w:tcBorders>
              <w:bottom w:val="single" w:sz="8" w:color="0000EE"/>
            </w:tcBorders>
            <w:gridSpan w:val="11"/>
          </w:tcPr>
          <w:p>
            <w:pPr>
              <w:spacing w:after="0"/>
              <w:rPr>
                <w:rFonts w:ascii="Arial" w:cs="Arial" w:eastAsia="Arial" w:hAnsi="Arial"/>
                <w:sz w:val="12"/>
                <w:szCs w:val="12"/>
                <w:color w:val="0000EE"/>
                <w:w w:val="91"/>
              </w:rPr>
            </w:pPr>
            <w:hyperlink r:id="rId600">
              <w:r>
                <w:rPr>
                  <w:rFonts w:ascii="Arial" w:cs="Arial" w:eastAsia="Arial" w:hAnsi="Arial"/>
                  <w:sz w:val="12"/>
                  <w:szCs w:val="12"/>
                  <w:color w:val="0000EE"/>
                  <w:w w:val="91"/>
                </w:rPr>
                <w:t>Warrant Agreement between Continental Stock Transfer &amp; Trust Company and Montes Archimedes Acquisition Corp.</w:t>
              </w:r>
            </w:hyperlink>
          </w:p>
        </w:tc>
        <w:tc>
          <w:tcPr>
            <w:tcW w:w="540" w:type="dxa"/>
            <w:vAlign w:val="bottom"/>
            <w:gridSpan w:val="15"/>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80" w:type="dxa"/>
            <w:vAlign w:val="bottom"/>
            <w:tcBorders>
              <w:bottom w:val="single" w:sz="8" w:color="0000EE"/>
            </w:tcBorders>
            <w:gridSpan w:val="19"/>
          </w:tcPr>
          <w:p>
            <w:pPr>
              <w:spacing w:after="0" w:line="124" w:lineRule="exact"/>
              <w:rPr>
                <w:rFonts w:ascii="Arial" w:cs="Arial" w:eastAsia="Arial" w:hAnsi="Arial"/>
                <w:sz w:val="12"/>
                <w:szCs w:val="12"/>
                <w:color w:val="0000EE"/>
                <w:w w:val="92"/>
              </w:rPr>
            </w:pPr>
            <w:hyperlink r:id="rId600">
              <w:r>
                <w:rPr>
                  <w:rFonts w:ascii="Arial" w:cs="Arial" w:eastAsia="Arial" w:hAnsi="Arial"/>
                  <w:sz w:val="12"/>
                  <w:szCs w:val="12"/>
                  <w:color w:val="0000EE"/>
                  <w:w w:val="92"/>
                </w:rPr>
                <w:t>(incorporated herein by reference to Exhibit 4.1 of Montes Archimedes Acquisition Corp.’s Current Report on Form 8-K, filed</w:t>
              </w:r>
            </w:hyperlink>
          </w:p>
        </w:tc>
        <w:tc>
          <w:tcPr>
            <w:tcW w:w="160" w:type="dxa"/>
            <w:vAlign w:val="bottom"/>
            <w:gridSpan w:val="7"/>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0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600">
              <w:r>
                <w:rPr>
                  <w:rFonts w:ascii="Arial" w:cs="Arial" w:eastAsia="Arial" w:hAnsi="Arial"/>
                  <w:sz w:val="12"/>
                  <w:szCs w:val="12"/>
                  <w:color w:val="0000EE"/>
                  <w:w w:val="90"/>
                </w:rPr>
                <w:t>with the SEC on October 13, 2020)</w:t>
              </w:r>
            </w:hyperlink>
          </w:p>
        </w:tc>
        <w:tc>
          <w:tcPr>
            <w:tcW w:w="4540" w:type="dxa"/>
            <w:vAlign w:val="bottom"/>
            <w:gridSpan w:val="22"/>
          </w:tcPr>
          <w:p>
            <w:pPr>
              <w:spacing w:after="0"/>
              <w:rPr>
                <w:sz w:val="10"/>
                <w:szCs w:val="10"/>
                <w:color w:val="auto"/>
              </w:rPr>
            </w:pPr>
          </w:p>
        </w:tc>
      </w:tr>
    </w:tbl>
    <w:p>
      <w:pPr>
        <w:spacing w:after="0" w:line="10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2717165</wp:posOffset>
            </wp:positionV>
            <wp:extent cx="7214870" cy="539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260" w:type="dxa"/>
            <w:vAlign w:val="bottom"/>
            <w:gridSpan w:val="23"/>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4.5**</w:t>
            </w:r>
          </w:p>
        </w:tc>
        <w:tc>
          <w:tcPr>
            <w:tcW w:w="580" w:type="dxa"/>
            <w:vAlign w:val="bottom"/>
          </w:tcPr>
          <w:p>
            <w:pPr>
              <w:spacing w:after="0"/>
              <w:rPr>
                <w:sz w:val="15"/>
                <w:szCs w:val="15"/>
                <w:color w:val="auto"/>
              </w:rPr>
            </w:pPr>
          </w:p>
        </w:tc>
        <w:tc>
          <w:tcPr>
            <w:tcW w:w="6260" w:type="dxa"/>
            <w:vAlign w:val="bottom"/>
            <w:tcBorders>
              <w:bottom w:val="single" w:sz="8" w:color="0000EE"/>
            </w:tcBorders>
            <w:gridSpan w:val="23"/>
          </w:tcPr>
          <w:p>
            <w:pPr>
              <w:spacing w:after="0"/>
              <w:rPr>
                <w:rFonts w:ascii="Arial" w:cs="Arial" w:eastAsia="Arial" w:hAnsi="Arial"/>
                <w:sz w:val="12"/>
                <w:szCs w:val="12"/>
                <w:color w:val="0000EE"/>
                <w:w w:val="90"/>
              </w:rPr>
            </w:pPr>
            <w:hyperlink r:id="rId602">
              <w:r>
                <w:rPr>
                  <w:rFonts w:ascii="Arial" w:cs="Arial" w:eastAsia="Arial" w:hAnsi="Arial"/>
                  <w:sz w:val="12"/>
                  <w:szCs w:val="12"/>
                  <w:color w:val="0000EE"/>
                  <w:w w:val="90"/>
                </w:rPr>
                <w:t>Specimen Ordinary Share Certificate of Roivant Sciences Ltd. (incorporated by reference to Exhibit 4.5 to Roivant Sciences Ltd.’s</w:t>
              </w:r>
            </w:hyperlink>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60" w:type="dxa"/>
            <w:vAlign w:val="bottom"/>
            <w:tcBorders>
              <w:bottom w:val="single" w:sz="8" w:color="0000EE"/>
            </w:tcBorders>
            <w:gridSpan w:val="6"/>
          </w:tcPr>
          <w:p>
            <w:pPr>
              <w:spacing w:after="0" w:line="124" w:lineRule="exact"/>
              <w:rPr>
                <w:rFonts w:ascii="Arial" w:cs="Arial" w:eastAsia="Arial" w:hAnsi="Arial"/>
                <w:sz w:val="12"/>
                <w:szCs w:val="12"/>
                <w:color w:val="0000EE"/>
                <w:w w:val="90"/>
              </w:rPr>
            </w:pPr>
            <w:hyperlink r:id="rId602">
              <w:r>
                <w:rPr>
                  <w:rFonts w:ascii="Arial" w:cs="Arial" w:eastAsia="Arial" w:hAnsi="Arial"/>
                  <w:sz w:val="12"/>
                  <w:szCs w:val="12"/>
                  <w:color w:val="0000EE"/>
                  <w:w w:val="90"/>
                </w:rPr>
                <w:t>Form S-4 filed with the SEC on August 6, 2021, as amended)</w:t>
              </w:r>
            </w:hyperlink>
          </w:p>
        </w:tc>
        <w:tc>
          <w:tcPr>
            <w:tcW w:w="3300" w:type="dxa"/>
            <w:vAlign w:val="bottom"/>
            <w:gridSpan w:val="17"/>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4.6**</w:t>
            </w:r>
          </w:p>
        </w:tc>
        <w:tc>
          <w:tcPr>
            <w:tcW w:w="580" w:type="dxa"/>
            <w:vAlign w:val="bottom"/>
          </w:tcPr>
          <w:p>
            <w:pPr>
              <w:spacing w:after="0"/>
              <w:rPr>
                <w:sz w:val="17"/>
                <w:szCs w:val="17"/>
                <w:color w:val="auto"/>
              </w:rPr>
            </w:pPr>
          </w:p>
        </w:tc>
        <w:tc>
          <w:tcPr>
            <w:tcW w:w="6220" w:type="dxa"/>
            <w:vAlign w:val="bottom"/>
            <w:tcBorders>
              <w:bottom w:val="single" w:sz="8" w:color="0000EE"/>
            </w:tcBorders>
            <w:gridSpan w:val="21"/>
          </w:tcPr>
          <w:p>
            <w:pPr>
              <w:spacing w:after="0"/>
              <w:rPr>
                <w:rFonts w:ascii="Arial" w:cs="Arial" w:eastAsia="Arial" w:hAnsi="Arial"/>
                <w:sz w:val="12"/>
                <w:szCs w:val="12"/>
                <w:color w:val="0000EE"/>
                <w:w w:val="91"/>
              </w:rPr>
            </w:pPr>
            <w:hyperlink r:id="rId603">
              <w:r>
                <w:rPr>
                  <w:rFonts w:ascii="Arial" w:cs="Arial" w:eastAsia="Arial" w:hAnsi="Arial"/>
                  <w:sz w:val="12"/>
                  <w:szCs w:val="12"/>
                  <w:color w:val="0000EE"/>
                  <w:w w:val="91"/>
                </w:rPr>
                <w:t>Specimen Warrant Certificate of Roivant Sciences Ltd. (incorporated by reference to Exhibit 4.6 to Roivant Sciences Ltd.’s Form</w:t>
              </w:r>
            </w:hyperlink>
          </w:p>
        </w:tc>
        <w:tc>
          <w:tcPr>
            <w:tcW w:w="40" w:type="dxa"/>
            <w:vAlign w:val="bottom"/>
            <w:gridSpan w:val="2"/>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gridSpan w:val="23"/>
          </w:tcPr>
          <w:p>
            <w:pPr>
              <w:spacing w:after="0" w:line="124" w:lineRule="exact"/>
              <w:rPr>
                <w:rFonts w:ascii="Arial" w:cs="Arial" w:eastAsia="Arial" w:hAnsi="Arial"/>
                <w:sz w:val="12"/>
                <w:szCs w:val="12"/>
                <w:color w:val="0000EE"/>
              </w:rPr>
            </w:pPr>
            <w:hyperlink r:id="rId603">
              <w:r>
                <w:rPr>
                  <w:rFonts w:ascii="Arial" w:cs="Arial" w:eastAsia="Arial" w:hAnsi="Arial"/>
                  <w:sz w:val="12"/>
                  <w:szCs w:val="12"/>
                  <w:color w:val="0000EE"/>
                </w:rPr>
                <w:t>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4.7**</w:t>
            </w:r>
          </w:p>
        </w:tc>
        <w:tc>
          <w:tcPr>
            <w:tcW w:w="580" w:type="dxa"/>
            <w:vAlign w:val="bottom"/>
          </w:tcPr>
          <w:p>
            <w:pPr>
              <w:spacing w:after="0"/>
              <w:rPr>
                <w:sz w:val="17"/>
                <w:szCs w:val="17"/>
                <w:color w:val="auto"/>
              </w:rPr>
            </w:pPr>
          </w:p>
        </w:tc>
        <w:tc>
          <w:tcPr>
            <w:tcW w:w="6020" w:type="dxa"/>
            <w:vAlign w:val="bottom"/>
            <w:tcBorders>
              <w:bottom w:val="single" w:sz="8" w:color="0000EE"/>
            </w:tcBorders>
            <w:gridSpan w:val="14"/>
          </w:tcPr>
          <w:p>
            <w:pPr>
              <w:spacing w:after="0"/>
              <w:rPr>
                <w:rFonts w:ascii="Arial" w:cs="Arial" w:eastAsia="Arial" w:hAnsi="Arial"/>
                <w:sz w:val="12"/>
                <w:szCs w:val="12"/>
                <w:color w:val="0000EE"/>
                <w:w w:val="91"/>
              </w:rPr>
            </w:pPr>
            <w:hyperlink r:id="rId604">
              <w:r>
                <w:rPr>
                  <w:rFonts w:ascii="Arial" w:cs="Arial" w:eastAsia="Arial" w:hAnsi="Arial"/>
                  <w:sz w:val="12"/>
                  <w:szCs w:val="12"/>
                  <w:color w:val="0000EE"/>
                  <w:w w:val="91"/>
                </w:rPr>
                <w:t>Form of Warrant Assumption Agreement, by and between Montes Archimedes Acquisition Corp., Roivant Sciences Ltd. and</w:t>
              </w:r>
            </w:hyperlink>
          </w:p>
        </w:tc>
        <w:tc>
          <w:tcPr>
            <w:tcW w:w="240" w:type="dxa"/>
            <w:vAlign w:val="bottom"/>
            <w:gridSpan w:val="9"/>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160" w:type="dxa"/>
            <w:vAlign w:val="bottom"/>
            <w:tcBorders>
              <w:bottom w:val="single" w:sz="8" w:color="0000EE"/>
            </w:tcBorders>
            <w:gridSpan w:val="18"/>
          </w:tcPr>
          <w:p>
            <w:pPr>
              <w:spacing w:after="0" w:line="124" w:lineRule="exact"/>
              <w:rPr>
                <w:rFonts w:ascii="Arial" w:cs="Arial" w:eastAsia="Arial" w:hAnsi="Arial"/>
                <w:sz w:val="12"/>
                <w:szCs w:val="12"/>
                <w:color w:val="0000EE"/>
                <w:w w:val="91"/>
              </w:rPr>
            </w:pPr>
            <w:hyperlink r:id="rId604">
              <w:r>
                <w:rPr>
                  <w:rFonts w:ascii="Arial" w:cs="Arial" w:eastAsia="Arial" w:hAnsi="Arial"/>
                  <w:sz w:val="12"/>
                  <w:szCs w:val="12"/>
                  <w:color w:val="0000EE"/>
                  <w:w w:val="91"/>
                </w:rPr>
                <w:t>American Stock Transfer &amp; Trust Company, LLC (incorporated by reference to Exhibit 4.7 to Roivant Sciences Ltd.’s Form S-4</w:t>
              </w:r>
            </w:hyperlink>
          </w:p>
        </w:tc>
        <w:tc>
          <w:tcPr>
            <w:tcW w:w="100" w:type="dxa"/>
            <w:vAlign w:val="bottom"/>
            <w:gridSpan w:val="5"/>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gridSpan w:val="23"/>
          </w:tcPr>
          <w:p>
            <w:pPr>
              <w:spacing w:after="0" w:line="124" w:lineRule="exact"/>
              <w:rPr>
                <w:rFonts w:ascii="Arial" w:cs="Arial" w:eastAsia="Arial" w:hAnsi="Arial"/>
                <w:sz w:val="12"/>
                <w:szCs w:val="12"/>
                <w:color w:val="0000EE"/>
              </w:rPr>
            </w:pPr>
            <w:hyperlink r:id="rId604">
              <w:r>
                <w:rPr>
                  <w:rFonts w:ascii="Arial" w:cs="Arial" w:eastAsia="Arial" w:hAnsi="Arial"/>
                  <w:sz w:val="12"/>
                  <w:szCs w:val="12"/>
                  <w:color w:val="0000EE"/>
                </w:rPr>
                <w:t>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5.1</w:t>
            </w:r>
          </w:p>
        </w:tc>
        <w:tc>
          <w:tcPr>
            <w:tcW w:w="580" w:type="dxa"/>
            <w:vAlign w:val="bottom"/>
          </w:tcPr>
          <w:p>
            <w:pPr>
              <w:spacing w:after="0"/>
              <w:rPr>
                <w:sz w:val="17"/>
                <w:szCs w:val="17"/>
                <w:color w:val="auto"/>
              </w:rPr>
            </w:pPr>
          </w:p>
        </w:tc>
        <w:tc>
          <w:tcPr>
            <w:tcW w:w="6260" w:type="dxa"/>
            <w:vAlign w:val="bottom"/>
            <w:gridSpan w:val="23"/>
          </w:tcPr>
          <w:p>
            <w:pPr>
              <w:spacing w:after="0"/>
              <w:rPr>
                <w:rFonts w:ascii="Arial" w:cs="Arial" w:eastAsia="Arial" w:hAnsi="Arial"/>
                <w:sz w:val="12"/>
                <w:szCs w:val="12"/>
                <w:color w:val="0000EE"/>
                <w:w w:val="95"/>
              </w:rPr>
            </w:pPr>
            <w:hyperlink w:anchor="page448">
              <w:r>
                <w:rPr>
                  <w:rFonts w:ascii="Arial" w:cs="Arial" w:eastAsia="Arial" w:hAnsi="Arial"/>
                  <w:sz w:val="12"/>
                  <w:szCs w:val="12"/>
                  <w:color w:val="0000EE"/>
                  <w:w w:val="95"/>
                </w:rPr>
                <w:t>Opinion of Conyers Dill &amp; Pearman Limited as to matters concerning the laws of Bermuda as to the validity of the Common</w:t>
              </w:r>
            </w:hyperlink>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w:anchor="page448">
              <w:r>
                <w:rPr>
                  <w:rFonts w:ascii="Arial" w:cs="Arial" w:eastAsia="Arial" w:hAnsi="Arial"/>
                  <w:sz w:val="12"/>
                  <w:szCs w:val="12"/>
                  <w:color w:val="0000EE"/>
                  <w:w w:val="88"/>
                </w:rPr>
                <w:t>Shares of Roivant Sciences Ltd.</w:t>
              </w:r>
            </w:hyperlink>
          </w:p>
        </w:tc>
        <w:tc>
          <w:tcPr>
            <w:tcW w:w="4440" w:type="dxa"/>
            <w:vAlign w:val="bottom"/>
            <w:tcBorders>
              <w:top w:val="single" w:sz="8" w:color="0000EE"/>
            </w:tcBorders>
            <w:gridSpan w:val="10"/>
          </w:tcPr>
          <w:p>
            <w:pPr>
              <w:spacing w:after="0"/>
              <w:rPr>
                <w:sz w:val="10"/>
                <w:szCs w:val="10"/>
                <w:color w:val="auto"/>
              </w:rPr>
            </w:pPr>
          </w:p>
        </w:tc>
        <w:tc>
          <w:tcPr>
            <w:tcW w:w="280" w:type="dxa"/>
            <w:vAlign w:val="bottom"/>
            <w:gridSpan w:val="11"/>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5.2</w:t>
            </w:r>
          </w:p>
        </w:tc>
        <w:tc>
          <w:tcPr>
            <w:tcW w:w="58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rPr>
                <w:rFonts w:ascii="Arial" w:cs="Arial" w:eastAsia="Arial" w:hAnsi="Arial"/>
                <w:sz w:val="12"/>
                <w:szCs w:val="12"/>
                <w:color w:val="0000EE"/>
                <w:w w:val="93"/>
              </w:rPr>
            </w:pPr>
            <w:hyperlink w:anchor="page451">
              <w:r>
                <w:rPr>
                  <w:rFonts w:ascii="Arial" w:cs="Arial" w:eastAsia="Arial" w:hAnsi="Arial"/>
                  <w:sz w:val="12"/>
                  <w:szCs w:val="12"/>
                  <w:color w:val="0000EE"/>
                  <w:w w:val="93"/>
                </w:rPr>
                <w:t>Opinion of Davis Polk &amp; Wardwell LLP regarding the validity of the Warrants under New York law</w:t>
              </w:r>
            </w:hyperlink>
          </w:p>
        </w:tc>
        <w:tc>
          <w:tcPr>
            <w:tcW w:w="1460" w:type="dxa"/>
            <w:vAlign w:val="bottom"/>
            <w:gridSpan w:val="13"/>
          </w:tcPr>
          <w:p>
            <w:pPr>
              <w:spacing w:after="0"/>
              <w:rPr>
                <w:sz w:val="17"/>
                <w:szCs w:val="17"/>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8.1</w:t>
            </w:r>
          </w:p>
        </w:tc>
        <w:tc>
          <w:tcPr>
            <w:tcW w:w="58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rPr>
                <w:rFonts w:ascii="Arial" w:cs="Arial" w:eastAsia="Arial" w:hAnsi="Arial"/>
                <w:sz w:val="12"/>
                <w:szCs w:val="12"/>
                <w:color w:val="0000EE"/>
                <w:w w:val="93"/>
              </w:rPr>
            </w:pPr>
            <w:hyperlink w:anchor="page453">
              <w:r>
                <w:rPr>
                  <w:rFonts w:ascii="Arial" w:cs="Arial" w:eastAsia="Arial" w:hAnsi="Arial"/>
                  <w:sz w:val="12"/>
                  <w:szCs w:val="12"/>
                  <w:color w:val="0000EE"/>
                  <w:w w:val="93"/>
                </w:rPr>
                <w:t>Opinion of Davis Polk &amp; Wardwell London LLP regarding certain U.K. tax matters</w:t>
              </w:r>
            </w:hyperlink>
          </w:p>
        </w:tc>
        <w:tc>
          <w:tcPr>
            <w:tcW w:w="2240" w:type="dxa"/>
            <w:vAlign w:val="bottom"/>
            <w:gridSpan w:val="15"/>
          </w:tcPr>
          <w:p>
            <w:pPr>
              <w:spacing w:after="0"/>
              <w:rPr>
                <w:sz w:val="17"/>
                <w:szCs w:val="17"/>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8.2</w:t>
            </w:r>
          </w:p>
        </w:tc>
        <w:tc>
          <w:tcPr>
            <w:tcW w:w="580" w:type="dxa"/>
            <w:vAlign w:val="bottom"/>
          </w:tcPr>
          <w:p>
            <w:pPr>
              <w:spacing w:after="0"/>
              <w:rPr>
                <w:sz w:val="17"/>
                <w:szCs w:val="17"/>
                <w:color w:val="auto"/>
              </w:rPr>
            </w:pPr>
          </w:p>
        </w:tc>
        <w:tc>
          <w:tcPr>
            <w:tcW w:w="6260" w:type="dxa"/>
            <w:vAlign w:val="bottom"/>
            <w:gridSpan w:val="23"/>
          </w:tcPr>
          <w:p>
            <w:pPr>
              <w:spacing w:after="0"/>
              <w:rPr>
                <w:rFonts w:ascii="Arial" w:cs="Arial" w:eastAsia="Arial" w:hAnsi="Arial"/>
                <w:sz w:val="12"/>
                <w:szCs w:val="12"/>
                <w:color w:val="0000EE"/>
              </w:rPr>
            </w:pPr>
            <w:hyperlink w:anchor="page454">
              <w:r>
                <w:rPr>
                  <w:rFonts w:ascii="Arial" w:cs="Arial" w:eastAsia="Arial" w:hAnsi="Arial"/>
                  <w:sz w:val="12"/>
                  <w:szCs w:val="12"/>
                  <w:color w:val="0000EE"/>
                </w:rPr>
                <w:t>Opinion of Davis Polk &amp; Wardwell LLP regarding certain U.S. tax matters</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10.1**</w:t>
            </w:r>
          </w:p>
        </w:tc>
        <w:tc>
          <w:tcPr>
            <w:tcW w:w="580" w:type="dxa"/>
            <w:vAlign w:val="bottom"/>
          </w:tcPr>
          <w:p>
            <w:pPr>
              <w:spacing w:after="0"/>
              <w:rPr>
                <w:sz w:val="17"/>
                <w:szCs w:val="17"/>
                <w:color w:val="auto"/>
              </w:rPr>
            </w:pPr>
          </w:p>
        </w:tc>
        <w:tc>
          <w:tcPr>
            <w:tcW w:w="6180" w:type="dxa"/>
            <w:vAlign w:val="bottom"/>
            <w:tcBorders>
              <w:bottom w:val="single" w:sz="8" w:color="0000EE"/>
            </w:tcBorders>
            <w:gridSpan w:val="19"/>
          </w:tcPr>
          <w:p>
            <w:pPr>
              <w:spacing w:after="0"/>
              <w:rPr>
                <w:rFonts w:ascii="Arial" w:cs="Arial" w:eastAsia="Arial" w:hAnsi="Arial"/>
                <w:sz w:val="12"/>
                <w:szCs w:val="12"/>
                <w:color w:val="0000EE"/>
                <w:w w:val="90"/>
              </w:rPr>
            </w:pPr>
            <w:hyperlink r:id="rId605">
              <w:r>
                <w:rPr>
                  <w:rFonts w:ascii="Arial" w:cs="Arial" w:eastAsia="Arial" w:hAnsi="Arial"/>
                  <w:sz w:val="12"/>
                  <w:szCs w:val="12"/>
                  <w:color w:val="0000EE"/>
                  <w:w w:val="90"/>
                </w:rPr>
                <w:t>Third Amended and Restated Registration Rights Agreement, dated as of May 1, 2021, by and among Roivant Sciences Ltd. and</w:t>
              </w:r>
            </w:hyperlink>
          </w:p>
        </w:tc>
        <w:tc>
          <w:tcPr>
            <w:tcW w:w="80" w:type="dxa"/>
            <w:vAlign w:val="bottom"/>
            <w:gridSpan w:val="4"/>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r:id="rId605">
              <w:r>
                <w:rPr>
                  <w:rFonts w:ascii="Arial" w:cs="Arial" w:eastAsia="Arial" w:hAnsi="Arial"/>
                  <w:sz w:val="12"/>
                  <w:szCs w:val="12"/>
                  <w:color w:val="0000EE"/>
                  <w:w w:val="90"/>
                </w:rPr>
                <w:t>the parties thereto (included as Annex C to the joint proxy statement/prospectus which is part of Roivant Sciences Ltd.’s Form S-4</w:t>
              </w:r>
            </w:hyperlink>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160" w:type="dxa"/>
            <w:vAlign w:val="bottom"/>
            <w:tcBorders>
              <w:bottom w:val="single" w:sz="8" w:color="0000EE"/>
            </w:tcBorders>
            <w:gridSpan w:val="18"/>
          </w:tcPr>
          <w:p>
            <w:pPr>
              <w:spacing w:after="0" w:line="124" w:lineRule="exact"/>
              <w:rPr>
                <w:rFonts w:ascii="Arial" w:cs="Arial" w:eastAsia="Arial" w:hAnsi="Arial"/>
                <w:sz w:val="12"/>
                <w:szCs w:val="12"/>
                <w:color w:val="0000EE"/>
                <w:w w:val="91"/>
              </w:rPr>
            </w:pPr>
            <w:hyperlink r:id="rId605">
              <w:r>
                <w:rPr>
                  <w:rFonts w:ascii="Arial" w:cs="Arial" w:eastAsia="Arial" w:hAnsi="Arial"/>
                  <w:sz w:val="12"/>
                  <w:szCs w:val="12"/>
                  <w:color w:val="0000EE"/>
                  <w:w w:val="91"/>
                </w:rPr>
                <w:t>filed with the SEC on August 6, 2021) (incorporated by reference to Exhibit 10.1 to Roivant Sciences Ltd.’s Form S-4 filed with</w:t>
              </w:r>
            </w:hyperlink>
          </w:p>
        </w:tc>
        <w:tc>
          <w:tcPr>
            <w:tcW w:w="100" w:type="dxa"/>
            <w:vAlign w:val="bottom"/>
            <w:gridSpan w:val="5"/>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80" w:type="dxa"/>
            <w:vAlign w:val="bottom"/>
            <w:tcBorders>
              <w:bottom w:val="single" w:sz="8" w:color="0000EE"/>
            </w:tcBorders>
            <w:gridSpan w:val="3"/>
          </w:tcPr>
          <w:p>
            <w:pPr>
              <w:spacing w:after="0" w:line="124" w:lineRule="exact"/>
              <w:rPr>
                <w:rFonts w:ascii="Arial" w:cs="Arial" w:eastAsia="Arial" w:hAnsi="Arial"/>
                <w:sz w:val="12"/>
                <w:szCs w:val="12"/>
                <w:color w:val="0000EE"/>
                <w:w w:val="88"/>
              </w:rPr>
            </w:pPr>
            <w:hyperlink r:id="rId605">
              <w:r>
                <w:rPr>
                  <w:rFonts w:ascii="Arial" w:cs="Arial" w:eastAsia="Arial" w:hAnsi="Arial"/>
                  <w:sz w:val="12"/>
                  <w:szCs w:val="12"/>
                  <w:color w:val="0000EE"/>
                  <w:w w:val="88"/>
                </w:rPr>
                <w:t>the SEC on August 6, 2021, as amended)</w:t>
              </w:r>
            </w:hyperlink>
          </w:p>
        </w:tc>
        <w:tc>
          <w:tcPr>
            <w:tcW w:w="4280" w:type="dxa"/>
            <w:vAlign w:val="bottom"/>
            <w:gridSpan w:val="20"/>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w:t>
            </w:r>
          </w:p>
        </w:tc>
        <w:tc>
          <w:tcPr>
            <w:tcW w:w="580" w:type="dxa"/>
            <w:vAlign w:val="bottom"/>
          </w:tcPr>
          <w:p>
            <w:pPr>
              <w:spacing w:after="0"/>
              <w:rPr>
                <w:sz w:val="17"/>
                <w:szCs w:val="17"/>
                <w:color w:val="auto"/>
              </w:rPr>
            </w:pPr>
          </w:p>
        </w:tc>
        <w:tc>
          <w:tcPr>
            <w:tcW w:w="6200" w:type="dxa"/>
            <w:vAlign w:val="bottom"/>
            <w:tcBorders>
              <w:bottom w:val="single" w:sz="8" w:color="0000EE"/>
            </w:tcBorders>
            <w:gridSpan w:val="20"/>
          </w:tcPr>
          <w:p>
            <w:pPr>
              <w:spacing w:after="0"/>
              <w:rPr>
                <w:rFonts w:ascii="Arial" w:cs="Arial" w:eastAsia="Arial" w:hAnsi="Arial"/>
                <w:sz w:val="12"/>
                <w:szCs w:val="12"/>
                <w:color w:val="0000EE"/>
                <w:w w:val="91"/>
              </w:rPr>
            </w:pPr>
            <w:hyperlink r:id="rId606">
              <w:r>
                <w:rPr>
                  <w:rFonts w:ascii="Arial" w:cs="Arial" w:eastAsia="Arial" w:hAnsi="Arial"/>
                  <w:sz w:val="12"/>
                  <w:szCs w:val="12"/>
                  <w:color w:val="0000EE"/>
                  <w:w w:val="91"/>
                </w:rPr>
                <w:t>Form of Subscription Agreement (included as Annex B to the joint proxy statement/prospectus which is part of Roivant Sciences</w:t>
              </w:r>
            </w:hyperlink>
          </w:p>
        </w:tc>
        <w:tc>
          <w:tcPr>
            <w:tcW w:w="60" w:type="dxa"/>
            <w:vAlign w:val="bottom"/>
            <w:gridSpan w:val="3"/>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r:id="rId606">
              <w:r>
                <w:rPr>
                  <w:rFonts w:ascii="Arial" w:cs="Arial" w:eastAsia="Arial" w:hAnsi="Arial"/>
                  <w:sz w:val="12"/>
                  <w:szCs w:val="12"/>
                  <w:color w:val="0000EE"/>
                  <w:w w:val="91"/>
                </w:rPr>
                <w:t>Ltd.’s Form S-4 filed with the SEC on August 6, 2021) (incorporated by reference to Exhibit 10.2 to Roivant Sciences Ltd.’s Form</w:t>
              </w:r>
            </w:hyperlink>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gridSpan w:val="23"/>
          </w:tcPr>
          <w:p>
            <w:pPr>
              <w:spacing w:after="0" w:line="124" w:lineRule="exact"/>
              <w:rPr>
                <w:rFonts w:ascii="Arial" w:cs="Arial" w:eastAsia="Arial" w:hAnsi="Arial"/>
                <w:sz w:val="12"/>
                <w:szCs w:val="12"/>
                <w:color w:val="0000EE"/>
              </w:rPr>
            </w:pPr>
            <w:hyperlink r:id="rId606">
              <w:r>
                <w:rPr>
                  <w:rFonts w:ascii="Arial" w:cs="Arial" w:eastAsia="Arial" w:hAnsi="Arial"/>
                  <w:sz w:val="12"/>
                  <w:szCs w:val="12"/>
                  <w:color w:val="0000EE"/>
                </w:rPr>
                <w:t>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10.3**</w:t>
            </w:r>
          </w:p>
        </w:tc>
        <w:tc>
          <w:tcPr>
            <w:tcW w:w="580" w:type="dxa"/>
            <w:vAlign w:val="bottom"/>
          </w:tcPr>
          <w:p>
            <w:pPr>
              <w:spacing w:after="0"/>
              <w:rPr>
                <w:sz w:val="17"/>
                <w:szCs w:val="17"/>
                <w:color w:val="auto"/>
              </w:rPr>
            </w:pPr>
          </w:p>
        </w:tc>
        <w:tc>
          <w:tcPr>
            <w:tcW w:w="6040" w:type="dxa"/>
            <w:vAlign w:val="bottom"/>
            <w:tcBorders>
              <w:bottom w:val="single" w:sz="8" w:color="0000EE"/>
            </w:tcBorders>
            <w:gridSpan w:val="15"/>
          </w:tcPr>
          <w:p>
            <w:pPr>
              <w:spacing w:after="0"/>
              <w:rPr>
                <w:rFonts w:ascii="Arial" w:cs="Arial" w:eastAsia="Arial" w:hAnsi="Arial"/>
                <w:sz w:val="12"/>
                <w:szCs w:val="12"/>
                <w:color w:val="0000EE"/>
                <w:w w:val="90"/>
              </w:rPr>
            </w:pPr>
            <w:hyperlink r:id="rId607">
              <w:r>
                <w:rPr>
                  <w:rFonts w:ascii="Arial" w:cs="Arial" w:eastAsia="Arial" w:hAnsi="Arial"/>
                  <w:sz w:val="12"/>
                  <w:szCs w:val="12"/>
                  <w:color w:val="0000EE"/>
                  <w:w w:val="90"/>
                </w:rPr>
                <w:t>Sponsor Support Agreement, dated as of May 1, 2021, by and among Roivant Sciences Ltd., Montes Archimedes Acquisition</w:t>
              </w:r>
            </w:hyperlink>
          </w:p>
        </w:tc>
        <w:tc>
          <w:tcPr>
            <w:tcW w:w="220" w:type="dxa"/>
            <w:vAlign w:val="bottom"/>
            <w:gridSpan w:val="8"/>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0" w:type="dxa"/>
            <w:vAlign w:val="bottom"/>
            <w:tcBorders>
              <w:bottom w:val="single" w:sz="8" w:color="0000EE"/>
            </w:tcBorders>
            <w:gridSpan w:val="13"/>
          </w:tcPr>
          <w:p>
            <w:pPr>
              <w:spacing w:after="0" w:line="124" w:lineRule="exact"/>
              <w:rPr>
                <w:rFonts w:ascii="Arial" w:cs="Arial" w:eastAsia="Arial" w:hAnsi="Arial"/>
                <w:sz w:val="12"/>
                <w:szCs w:val="12"/>
                <w:color w:val="0000EE"/>
                <w:w w:val="90"/>
              </w:rPr>
            </w:pPr>
            <w:hyperlink r:id="rId607">
              <w:r>
                <w:rPr>
                  <w:rFonts w:ascii="Arial" w:cs="Arial" w:eastAsia="Arial" w:hAnsi="Arial"/>
                  <w:sz w:val="12"/>
                  <w:szCs w:val="12"/>
                  <w:color w:val="0000EE"/>
                  <w:w w:val="90"/>
                </w:rPr>
                <w:t>Corp., Patient Square Capital LLC and certain shareholders of Roivant Sciences Ltd. (included as Annex E to the joint proxy</w:t>
              </w:r>
            </w:hyperlink>
          </w:p>
        </w:tc>
        <w:tc>
          <w:tcPr>
            <w:tcW w:w="260" w:type="dxa"/>
            <w:vAlign w:val="bottom"/>
            <w:gridSpan w:val="10"/>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140" w:type="dxa"/>
            <w:vAlign w:val="bottom"/>
            <w:tcBorders>
              <w:bottom w:val="single" w:sz="8" w:color="0000EE"/>
            </w:tcBorders>
            <w:gridSpan w:val="17"/>
          </w:tcPr>
          <w:p>
            <w:pPr>
              <w:spacing w:after="0" w:line="124" w:lineRule="exact"/>
              <w:rPr>
                <w:rFonts w:ascii="Arial" w:cs="Arial" w:eastAsia="Arial" w:hAnsi="Arial"/>
                <w:sz w:val="12"/>
                <w:szCs w:val="12"/>
                <w:color w:val="0000EE"/>
                <w:w w:val="91"/>
              </w:rPr>
            </w:pPr>
            <w:hyperlink r:id="rId607">
              <w:r>
                <w:rPr>
                  <w:rFonts w:ascii="Arial" w:cs="Arial" w:eastAsia="Arial" w:hAnsi="Arial"/>
                  <w:sz w:val="12"/>
                  <w:szCs w:val="12"/>
                  <w:color w:val="0000EE"/>
                  <w:w w:val="91"/>
                </w:rPr>
                <w:t>statement/prospectus which is part of Roivant Sciences Ltd.’s Form S-4 filed with the SEC on August 6, 2021) (incorporated by</w:t>
              </w:r>
            </w:hyperlink>
          </w:p>
        </w:tc>
        <w:tc>
          <w:tcPr>
            <w:tcW w:w="120" w:type="dxa"/>
            <w:vAlign w:val="bottom"/>
            <w:gridSpan w:val="6"/>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gridSpan w:val="23"/>
          </w:tcPr>
          <w:p>
            <w:pPr>
              <w:spacing w:after="0" w:line="124" w:lineRule="exact"/>
              <w:rPr>
                <w:rFonts w:ascii="Arial" w:cs="Arial" w:eastAsia="Arial" w:hAnsi="Arial"/>
                <w:sz w:val="12"/>
                <w:szCs w:val="12"/>
                <w:color w:val="0000EE"/>
              </w:rPr>
            </w:pPr>
            <w:hyperlink r:id="rId607">
              <w:r>
                <w:rPr>
                  <w:rFonts w:ascii="Arial" w:cs="Arial" w:eastAsia="Arial" w:hAnsi="Arial"/>
                  <w:sz w:val="12"/>
                  <w:szCs w:val="12"/>
                  <w:color w:val="0000EE"/>
                </w:rPr>
                <w:t>reference to Exhibit 10.3 to Roivant Sciences Ltd.’s Form 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10.4**</w:t>
            </w:r>
          </w:p>
        </w:tc>
        <w:tc>
          <w:tcPr>
            <w:tcW w:w="580" w:type="dxa"/>
            <w:vAlign w:val="bottom"/>
          </w:tcPr>
          <w:p>
            <w:pPr>
              <w:spacing w:after="0"/>
              <w:rPr>
                <w:sz w:val="17"/>
                <w:szCs w:val="17"/>
                <w:color w:val="auto"/>
              </w:rPr>
            </w:pPr>
          </w:p>
        </w:tc>
        <w:tc>
          <w:tcPr>
            <w:tcW w:w="6260" w:type="dxa"/>
            <w:vAlign w:val="bottom"/>
            <w:gridSpan w:val="23"/>
          </w:tcPr>
          <w:p>
            <w:pPr>
              <w:spacing w:after="0"/>
              <w:rPr>
                <w:rFonts w:ascii="Arial" w:cs="Arial" w:eastAsia="Arial" w:hAnsi="Arial"/>
                <w:sz w:val="12"/>
                <w:szCs w:val="12"/>
                <w:color w:val="0000EE"/>
                <w:w w:val="93"/>
              </w:rPr>
            </w:pPr>
            <w:hyperlink r:id="rId608">
              <w:r>
                <w:rPr>
                  <w:rFonts w:ascii="Arial" w:cs="Arial" w:eastAsia="Arial" w:hAnsi="Arial"/>
                  <w:sz w:val="12"/>
                  <w:szCs w:val="12"/>
                  <w:color w:val="0000EE"/>
                  <w:w w:val="93"/>
                </w:rPr>
                <w:t>Form of Transaction Support Agreement, dated as of May 1, 2021, by and among Roivant Sciences Ltd., Montes Archimedes</w:t>
              </w:r>
            </w:hyperlink>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gridSpan w:val="23"/>
          </w:tcPr>
          <w:p>
            <w:pPr>
              <w:spacing w:after="0" w:line="124" w:lineRule="exact"/>
              <w:rPr>
                <w:rFonts w:ascii="Arial" w:cs="Arial" w:eastAsia="Arial" w:hAnsi="Arial"/>
                <w:sz w:val="12"/>
                <w:szCs w:val="12"/>
                <w:color w:val="0000EE"/>
                <w:w w:val="91"/>
              </w:rPr>
            </w:pPr>
            <w:hyperlink r:id="rId608">
              <w:r>
                <w:rPr>
                  <w:rFonts w:ascii="Arial" w:cs="Arial" w:eastAsia="Arial" w:hAnsi="Arial"/>
                  <w:sz w:val="12"/>
                  <w:szCs w:val="12"/>
                  <w:color w:val="0000EE"/>
                  <w:w w:val="91"/>
                </w:rPr>
                <w:t>Acquisition Corp. and certain shareholders of Roivant Sciences Ltd. (included as Annex D to the joint proxy statement/prospectus</w:t>
              </w:r>
            </w:hyperlink>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40" w:type="dxa"/>
            <w:vAlign w:val="bottom"/>
            <w:tcBorders>
              <w:top w:val="single" w:sz="8" w:color="0000EE"/>
            </w:tcBorders>
            <w:gridSpan w:val="22"/>
          </w:tcPr>
          <w:p>
            <w:pPr>
              <w:spacing w:after="0" w:line="124" w:lineRule="exact"/>
              <w:rPr>
                <w:rFonts w:ascii="Arial" w:cs="Arial" w:eastAsia="Arial" w:hAnsi="Arial"/>
                <w:sz w:val="12"/>
                <w:szCs w:val="12"/>
                <w:color w:val="0000EE"/>
                <w:w w:val="94"/>
              </w:rPr>
            </w:pPr>
            <w:hyperlink r:id="rId608">
              <w:r>
                <w:rPr>
                  <w:rFonts w:ascii="Arial" w:cs="Arial" w:eastAsia="Arial" w:hAnsi="Arial"/>
                  <w:sz w:val="12"/>
                  <w:szCs w:val="12"/>
                  <w:color w:val="0000EE"/>
                  <w:w w:val="94"/>
                </w:rPr>
                <w:t>which is part of Roivant Sciences Ltd.’s Form S-4 filed with the SEC on August 6, 2021) (incorporated by reference to Exhibit</w:t>
              </w:r>
            </w:hyperlink>
          </w:p>
        </w:tc>
        <w:tc>
          <w:tcPr>
            <w:tcW w:w="20" w:type="dxa"/>
            <w:vAlign w:val="bottom"/>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8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608">
              <w:r>
                <w:rPr>
                  <w:rFonts w:ascii="Arial" w:cs="Arial" w:eastAsia="Arial" w:hAnsi="Arial"/>
                  <w:sz w:val="12"/>
                  <w:szCs w:val="12"/>
                  <w:color w:val="0000EE"/>
                </w:rPr>
                <w:t>10.</w:t>
              </w:r>
              <w:r>
                <w:rPr>
                  <w:rFonts w:ascii="Arial" w:cs="Arial" w:eastAsia="Arial" w:hAnsi="Arial"/>
                  <w:sz w:val="12"/>
                  <w:szCs w:val="12"/>
                  <w:u w:val="single" w:color="auto"/>
                  <w:color w:val="0000EE"/>
                </w:rPr>
                <w:t>4</w:t>
              </w:r>
              <w:r>
                <w:rPr>
                  <w:rFonts w:ascii="Arial" w:cs="Arial" w:eastAsia="Arial" w:hAnsi="Arial"/>
                  <w:sz w:val="12"/>
                  <w:szCs w:val="12"/>
                  <w:color w:val="0000EE"/>
                </w:rPr>
                <w:t xml:space="preserve"> to Roivant Sciences Ltd.’s Form S-4 filed with the SEC on August 6, 2021, as amended)</w:t>
              </w:r>
            </w:hyperlink>
          </w:p>
        </w:tc>
        <w:tc>
          <w:tcPr>
            <w:tcW w:w="180" w:type="dxa"/>
            <w:vAlign w:val="bottom"/>
            <w:gridSpan w:val="7"/>
          </w:tcPr>
          <w:p>
            <w:pPr>
              <w:spacing w:after="0"/>
              <w:rPr>
                <w:sz w:val="10"/>
                <w:szCs w:val="10"/>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159"/>
          </w:cols>
          <w:pgMar w:left="300" w:top="372" w:right="1440" w:bottom="0" w:gutter="0" w:footer="0" w:header="0"/>
        </w:sectPr>
      </w:pPr>
    </w:p>
    <w:bookmarkStart w:id="439" w:name="page440"/>
    <w:bookmarkEnd w:id="439"/>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color w:val="auto"/>
              </w:rPr>
              <w:t>10.5**</w:t>
            </w:r>
          </w:p>
        </w:tc>
        <w:tc>
          <w:tcPr>
            <w:tcW w:w="6240" w:type="dxa"/>
            <w:vAlign w:val="bottom"/>
            <w:gridSpan w:val="7"/>
          </w:tcPr>
          <w:p>
            <w:pPr>
              <w:spacing w:after="0"/>
              <w:rPr>
                <w:rFonts w:ascii="Arial" w:cs="Arial" w:eastAsia="Arial" w:hAnsi="Arial"/>
                <w:sz w:val="12"/>
                <w:szCs w:val="12"/>
                <w:color w:val="0000EE"/>
                <w:w w:val="95"/>
              </w:rPr>
            </w:pPr>
            <w:hyperlink r:id="rId609">
              <w:r>
                <w:rPr>
                  <w:rFonts w:ascii="Arial" w:cs="Arial" w:eastAsia="Arial" w:hAnsi="Arial"/>
                  <w:sz w:val="12"/>
                  <w:szCs w:val="12"/>
                  <w:color w:val="0000EE"/>
                  <w:w w:val="95"/>
                </w:rPr>
                <w:t>Investment Management Trust Agreement between Continental Stock Transfer &amp; Trust Company and Montes Archimedes</w:t>
              </w:r>
            </w:hyperlink>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1040" w:type="dxa"/>
            <w:vAlign w:val="bottom"/>
          </w:tcPr>
          <w:p>
            <w:pPr>
              <w:spacing w:after="0"/>
              <w:rPr>
                <w:sz w:val="10"/>
                <w:szCs w:val="10"/>
                <w:color w:val="auto"/>
              </w:rPr>
            </w:pPr>
          </w:p>
        </w:tc>
        <w:tc>
          <w:tcPr>
            <w:tcW w:w="6240" w:type="dxa"/>
            <w:vAlign w:val="bottom"/>
            <w:tcBorders>
              <w:bottom w:val="single" w:sz="8" w:color="0000EE"/>
            </w:tcBorders>
            <w:gridSpan w:val="7"/>
          </w:tcPr>
          <w:p>
            <w:pPr>
              <w:spacing w:after="0" w:line="124" w:lineRule="exact"/>
              <w:rPr>
                <w:rFonts w:ascii="Arial" w:cs="Arial" w:eastAsia="Arial" w:hAnsi="Arial"/>
                <w:sz w:val="12"/>
                <w:szCs w:val="12"/>
                <w:color w:val="0000EE"/>
                <w:w w:val="92"/>
              </w:rPr>
            </w:pPr>
            <w:hyperlink r:id="rId609">
              <w:r>
                <w:rPr>
                  <w:rFonts w:ascii="Arial" w:cs="Arial" w:eastAsia="Arial" w:hAnsi="Arial"/>
                  <w:sz w:val="12"/>
                  <w:szCs w:val="12"/>
                  <w:color w:val="0000EE"/>
                  <w:w w:val="92"/>
                </w:rPr>
                <w:t>Acquisition Corp. (incorporated herein by reference to Exhibit 10.1 of Montes Archimedes Acquisition Corp.’s Current Report on</w:t>
              </w:r>
            </w:hyperlink>
          </w:p>
        </w:tc>
      </w:tr>
      <w:tr>
        <w:trPr>
          <w:trHeight w:val="124"/>
        </w:trPr>
        <w:tc>
          <w:tcPr>
            <w:tcW w:w="1040" w:type="dxa"/>
            <w:vAlign w:val="bottom"/>
          </w:tcPr>
          <w:p>
            <w:pPr>
              <w:spacing w:after="0"/>
              <w:rPr>
                <w:sz w:val="10"/>
                <w:szCs w:val="10"/>
                <w:color w:val="auto"/>
              </w:rPr>
            </w:pPr>
          </w:p>
        </w:tc>
        <w:tc>
          <w:tcPr>
            <w:tcW w:w="6240" w:type="dxa"/>
            <w:vAlign w:val="bottom"/>
            <w:gridSpan w:val="7"/>
          </w:tcPr>
          <w:p>
            <w:pPr>
              <w:spacing w:after="0" w:line="124" w:lineRule="exact"/>
              <w:rPr>
                <w:rFonts w:ascii="Arial" w:cs="Arial" w:eastAsia="Arial" w:hAnsi="Arial"/>
                <w:sz w:val="12"/>
                <w:szCs w:val="12"/>
                <w:color w:val="0000EE"/>
                <w:w w:val="93"/>
              </w:rPr>
            </w:pPr>
            <w:hyperlink r:id="rId609">
              <w:r>
                <w:rPr>
                  <w:rFonts w:ascii="Arial" w:cs="Arial" w:eastAsia="Arial" w:hAnsi="Arial"/>
                  <w:sz w:val="12"/>
                  <w:szCs w:val="12"/>
                  <w:color w:val="0000EE"/>
                  <w:w w:val="93"/>
                </w:rPr>
                <w:t>Form 8-K, filed with the SEC on October 13, 2020) (incorporated by reference to Exhibit 10.5 to Roivant Sciences Ltd.’s Form</w:t>
              </w:r>
            </w:hyperlink>
          </w:p>
        </w:tc>
      </w:tr>
      <w:tr>
        <w:trPr>
          <w:trHeight w:val="124"/>
        </w:trPr>
        <w:tc>
          <w:tcPr>
            <w:tcW w:w="1040" w:type="dxa"/>
            <w:vAlign w:val="bottom"/>
          </w:tcPr>
          <w:p>
            <w:pPr>
              <w:spacing w:after="0"/>
              <w:rPr>
                <w:sz w:val="10"/>
                <w:szCs w:val="10"/>
                <w:color w:val="auto"/>
              </w:rPr>
            </w:pPr>
          </w:p>
        </w:tc>
        <w:tc>
          <w:tcPr>
            <w:tcW w:w="61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r:id="rId609">
              <w:r>
                <w:rPr>
                  <w:rFonts w:ascii="Arial" w:cs="Arial" w:eastAsia="Arial" w:hAnsi="Arial"/>
                  <w:sz w:val="12"/>
                  <w:szCs w:val="12"/>
                  <w:color w:val="0000EE"/>
                </w:rPr>
                <w:t>S-4 filed with the SEC on August 6, 2021, as amended)</w:t>
              </w:r>
            </w:hyperlink>
          </w:p>
        </w:tc>
        <w:tc>
          <w:tcPr>
            <w:tcW w:w="140" w:type="dxa"/>
            <w:vAlign w:val="bottom"/>
            <w:gridSpan w:val="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2"/>
                <w:szCs w:val="12"/>
                <w:color w:val="auto"/>
              </w:rPr>
              <w:t>10.6#**</w:t>
            </w:r>
          </w:p>
        </w:tc>
        <w:tc>
          <w:tcPr>
            <w:tcW w:w="6120" w:type="dxa"/>
            <w:vAlign w:val="bottom"/>
            <w:tcBorders>
              <w:bottom w:val="single" w:sz="8" w:color="0000EE"/>
            </w:tcBorders>
            <w:gridSpan w:val="6"/>
          </w:tcPr>
          <w:p>
            <w:pPr>
              <w:spacing w:after="0"/>
              <w:rPr>
                <w:rFonts w:ascii="Arial" w:cs="Arial" w:eastAsia="Arial" w:hAnsi="Arial"/>
                <w:sz w:val="12"/>
                <w:szCs w:val="12"/>
                <w:color w:val="0000EE"/>
                <w:w w:val="90"/>
              </w:rPr>
            </w:pPr>
            <w:hyperlink r:id="rId610">
              <w:r>
                <w:rPr>
                  <w:rFonts w:ascii="Arial" w:cs="Arial" w:eastAsia="Arial" w:hAnsi="Arial"/>
                  <w:sz w:val="12"/>
                  <w:szCs w:val="12"/>
                  <w:color w:val="0000EE"/>
                  <w:w w:val="90"/>
                </w:rPr>
                <w:t>License Agreement, dated as of December 19, 2017, by and between HanAll Biopharma Co., Ltd. and Roivant Sciences GmbH</w:t>
              </w:r>
            </w:hyperlink>
          </w:p>
        </w:tc>
        <w:tc>
          <w:tcPr>
            <w:tcW w:w="120" w:type="dxa"/>
            <w:vAlign w:val="bottom"/>
          </w:tcPr>
          <w:p>
            <w:pPr>
              <w:spacing w:after="0"/>
              <w:rPr>
                <w:sz w:val="17"/>
                <w:szCs w:val="17"/>
                <w:color w:val="auto"/>
              </w:rPr>
            </w:pPr>
          </w:p>
        </w:tc>
      </w:tr>
      <w:tr>
        <w:trPr>
          <w:trHeight w:val="124"/>
        </w:trPr>
        <w:tc>
          <w:tcPr>
            <w:tcW w:w="1040" w:type="dxa"/>
            <w:vAlign w:val="bottom"/>
          </w:tcPr>
          <w:p>
            <w:pPr>
              <w:spacing w:after="0"/>
              <w:rPr>
                <w:sz w:val="10"/>
                <w:szCs w:val="10"/>
                <w:color w:val="auto"/>
              </w:rPr>
            </w:pPr>
          </w:p>
        </w:tc>
        <w:tc>
          <w:tcPr>
            <w:tcW w:w="6240" w:type="dxa"/>
            <w:vAlign w:val="bottom"/>
            <w:gridSpan w:val="7"/>
          </w:tcPr>
          <w:p>
            <w:pPr>
              <w:spacing w:after="0" w:line="124" w:lineRule="exact"/>
              <w:rPr>
                <w:rFonts w:ascii="Arial" w:cs="Arial" w:eastAsia="Arial" w:hAnsi="Arial"/>
                <w:sz w:val="12"/>
                <w:szCs w:val="12"/>
                <w:color w:val="0000EE"/>
                <w:w w:val="96"/>
              </w:rPr>
            </w:pPr>
            <w:hyperlink r:id="rId610">
              <w:r>
                <w:rPr>
                  <w:rFonts w:ascii="Arial" w:cs="Arial" w:eastAsia="Arial" w:hAnsi="Arial"/>
                  <w:sz w:val="12"/>
                  <w:szCs w:val="12"/>
                  <w:color w:val="0000EE"/>
                  <w:w w:val="96"/>
                </w:rPr>
                <w:t>(incorporated herein by reference to Exhibit 10.6 of Immunovant, Inc.’s Current Report on Form 8-K, filed with the SEC on</w:t>
              </w:r>
            </w:hyperlink>
          </w:p>
        </w:tc>
      </w:tr>
      <w:tr>
        <w:trPr>
          <w:trHeight w:val="124"/>
        </w:trPr>
        <w:tc>
          <w:tcPr>
            <w:tcW w:w="1040" w:type="dxa"/>
            <w:vAlign w:val="bottom"/>
          </w:tcPr>
          <w:p>
            <w:pPr>
              <w:spacing w:after="0"/>
              <w:rPr>
                <w:sz w:val="10"/>
                <w:szCs w:val="10"/>
                <w:color w:val="auto"/>
              </w:rPr>
            </w:pPr>
          </w:p>
        </w:tc>
        <w:tc>
          <w:tcPr>
            <w:tcW w:w="9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7"/>
              </w:rPr>
            </w:pPr>
            <w:hyperlink r:id="rId610">
              <w:r>
                <w:rPr>
                  <w:rFonts w:ascii="Arial" w:cs="Arial" w:eastAsia="Arial" w:hAnsi="Arial"/>
                  <w:sz w:val="12"/>
                  <w:szCs w:val="12"/>
                  <w:color w:val="0000EE"/>
                  <w:w w:val="87"/>
                </w:rPr>
                <w:t>December 20, 2019)</w:t>
              </w:r>
            </w:hyperlink>
          </w:p>
        </w:tc>
        <w:tc>
          <w:tcPr>
            <w:tcW w:w="4960" w:type="dxa"/>
            <w:vAlign w:val="bottom"/>
            <w:tcBorders>
              <w:top w:val="single" w:sz="8" w:color="0000EE"/>
            </w:tcBorders>
            <w:gridSpan w:val="3"/>
          </w:tcPr>
          <w:p>
            <w:pPr>
              <w:spacing w:after="0"/>
              <w:rPr>
                <w:sz w:val="10"/>
                <w:szCs w:val="10"/>
                <w:color w:val="auto"/>
              </w:rPr>
            </w:pPr>
          </w:p>
        </w:tc>
        <w:tc>
          <w:tcPr>
            <w:tcW w:w="300" w:type="dxa"/>
            <w:vAlign w:val="bottom"/>
            <w:gridSpan w:val="3"/>
          </w:tcPr>
          <w:p>
            <w:pPr>
              <w:spacing w:after="0"/>
              <w:rPr>
                <w:sz w:val="10"/>
                <w:szCs w:val="10"/>
                <w:color w:val="auto"/>
              </w:rPr>
            </w:pPr>
          </w:p>
        </w:tc>
      </w:tr>
    </w:tbl>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II-4</w:t>
      </w:r>
    </w:p>
    <w:p>
      <w:pPr>
        <w:sectPr>
          <w:pgSz w:w="11900" w:h="16838" w:orient="portrait"/>
          <w:cols w:equalWidth="0" w:num="1">
            <w:col w:w="9019"/>
          </w:cols>
          <w:pgMar w:left="1440" w:top="119" w:right="1440" w:bottom="1440" w:gutter="0" w:footer="0" w:header="0"/>
        </w:sectPr>
      </w:pPr>
    </w:p>
    <w:bookmarkStart w:id="440" w:name="page441"/>
    <w:bookmarkEnd w:id="4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320" w:type="dxa"/>
            <w:vAlign w:val="bottom"/>
            <w:gridSpan w:val="22"/>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10.7#**</w:t>
            </w:r>
          </w:p>
        </w:tc>
        <w:tc>
          <w:tcPr>
            <w:tcW w:w="520" w:type="dxa"/>
            <w:vAlign w:val="bottom"/>
          </w:tcPr>
          <w:p>
            <w:pPr>
              <w:spacing w:after="0"/>
              <w:rPr>
                <w:sz w:val="15"/>
                <w:szCs w:val="15"/>
                <w:color w:val="auto"/>
              </w:rPr>
            </w:pPr>
          </w:p>
        </w:tc>
        <w:tc>
          <w:tcPr>
            <w:tcW w:w="5960" w:type="dxa"/>
            <w:vAlign w:val="bottom"/>
            <w:tcBorders>
              <w:bottom w:val="single" w:sz="8" w:color="0000EE"/>
            </w:tcBorders>
            <w:gridSpan w:val="11"/>
          </w:tcPr>
          <w:p>
            <w:pPr>
              <w:spacing w:after="0"/>
              <w:rPr>
                <w:rFonts w:ascii="Arial" w:cs="Arial" w:eastAsia="Arial" w:hAnsi="Arial"/>
                <w:sz w:val="12"/>
                <w:szCs w:val="12"/>
                <w:color w:val="0000EE"/>
                <w:w w:val="89"/>
              </w:rPr>
            </w:pPr>
            <w:hyperlink r:id="rId612">
              <w:r>
                <w:rPr>
                  <w:rFonts w:ascii="Arial" w:cs="Arial" w:eastAsia="Arial" w:hAnsi="Arial"/>
                  <w:sz w:val="12"/>
                  <w:szCs w:val="12"/>
                  <w:color w:val="0000EE"/>
                  <w:w w:val="89"/>
                </w:rPr>
                <w:t>Collaboration and License Agreement, dated as of January 15, 2020, by and between Dermavant Sciences GmbH and Japan</w:t>
              </w:r>
            </w:hyperlink>
          </w:p>
        </w:tc>
        <w:tc>
          <w:tcPr>
            <w:tcW w:w="360" w:type="dxa"/>
            <w:vAlign w:val="bottom"/>
            <w:gridSpan w:val="11"/>
          </w:tcPr>
          <w:p>
            <w:pPr>
              <w:spacing w:after="0"/>
              <w:rPr>
                <w:sz w:val="15"/>
                <w:szCs w:val="15"/>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1"/>
              </w:rPr>
            </w:pPr>
            <w:hyperlink r:id="rId612">
              <w:r>
                <w:rPr>
                  <w:rFonts w:ascii="Arial" w:cs="Arial" w:eastAsia="Arial" w:hAnsi="Arial"/>
                  <w:sz w:val="12"/>
                  <w:szCs w:val="12"/>
                  <w:color w:val="0000EE"/>
                  <w:w w:val="91"/>
                </w:rPr>
                <w:t>Tobacco Inc. (incorporated by reference to Exhibit 10.7 to Roivant Sciences Ltd.’s Form S-4 filed with the SEC on August 6, 2021,</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2"/>
              </w:rPr>
            </w:pPr>
            <w:hyperlink r:id="rId612">
              <w:r>
                <w:rPr>
                  <w:rFonts w:ascii="Arial" w:cs="Arial" w:eastAsia="Arial" w:hAnsi="Arial"/>
                  <w:sz w:val="12"/>
                  <w:szCs w:val="12"/>
                  <w:color w:val="0000EE"/>
                  <w:w w:val="82"/>
                </w:rPr>
                <w:t>as amended)</w:t>
              </w:r>
            </w:hyperlink>
          </w:p>
        </w:tc>
        <w:tc>
          <w:tcPr>
            <w:tcW w:w="5700" w:type="dxa"/>
            <w:vAlign w:val="bottom"/>
            <w:tcBorders>
              <w:top w:val="single" w:sz="8" w:color="0000EE"/>
            </w:tcBorders>
            <w:gridSpan w:val="19"/>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10.8#**</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8"/>
              </w:rPr>
            </w:pPr>
            <w:hyperlink r:id="rId613">
              <w:r>
                <w:rPr>
                  <w:rFonts w:ascii="Arial" w:cs="Arial" w:eastAsia="Arial" w:hAnsi="Arial"/>
                  <w:sz w:val="12"/>
                  <w:szCs w:val="12"/>
                  <w:color w:val="0000EE"/>
                  <w:w w:val="98"/>
                </w:rPr>
                <w:t>Clinical Manufacturing and Supply Agreement, dated August 20, 2018, by and between Dermavant Sciences GmbH and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0" w:type="dxa"/>
            <w:vAlign w:val="bottom"/>
            <w:tcBorders>
              <w:bottom w:val="single" w:sz="8" w:color="0000EE"/>
            </w:tcBorders>
            <w:gridSpan w:val="18"/>
          </w:tcPr>
          <w:p>
            <w:pPr>
              <w:spacing w:after="0" w:line="124" w:lineRule="exact"/>
              <w:rPr>
                <w:rFonts w:ascii="Arial" w:cs="Arial" w:eastAsia="Arial" w:hAnsi="Arial"/>
                <w:sz w:val="12"/>
                <w:szCs w:val="12"/>
                <w:color w:val="0000EE"/>
                <w:w w:val="92"/>
              </w:rPr>
            </w:pPr>
            <w:hyperlink r:id="rId613">
              <w:r>
                <w:rPr>
                  <w:rFonts w:ascii="Arial" w:cs="Arial" w:eastAsia="Arial" w:hAnsi="Arial"/>
                  <w:sz w:val="12"/>
                  <w:szCs w:val="12"/>
                  <w:color w:val="0000EE"/>
                  <w:w w:val="92"/>
                </w:rPr>
                <w:t>GlaxoSmithKline Trading Services Limited. (incorporated by reference to Exhibit 10.8 to Roivant Sciences Ltd.’s Form S-4 filed</w:t>
              </w:r>
            </w:hyperlink>
          </w:p>
        </w:tc>
        <w:tc>
          <w:tcPr>
            <w:tcW w:w="120" w:type="dxa"/>
            <w:vAlign w:val="bottom"/>
            <w:gridSpan w:val="4"/>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r:id="rId613">
              <w:r>
                <w:rPr>
                  <w:rFonts w:ascii="Arial" w:cs="Arial" w:eastAsia="Arial" w:hAnsi="Arial"/>
                  <w:sz w:val="12"/>
                  <w:szCs w:val="12"/>
                  <w:color w:val="0000EE"/>
                  <w:w w:val="89"/>
                </w:rPr>
                <w:t>with the SEC on August 6, 2021, as amended)</w:t>
              </w:r>
            </w:hyperlink>
          </w:p>
        </w:tc>
        <w:tc>
          <w:tcPr>
            <w:tcW w:w="4100" w:type="dxa"/>
            <w:vAlign w:val="bottom"/>
            <w:gridSpan w:val="17"/>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10.9#**</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7"/>
              </w:rPr>
            </w:pPr>
            <w:hyperlink r:id="rId614">
              <w:r>
                <w:rPr>
                  <w:rFonts w:ascii="Arial" w:cs="Arial" w:eastAsia="Arial" w:hAnsi="Arial"/>
                  <w:sz w:val="12"/>
                  <w:szCs w:val="12"/>
                  <w:color w:val="0000EE"/>
                  <w:w w:val="97"/>
                </w:rPr>
                <w:t>Commercial Manufacturing and Supply Agreement, dated April 1, 2019, by and between Dermavant Sciences GmbH and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0" w:type="dxa"/>
            <w:vAlign w:val="bottom"/>
            <w:tcBorders>
              <w:bottom w:val="single" w:sz="8" w:color="0000EE"/>
            </w:tcBorders>
            <w:gridSpan w:val="18"/>
          </w:tcPr>
          <w:p>
            <w:pPr>
              <w:spacing w:after="0" w:line="124" w:lineRule="exact"/>
              <w:rPr>
                <w:rFonts w:ascii="Arial" w:cs="Arial" w:eastAsia="Arial" w:hAnsi="Arial"/>
                <w:sz w:val="12"/>
                <w:szCs w:val="12"/>
                <w:color w:val="0000EE"/>
                <w:w w:val="92"/>
              </w:rPr>
            </w:pPr>
            <w:hyperlink r:id="rId614">
              <w:r>
                <w:rPr>
                  <w:rFonts w:ascii="Arial" w:cs="Arial" w:eastAsia="Arial" w:hAnsi="Arial"/>
                  <w:sz w:val="12"/>
                  <w:szCs w:val="12"/>
                  <w:color w:val="0000EE"/>
                  <w:w w:val="92"/>
                </w:rPr>
                <w:t>GlaxoSmithKline Trading Services Limited. (incorporated by reference to Exhibit 10.9 to Roivant Sciences Ltd.’s Form S-4 filed</w:t>
              </w:r>
            </w:hyperlink>
          </w:p>
        </w:tc>
        <w:tc>
          <w:tcPr>
            <w:tcW w:w="120" w:type="dxa"/>
            <w:vAlign w:val="bottom"/>
            <w:gridSpan w:val="4"/>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r:id="rId614">
              <w:r>
                <w:rPr>
                  <w:rFonts w:ascii="Arial" w:cs="Arial" w:eastAsia="Arial" w:hAnsi="Arial"/>
                  <w:sz w:val="12"/>
                  <w:szCs w:val="12"/>
                  <w:color w:val="0000EE"/>
                  <w:w w:val="89"/>
                </w:rPr>
                <w:t>with the SEC on August 6, 2021, as amended)</w:t>
              </w:r>
            </w:hyperlink>
          </w:p>
        </w:tc>
        <w:tc>
          <w:tcPr>
            <w:tcW w:w="4100" w:type="dxa"/>
            <w:vAlign w:val="bottom"/>
            <w:gridSpan w:val="17"/>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10.10#**</w:t>
            </w:r>
          </w:p>
        </w:tc>
        <w:tc>
          <w:tcPr>
            <w:tcW w:w="520" w:type="dxa"/>
            <w:vAlign w:val="bottom"/>
          </w:tcPr>
          <w:p>
            <w:pPr>
              <w:spacing w:after="0"/>
              <w:rPr>
                <w:sz w:val="17"/>
                <w:szCs w:val="17"/>
                <w:color w:val="auto"/>
              </w:rPr>
            </w:pPr>
          </w:p>
        </w:tc>
        <w:tc>
          <w:tcPr>
            <w:tcW w:w="6220" w:type="dxa"/>
            <w:vAlign w:val="bottom"/>
            <w:tcBorders>
              <w:bottom w:val="single" w:sz="8" w:color="0000EE"/>
            </w:tcBorders>
            <w:gridSpan w:val="19"/>
          </w:tcPr>
          <w:p>
            <w:pPr>
              <w:spacing w:after="0"/>
              <w:rPr>
                <w:rFonts w:ascii="Arial" w:cs="Arial" w:eastAsia="Arial" w:hAnsi="Arial"/>
                <w:sz w:val="12"/>
                <w:szCs w:val="12"/>
                <w:color w:val="0000EE"/>
                <w:w w:val="89"/>
              </w:rPr>
            </w:pPr>
            <w:hyperlink r:id="rId615">
              <w:r>
                <w:rPr>
                  <w:rFonts w:ascii="Arial" w:cs="Arial" w:eastAsia="Arial" w:hAnsi="Arial"/>
                  <w:sz w:val="12"/>
                  <w:szCs w:val="12"/>
                  <w:color w:val="0000EE"/>
                  <w:w w:val="89"/>
                </w:rPr>
                <w:t>Funding Agreement, dated as of July 10, 2018, by and between Dermavant Sciences GmBH and NovaQuest Co-Investment Fund</w:t>
              </w:r>
            </w:hyperlink>
          </w:p>
        </w:tc>
        <w:tc>
          <w:tcPr>
            <w:tcW w:w="100" w:type="dxa"/>
            <w:vAlign w:val="bottom"/>
            <w:gridSpan w:val="3"/>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r:id="rId615">
              <w:r>
                <w:rPr>
                  <w:rFonts w:ascii="Arial" w:cs="Arial" w:eastAsia="Arial" w:hAnsi="Arial"/>
                  <w:sz w:val="12"/>
                  <w:szCs w:val="12"/>
                  <w:color w:val="0000EE"/>
                  <w:w w:val="91"/>
                </w:rPr>
                <w:t>VIII, L.P. (incorporated by reference to Exhibit 10.10 to Roivant Sciences Ltd.’s Form S-4 filed with the SEC on August 6, 2021, as</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rPr>
            </w:pPr>
            <w:hyperlink r:id="rId615">
              <w:r>
                <w:rPr>
                  <w:rFonts w:ascii="Arial" w:cs="Arial" w:eastAsia="Arial" w:hAnsi="Arial"/>
                  <w:sz w:val="12"/>
                  <w:szCs w:val="12"/>
                  <w:color w:val="0000EE"/>
                </w:rPr>
                <w:t>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10.11#**</w:t>
            </w:r>
          </w:p>
        </w:tc>
        <w:tc>
          <w:tcPr>
            <w:tcW w:w="520" w:type="dxa"/>
            <w:vAlign w:val="bottom"/>
          </w:tcPr>
          <w:p>
            <w:pPr>
              <w:spacing w:after="0"/>
              <w:rPr>
                <w:sz w:val="17"/>
                <w:szCs w:val="17"/>
                <w:color w:val="auto"/>
              </w:rPr>
            </w:pPr>
          </w:p>
        </w:tc>
        <w:tc>
          <w:tcPr>
            <w:tcW w:w="5840" w:type="dxa"/>
            <w:vAlign w:val="bottom"/>
            <w:tcBorders>
              <w:bottom w:val="single" w:sz="8" w:color="0000EE"/>
            </w:tcBorders>
            <w:gridSpan w:val="8"/>
          </w:tcPr>
          <w:p>
            <w:pPr>
              <w:spacing w:after="0"/>
              <w:rPr>
                <w:rFonts w:ascii="Arial" w:cs="Arial" w:eastAsia="Arial" w:hAnsi="Arial"/>
                <w:sz w:val="12"/>
                <w:szCs w:val="12"/>
                <w:color w:val="0000EE"/>
                <w:w w:val="90"/>
              </w:rPr>
            </w:pPr>
            <w:hyperlink r:id="rId616">
              <w:r>
                <w:rPr>
                  <w:rFonts w:ascii="Arial" w:cs="Arial" w:eastAsia="Arial" w:hAnsi="Arial"/>
                  <w:sz w:val="12"/>
                  <w:szCs w:val="12"/>
                  <w:color w:val="0000EE"/>
                  <w:w w:val="90"/>
                </w:rPr>
                <w:t>First Amendment to Funding Agreement, dated as of October 11, 2018, by and between Dermavant Sciences GmBH and</w:t>
              </w:r>
            </w:hyperlink>
          </w:p>
        </w:tc>
        <w:tc>
          <w:tcPr>
            <w:tcW w:w="480" w:type="dxa"/>
            <w:vAlign w:val="bottom"/>
            <w:gridSpan w:val="14"/>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3"/>
              </w:rPr>
            </w:pPr>
            <w:hyperlink r:id="rId616">
              <w:r>
                <w:rPr>
                  <w:rFonts w:ascii="Arial" w:cs="Arial" w:eastAsia="Arial" w:hAnsi="Arial"/>
                  <w:sz w:val="12"/>
                  <w:szCs w:val="12"/>
                  <w:color w:val="0000EE"/>
                  <w:w w:val="93"/>
                </w:rPr>
                <w:t>NovaQuest Co-Investment Fund VIII, L.P. (incorporated by reference to Exhibit 10.11 to Roivant Sciences Ltd.’s Form S-4 filed</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2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9"/>
              </w:rPr>
            </w:pPr>
            <w:hyperlink r:id="rId616">
              <w:r>
                <w:rPr>
                  <w:rFonts w:ascii="Arial" w:cs="Arial" w:eastAsia="Arial" w:hAnsi="Arial"/>
                  <w:sz w:val="12"/>
                  <w:szCs w:val="12"/>
                  <w:color w:val="0000EE"/>
                  <w:w w:val="89"/>
                </w:rPr>
                <w:t>with the SEC on August 6, 2021, as amended)</w:t>
              </w:r>
            </w:hyperlink>
          </w:p>
        </w:tc>
        <w:tc>
          <w:tcPr>
            <w:tcW w:w="3940" w:type="dxa"/>
            <w:vAlign w:val="bottom"/>
            <w:tcBorders>
              <w:top w:val="single" w:sz="8" w:color="0000EE"/>
            </w:tcBorders>
            <w:gridSpan w:val="12"/>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10.12#**</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2"/>
              </w:rPr>
            </w:pPr>
            <w:hyperlink r:id="rId617">
              <w:r>
                <w:rPr>
                  <w:rFonts w:ascii="Arial" w:cs="Arial" w:eastAsia="Arial" w:hAnsi="Arial"/>
                  <w:sz w:val="12"/>
                  <w:szCs w:val="12"/>
                  <w:color w:val="0000EE"/>
                  <w:w w:val="92"/>
                </w:rPr>
                <w:t>License Agreement, dated as of November 21, 2018, by and between Cincinnati Children’s Hospital Medical Center and Aruvant</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2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617">
              <w:r>
                <w:rPr>
                  <w:rFonts w:ascii="Arial" w:cs="Arial" w:eastAsia="Arial" w:hAnsi="Arial"/>
                  <w:sz w:val="12"/>
                  <w:szCs w:val="12"/>
                  <w:color w:val="0000EE"/>
                  <w:w w:val="91"/>
                </w:rPr>
                <w:t>Sciences GmbH (incorporated by reference to Exhibit 10.12 to Roivant Sciences Ltd.’s Form S-4 filed with the SEC on August 6,</w:t>
              </w:r>
            </w:hyperlink>
          </w:p>
        </w:tc>
        <w:tc>
          <w:tcPr>
            <w:tcW w:w="100" w:type="dxa"/>
            <w:vAlign w:val="bottom"/>
            <w:gridSpan w:val="3"/>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Borders>
              <w:bottom w:val="single" w:sz="8" w:color="0000EE"/>
            </w:tcBorders>
            <w:gridSpan w:val="3"/>
          </w:tcPr>
          <w:p>
            <w:pPr>
              <w:spacing w:after="0" w:line="124" w:lineRule="exact"/>
              <w:rPr>
                <w:rFonts w:ascii="Arial" w:cs="Arial" w:eastAsia="Arial" w:hAnsi="Arial"/>
                <w:sz w:val="12"/>
                <w:szCs w:val="12"/>
                <w:color w:val="0000EE"/>
                <w:w w:val="85"/>
              </w:rPr>
            </w:pPr>
            <w:hyperlink r:id="rId617">
              <w:r>
                <w:rPr>
                  <w:rFonts w:ascii="Arial" w:cs="Arial" w:eastAsia="Arial" w:hAnsi="Arial"/>
                  <w:sz w:val="12"/>
                  <w:szCs w:val="12"/>
                  <w:color w:val="0000EE"/>
                  <w:w w:val="85"/>
                </w:rPr>
                <w:t>2021, as amended)</w:t>
              </w:r>
            </w:hyperlink>
          </w:p>
        </w:tc>
        <w:tc>
          <w:tcPr>
            <w:tcW w:w="5420" w:type="dxa"/>
            <w:vAlign w:val="bottom"/>
            <w:gridSpan w:val="19"/>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10.13#**</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5"/>
              </w:rPr>
            </w:pPr>
            <w:hyperlink r:id="rId618">
              <w:r>
                <w:rPr>
                  <w:rFonts w:ascii="Arial" w:cs="Arial" w:eastAsia="Arial" w:hAnsi="Arial"/>
                  <w:sz w:val="12"/>
                  <w:szCs w:val="12"/>
                  <w:color w:val="0000EE"/>
                  <w:w w:val="95"/>
                </w:rPr>
                <w:t>Subscription Agreement, dated as of November 21, 2018 by and between Cincinnati Children’s Hospital Medical Center and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2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618">
              <w:r>
                <w:rPr>
                  <w:rFonts w:ascii="Arial" w:cs="Arial" w:eastAsia="Arial" w:hAnsi="Arial"/>
                  <w:sz w:val="12"/>
                  <w:szCs w:val="12"/>
                  <w:color w:val="0000EE"/>
                  <w:w w:val="91"/>
                </w:rPr>
                <w:t>Aruvant Sciences Ltd. (incorporated by reference to Exhibit 10.13 to Roivant Sciences Ltd.’s Form S-4 filed with the SEC on</w:t>
              </w:r>
            </w:hyperlink>
          </w:p>
        </w:tc>
        <w:tc>
          <w:tcPr>
            <w:tcW w:w="300" w:type="dxa"/>
            <w:vAlign w:val="bottom"/>
            <w:gridSpan w:val="9"/>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tcBorders>
              <w:bottom w:val="single" w:sz="8" w:color="0000EE"/>
            </w:tcBorders>
            <w:gridSpan w:val="4"/>
          </w:tcPr>
          <w:p>
            <w:pPr>
              <w:spacing w:after="0" w:line="124" w:lineRule="exact"/>
              <w:rPr>
                <w:rFonts w:ascii="Arial" w:cs="Arial" w:eastAsia="Arial" w:hAnsi="Arial"/>
                <w:sz w:val="12"/>
                <w:szCs w:val="12"/>
                <w:color w:val="0000EE"/>
                <w:w w:val="87"/>
              </w:rPr>
            </w:pPr>
            <w:hyperlink r:id="rId618">
              <w:r>
                <w:rPr>
                  <w:rFonts w:ascii="Arial" w:cs="Arial" w:eastAsia="Arial" w:hAnsi="Arial"/>
                  <w:sz w:val="12"/>
                  <w:szCs w:val="12"/>
                  <w:color w:val="0000EE"/>
                  <w:w w:val="87"/>
                </w:rPr>
                <w:t>August 6, 2021, as amended)</w:t>
              </w:r>
            </w:hyperlink>
          </w:p>
        </w:tc>
        <w:tc>
          <w:tcPr>
            <w:tcW w:w="4920" w:type="dxa"/>
            <w:vAlign w:val="bottom"/>
            <w:gridSpan w:val="18"/>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10.14#**</w:t>
            </w:r>
          </w:p>
        </w:tc>
        <w:tc>
          <w:tcPr>
            <w:tcW w:w="520" w:type="dxa"/>
            <w:vAlign w:val="bottom"/>
          </w:tcPr>
          <w:p>
            <w:pPr>
              <w:spacing w:after="0"/>
              <w:rPr>
                <w:sz w:val="17"/>
                <w:szCs w:val="17"/>
                <w:color w:val="auto"/>
              </w:rPr>
            </w:pPr>
          </w:p>
        </w:tc>
        <w:tc>
          <w:tcPr>
            <w:tcW w:w="6320" w:type="dxa"/>
            <w:vAlign w:val="bottom"/>
            <w:tcBorders>
              <w:bottom w:val="single" w:sz="8" w:color="0000EE"/>
            </w:tcBorders>
            <w:gridSpan w:val="22"/>
          </w:tcPr>
          <w:p>
            <w:pPr>
              <w:spacing w:after="0"/>
              <w:rPr>
                <w:rFonts w:ascii="Arial" w:cs="Arial" w:eastAsia="Arial" w:hAnsi="Arial"/>
                <w:sz w:val="12"/>
                <w:szCs w:val="12"/>
                <w:color w:val="0000EE"/>
                <w:w w:val="90"/>
              </w:rPr>
            </w:pPr>
            <w:hyperlink r:id="rId619">
              <w:r>
                <w:rPr>
                  <w:rFonts w:ascii="Arial" w:cs="Arial" w:eastAsia="Arial" w:hAnsi="Arial"/>
                  <w:sz w:val="12"/>
                  <w:szCs w:val="12"/>
                  <w:color w:val="0000EE"/>
                  <w:w w:val="90"/>
                </w:rPr>
                <w:t>Cross License Agreement, dated as of April 11, 2018, by and between Genevant Sciences Ltd. and Arbutus Biopharma Corporation</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5"/>
              </w:rPr>
            </w:pPr>
            <w:hyperlink r:id="rId619">
              <w:r>
                <w:rPr>
                  <w:rFonts w:ascii="Arial" w:cs="Arial" w:eastAsia="Arial" w:hAnsi="Arial"/>
                  <w:sz w:val="12"/>
                  <w:szCs w:val="12"/>
                  <w:color w:val="0000EE"/>
                  <w:w w:val="95"/>
                </w:rPr>
                <w:t>(incorporated herein by reference to Exhibit 10.3 of Arbutus Biopharma Corporation’s Quarterly Report on Form 10-Q for the</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4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r:id="rId619">
              <w:r>
                <w:rPr>
                  <w:rFonts w:ascii="Arial" w:cs="Arial" w:eastAsia="Arial" w:hAnsi="Arial"/>
                  <w:sz w:val="12"/>
                  <w:szCs w:val="12"/>
                  <w:color w:val="0000EE"/>
                </w:rPr>
                <w:t>Quarter ended June 30, 2020, filed with the SEC on August 7, 2020</w:t>
              </w:r>
            </w:hyperlink>
          </w:p>
        </w:tc>
        <w:tc>
          <w:tcPr>
            <w:tcW w:w="280" w:type="dxa"/>
            <w:vAlign w:val="bottom"/>
            <w:gridSpan w:val="8"/>
          </w:tcPr>
          <w:p>
            <w:pPr>
              <w:spacing w:after="0"/>
              <w:rPr>
                <w:sz w:val="10"/>
                <w:szCs w:val="10"/>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10.15#**</w:t>
            </w:r>
          </w:p>
        </w:tc>
        <w:tc>
          <w:tcPr>
            <w:tcW w:w="520" w:type="dxa"/>
            <w:vAlign w:val="bottom"/>
          </w:tcPr>
          <w:p>
            <w:pPr>
              <w:spacing w:after="0"/>
              <w:rPr>
                <w:sz w:val="17"/>
                <w:szCs w:val="17"/>
                <w:color w:val="auto"/>
              </w:rPr>
            </w:pPr>
          </w:p>
        </w:tc>
        <w:tc>
          <w:tcPr>
            <w:tcW w:w="5940" w:type="dxa"/>
            <w:vAlign w:val="bottom"/>
            <w:tcBorders>
              <w:bottom w:val="single" w:sz="8" w:color="0000EE"/>
            </w:tcBorders>
            <w:gridSpan w:val="10"/>
          </w:tcPr>
          <w:p>
            <w:pPr>
              <w:spacing w:after="0"/>
              <w:rPr>
                <w:rFonts w:ascii="Arial" w:cs="Arial" w:eastAsia="Arial" w:hAnsi="Arial"/>
                <w:sz w:val="12"/>
                <w:szCs w:val="12"/>
                <w:color w:val="0000EE"/>
                <w:w w:val="89"/>
              </w:rPr>
            </w:pPr>
            <w:hyperlink r:id="rId620">
              <w:r>
                <w:rPr>
                  <w:rFonts w:ascii="Arial" w:cs="Arial" w:eastAsia="Arial" w:hAnsi="Arial"/>
                  <w:sz w:val="12"/>
                  <w:szCs w:val="12"/>
                  <w:color w:val="0000EE"/>
                  <w:w w:val="89"/>
                </w:rPr>
                <w:t>First Amendment to Cross License Agreement, dated as of June 27, 2018, by and among Genevant Sciences Ltd., Genevant</w:t>
              </w:r>
            </w:hyperlink>
          </w:p>
        </w:tc>
        <w:tc>
          <w:tcPr>
            <w:tcW w:w="380" w:type="dxa"/>
            <w:vAlign w:val="bottom"/>
            <w:gridSpan w:val="12"/>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5"/>
              </w:rPr>
            </w:pPr>
            <w:hyperlink r:id="rId620">
              <w:r>
                <w:rPr>
                  <w:rFonts w:ascii="Arial" w:cs="Arial" w:eastAsia="Arial" w:hAnsi="Arial"/>
                  <w:sz w:val="12"/>
                  <w:szCs w:val="12"/>
                  <w:color w:val="0000EE"/>
                  <w:w w:val="95"/>
                </w:rPr>
                <w:t>Sciences GmbH and Arbutus Biopharma Corporation (incorporated herein by reference to Exhibit 10.4 of Arbutus Biopharma</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8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0"/>
              </w:rPr>
            </w:pPr>
            <w:hyperlink r:id="rId620">
              <w:r>
                <w:rPr>
                  <w:rFonts w:ascii="Arial" w:cs="Arial" w:eastAsia="Arial" w:hAnsi="Arial"/>
                  <w:sz w:val="12"/>
                  <w:szCs w:val="12"/>
                  <w:color w:val="0000EE"/>
                  <w:w w:val="90"/>
                </w:rPr>
                <w:t>Corporation’s Quarterly Report on Form 10-Q for the Quarter ended June 30, 2020, filed with the SEC on August 7, 2020)</w:t>
              </w:r>
            </w:hyperlink>
          </w:p>
        </w:tc>
        <w:tc>
          <w:tcPr>
            <w:tcW w:w="160" w:type="dxa"/>
            <w:vAlign w:val="bottom"/>
            <w:tcBorders>
              <w:top w:val="single" w:sz="8" w:color="0000EE"/>
            </w:tcBorders>
            <w:gridSpan w:val="5"/>
          </w:tcPr>
          <w:p>
            <w:pPr>
              <w:spacing w:after="0"/>
              <w:rPr>
                <w:sz w:val="10"/>
                <w:szCs w:val="10"/>
                <w:color w:val="auto"/>
              </w:rPr>
            </w:pPr>
          </w:p>
        </w:tc>
        <w:tc>
          <w:tcPr>
            <w:tcW w:w="280" w:type="dxa"/>
            <w:vAlign w:val="bottom"/>
            <w:gridSpan w:val="8"/>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10.16#**</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2"/>
              </w:rPr>
            </w:pPr>
            <w:hyperlink r:id="rId621">
              <w:r>
                <w:rPr>
                  <w:rFonts w:ascii="Arial" w:cs="Arial" w:eastAsia="Arial" w:hAnsi="Arial"/>
                  <w:sz w:val="12"/>
                  <w:szCs w:val="12"/>
                  <w:color w:val="0000EE"/>
                  <w:w w:val="92"/>
                </w:rPr>
                <w:t>Second Amendment to Cross License Agreement, dated as of June 27, 2018, by and among Genevant Sciences Ltd., Genevant</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60" w:type="dxa"/>
            <w:vAlign w:val="bottom"/>
            <w:tcBorders>
              <w:top w:val="single" w:sz="8" w:color="0000EE"/>
            </w:tcBorders>
            <w:gridSpan w:val="15"/>
          </w:tcPr>
          <w:p>
            <w:pPr>
              <w:spacing w:after="0" w:line="124" w:lineRule="exact"/>
              <w:rPr>
                <w:rFonts w:ascii="Arial" w:cs="Arial" w:eastAsia="Arial" w:hAnsi="Arial"/>
                <w:sz w:val="12"/>
                <w:szCs w:val="12"/>
                <w:color w:val="0000EE"/>
                <w:w w:val="91"/>
              </w:rPr>
            </w:pPr>
            <w:hyperlink r:id="rId621">
              <w:r>
                <w:rPr>
                  <w:rFonts w:ascii="Arial" w:cs="Arial" w:eastAsia="Arial" w:hAnsi="Arial"/>
                  <w:sz w:val="12"/>
                  <w:szCs w:val="12"/>
                  <w:color w:val="0000EE"/>
                  <w:w w:val="91"/>
                </w:rPr>
                <w:t>Sciences GmbH and Arbutus Biopharma Corporation (incorporated herein by reference to Exhibit 10.5 of Arbutus Biopharma</w:t>
              </w:r>
            </w:hyperlink>
          </w:p>
        </w:tc>
        <w:tc>
          <w:tcPr>
            <w:tcW w:w="260" w:type="dxa"/>
            <w:vAlign w:val="bottom"/>
            <w:gridSpan w:val="7"/>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8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0"/>
              </w:rPr>
            </w:pPr>
            <w:hyperlink r:id="rId621">
              <w:r>
                <w:rPr>
                  <w:rFonts w:ascii="Arial" w:cs="Arial" w:eastAsia="Arial" w:hAnsi="Arial"/>
                  <w:sz w:val="12"/>
                  <w:szCs w:val="12"/>
                  <w:color w:val="0000EE"/>
                  <w:w w:val="90"/>
                </w:rPr>
                <w:t>Corporation’s Quarterly Report on Form 10-Q for the Quarter ended June 30, 2020, filed with the SEC on August 7, 2020)</w:t>
              </w:r>
            </w:hyperlink>
          </w:p>
        </w:tc>
        <w:tc>
          <w:tcPr>
            <w:tcW w:w="160" w:type="dxa"/>
            <w:vAlign w:val="bottom"/>
            <w:tcBorders>
              <w:top w:val="single" w:sz="8" w:color="0000EE"/>
            </w:tcBorders>
            <w:gridSpan w:val="5"/>
          </w:tcPr>
          <w:p>
            <w:pPr>
              <w:spacing w:after="0"/>
              <w:rPr>
                <w:sz w:val="10"/>
                <w:szCs w:val="10"/>
                <w:color w:val="auto"/>
              </w:rPr>
            </w:pPr>
          </w:p>
        </w:tc>
        <w:tc>
          <w:tcPr>
            <w:tcW w:w="280" w:type="dxa"/>
            <w:vAlign w:val="bottom"/>
            <w:gridSpan w:val="8"/>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10.17#**</w:t>
            </w:r>
          </w:p>
        </w:tc>
        <w:tc>
          <w:tcPr>
            <w:tcW w:w="520" w:type="dxa"/>
            <w:vAlign w:val="bottom"/>
          </w:tcPr>
          <w:p>
            <w:pPr>
              <w:spacing w:after="0"/>
              <w:rPr>
                <w:sz w:val="17"/>
                <w:szCs w:val="17"/>
                <w:color w:val="auto"/>
              </w:rPr>
            </w:pPr>
          </w:p>
        </w:tc>
        <w:tc>
          <w:tcPr>
            <w:tcW w:w="6320" w:type="dxa"/>
            <w:vAlign w:val="bottom"/>
            <w:gridSpan w:val="22"/>
          </w:tcPr>
          <w:p>
            <w:pPr>
              <w:spacing w:after="0"/>
              <w:rPr>
                <w:rFonts w:ascii="Arial" w:cs="Arial" w:eastAsia="Arial" w:hAnsi="Arial"/>
                <w:sz w:val="12"/>
                <w:szCs w:val="12"/>
                <w:color w:val="0000EE"/>
                <w:w w:val="93"/>
              </w:rPr>
            </w:pPr>
            <w:hyperlink r:id="rId622">
              <w:r>
                <w:rPr>
                  <w:rFonts w:ascii="Arial" w:cs="Arial" w:eastAsia="Arial" w:hAnsi="Arial"/>
                  <w:sz w:val="12"/>
                  <w:szCs w:val="12"/>
                  <w:color w:val="0000EE"/>
                  <w:w w:val="93"/>
                </w:rPr>
                <w:t>License Agreement, dated as of November 19, 2018, by and between iNtRON Biotechnology, Inc. and Pharmavant 1 GMBH in</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gridSpan w:val="1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2"/>
              </w:rPr>
            </w:pPr>
            <w:hyperlink r:id="rId622">
              <w:r>
                <w:rPr>
                  <w:rFonts w:ascii="Arial" w:cs="Arial" w:eastAsia="Arial" w:hAnsi="Arial"/>
                  <w:sz w:val="12"/>
                  <w:szCs w:val="12"/>
                  <w:color w:val="0000EE"/>
                  <w:w w:val="92"/>
                </w:rPr>
                <w:t>Formation (incorporated by reference to Exhibit 10.17 to Roivant Sciences Ltd.’s Form S-4 filed with the SEC on August 6, 2021,</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2"/>
              </w:rPr>
            </w:pPr>
            <w:hyperlink r:id="rId622">
              <w:r>
                <w:rPr>
                  <w:rFonts w:ascii="Arial" w:cs="Arial" w:eastAsia="Arial" w:hAnsi="Arial"/>
                  <w:sz w:val="12"/>
                  <w:szCs w:val="12"/>
                  <w:color w:val="0000EE"/>
                  <w:w w:val="82"/>
                </w:rPr>
                <w:t>as amended)</w:t>
              </w:r>
            </w:hyperlink>
          </w:p>
        </w:tc>
        <w:tc>
          <w:tcPr>
            <w:tcW w:w="5640" w:type="dxa"/>
            <w:vAlign w:val="bottom"/>
            <w:tcBorders>
              <w:top w:val="single" w:sz="8" w:color="0000EE"/>
            </w:tcBorders>
            <w:gridSpan w:val="18"/>
          </w:tcPr>
          <w:p>
            <w:pPr>
              <w:spacing w:after="0"/>
              <w:rPr>
                <w:sz w:val="10"/>
                <w:szCs w:val="10"/>
                <w:color w:val="auto"/>
              </w:rPr>
            </w:pPr>
          </w:p>
        </w:tc>
        <w:tc>
          <w:tcPr>
            <w:tcW w:w="80" w:type="dxa"/>
            <w:vAlign w:val="bottom"/>
            <w:gridSpan w:val="2"/>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10.18#**</w:t>
            </w:r>
          </w:p>
        </w:tc>
        <w:tc>
          <w:tcPr>
            <w:tcW w:w="520" w:type="dxa"/>
            <w:vAlign w:val="bottom"/>
          </w:tcPr>
          <w:p>
            <w:pPr>
              <w:spacing w:after="0"/>
              <w:rPr>
                <w:sz w:val="17"/>
                <w:szCs w:val="17"/>
                <w:color w:val="auto"/>
              </w:rPr>
            </w:pPr>
          </w:p>
        </w:tc>
        <w:tc>
          <w:tcPr>
            <w:tcW w:w="6320" w:type="dxa"/>
            <w:vAlign w:val="bottom"/>
            <w:tcBorders>
              <w:bottom w:val="single" w:sz="8" w:color="0000EE"/>
            </w:tcBorders>
            <w:gridSpan w:val="22"/>
          </w:tcPr>
          <w:p>
            <w:pPr>
              <w:spacing w:after="0"/>
              <w:rPr>
                <w:rFonts w:ascii="Arial" w:cs="Arial" w:eastAsia="Arial" w:hAnsi="Arial"/>
                <w:sz w:val="12"/>
                <w:szCs w:val="12"/>
                <w:color w:val="0000EE"/>
                <w:w w:val="90"/>
              </w:rPr>
            </w:pPr>
            <w:hyperlink r:id="rId623">
              <w:r>
                <w:rPr>
                  <w:rFonts w:ascii="Arial" w:cs="Arial" w:eastAsia="Arial" w:hAnsi="Arial"/>
                  <w:sz w:val="12"/>
                  <w:szCs w:val="12"/>
                  <w:color w:val="0000EE"/>
                  <w:w w:val="90"/>
                </w:rPr>
                <w:t>First Amendment to License Agreement, dated as of March 23, 2019, by and between iNtRON Biotechnology, Inc. and Pharmavant</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gridSpan w:val="22"/>
          </w:tcPr>
          <w:p>
            <w:pPr>
              <w:spacing w:after="0" w:line="124" w:lineRule="exact"/>
              <w:rPr>
                <w:rFonts w:ascii="Arial" w:cs="Arial" w:eastAsia="Arial" w:hAnsi="Arial"/>
                <w:sz w:val="12"/>
                <w:szCs w:val="12"/>
                <w:color w:val="0000EE"/>
                <w:w w:val="96"/>
              </w:rPr>
            </w:pPr>
            <w:hyperlink r:id="rId623">
              <w:r>
                <w:rPr>
                  <w:rFonts w:ascii="Arial" w:cs="Arial" w:eastAsia="Arial" w:hAnsi="Arial"/>
                  <w:sz w:val="12"/>
                  <w:szCs w:val="12"/>
                  <w:color w:val="0000EE"/>
                  <w:w w:val="96"/>
                </w:rPr>
                <w:t>1 GMBH in Formation (incorporated by reference to Exhibit 10.18 to Roivant Sciences Ltd.’s Form S-4 filed with the SEC on</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7"/>
              </w:rPr>
            </w:pPr>
            <w:hyperlink r:id="rId623">
              <w:r>
                <w:rPr>
                  <w:rFonts w:ascii="Arial" w:cs="Arial" w:eastAsia="Arial" w:hAnsi="Arial"/>
                  <w:sz w:val="12"/>
                  <w:szCs w:val="12"/>
                  <w:color w:val="0000EE"/>
                  <w:w w:val="87"/>
                </w:rPr>
                <w:t>August 6, 2021, as amended)</w:t>
              </w:r>
            </w:hyperlink>
          </w:p>
        </w:tc>
        <w:tc>
          <w:tcPr>
            <w:tcW w:w="4640" w:type="dxa"/>
            <w:vAlign w:val="bottom"/>
            <w:tcBorders>
              <w:top w:val="single" w:sz="8" w:color="0000EE"/>
            </w:tcBorders>
            <w:gridSpan w:val="10"/>
          </w:tcPr>
          <w:p>
            <w:pPr>
              <w:spacing w:after="0"/>
              <w:rPr>
                <w:sz w:val="10"/>
                <w:szCs w:val="10"/>
                <w:color w:val="auto"/>
              </w:rPr>
            </w:pPr>
          </w:p>
        </w:tc>
        <w:tc>
          <w:tcPr>
            <w:tcW w:w="280" w:type="dxa"/>
            <w:vAlign w:val="bottom"/>
            <w:gridSpan w:val="8"/>
          </w:tcPr>
          <w:p>
            <w:pPr>
              <w:spacing w:after="0"/>
              <w:rPr>
                <w:sz w:val="10"/>
                <w:szCs w:val="10"/>
                <w:color w:val="auto"/>
              </w:rPr>
            </w:pPr>
          </w:p>
        </w:tc>
      </w:tr>
    </w:tbl>
    <w:p>
      <w:pPr>
        <w:spacing w:after="0" w:line="10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2580005</wp:posOffset>
            </wp:positionV>
            <wp:extent cx="7214870" cy="539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4">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340" w:type="dxa"/>
            <w:vAlign w:val="bottom"/>
            <w:gridSpan w:val="20"/>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w w:val="95"/>
              </w:rPr>
              <w:t>10.19#**</w:t>
            </w:r>
          </w:p>
        </w:tc>
        <w:tc>
          <w:tcPr>
            <w:tcW w:w="520" w:type="dxa"/>
            <w:vAlign w:val="bottom"/>
          </w:tcPr>
          <w:p>
            <w:pPr>
              <w:spacing w:after="0"/>
              <w:rPr>
                <w:sz w:val="15"/>
                <w:szCs w:val="15"/>
                <w:color w:val="auto"/>
              </w:rPr>
            </w:pPr>
          </w:p>
        </w:tc>
        <w:tc>
          <w:tcPr>
            <w:tcW w:w="6340" w:type="dxa"/>
            <w:vAlign w:val="bottom"/>
            <w:gridSpan w:val="20"/>
          </w:tcPr>
          <w:p>
            <w:pPr>
              <w:spacing w:after="0"/>
              <w:rPr>
                <w:rFonts w:ascii="Arial" w:cs="Arial" w:eastAsia="Arial" w:hAnsi="Arial"/>
                <w:sz w:val="12"/>
                <w:szCs w:val="12"/>
                <w:color w:val="0000EE"/>
                <w:w w:val="97"/>
              </w:rPr>
            </w:pPr>
            <w:hyperlink r:id="rId625">
              <w:r>
                <w:rPr>
                  <w:rFonts w:ascii="Arial" w:cs="Arial" w:eastAsia="Arial" w:hAnsi="Arial"/>
                  <w:sz w:val="12"/>
                  <w:szCs w:val="12"/>
                  <w:color w:val="0000EE"/>
                  <w:w w:val="97"/>
                </w:rPr>
                <w:t>Second Amendment to License Agreement, dated as of August 28, 2019, by and between iNtRON Biotechnology, Inc. and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40" w:type="dxa"/>
            <w:vAlign w:val="bottom"/>
            <w:tcBorders>
              <w:bottom w:val="single" w:sz="8" w:color="0000EE"/>
            </w:tcBorders>
            <w:gridSpan w:val="16"/>
          </w:tcPr>
          <w:p>
            <w:pPr>
              <w:spacing w:after="0" w:line="124" w:lineRule="exact"/>
              <w:rPr>
                <w:rFonts w:ascii="Arial" w:cs="Arial" w:eastAsia="Arial" w:hAnsi="Arial"/>
                <w:sz w:val="12"/>
                <w:szCs w:val="12"/>
                <w:color w:val="0000EE"/>
                <w:w w:val="91"/>
              </w:rPr>
            </w:pPr>
            <w:hyperlink r:id="rId625">
              <w:r>
                <w:rPr>
                  <w:rFonts w:ascii="Arial" w:cs="Arial" w:eastAsia="Arial" w:hAnsi="Arial"/>
                  <w:sz w:val="12"/>
                  <w:szCs w:val="12"/>
                  <w:color w:val="0000EE"/>
                  <w:w w:val="91"/>
                </w:rPr>
                <w:t>Lysovant Sciences GMBH (incorporated by reference to Exhibit 10.19 to Roivant Sciences Ltd.’s Form S-4 filed with the SEC on</w:t>
              </w:r>
            </w:hyperlink>
          </w:p>
        </w:tc>
        <w:tc>
          <w:tcPr>
            <w:tcW w:w="100" w:type="dxa"/>
            <w:vAlign w:val="bottom"/>
            <w:gridSpan w:val="4"/>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tcBorders>
              <w:bottom w:val="single" w:sz="8" w:color="0000EE"/>
            </w:tcBorders>
            <w:gridSpan w:val="3"/>
          </w:tcPr>
          <w:p>
            <w:pPr>
              <w:spacing w:after="0" w:line="124" w:lineRule="exact"/>
              <w:rPr>
                <w:rFonts w:ascii="Arial" w:cs="Arial" w:eastAsia="Arial" w:hAnsi="Arial"/>
                <w:sz w:val="12"/>
                <w:szCs w:val="12"/>
                <w:color w:val="0000EE"/>
                <w:w w:val="87"/>
              </w:rPr>
            </w:pPr>
            <w:hyperlink r:id="rId625">
              <w:r>
                <w:rPr>
                  <w:rFonts w:ascii="Arial" w:cs="Arial" w:eastAsia="Arial" w:hAnsi="Arial"/>
                  <w:sz w:val="12"/>
                  <w:szCs w:val="12"/>
                  <w:color w:val="0000EE"/>
                  <w:w w:val="87"/>
                </w:rPr>
                <w:t>August 6, 2021, as amended)</w:t>
              </w:r>
            </w:hyperlink>
          </w:p>
        </w:tc>
        <w:tc>
          <w:tcPr>
            <w:tcW w:w="4940" w:type="dxa"/>
            <w:vAlign w:val="bottom"/>
            <w:gridSpan w:val="17"/>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10.20#**</w:t>
            </w:r>
          </w:p>
        </w:tc>
        <w:tc>
          <w:tcPr>
            <w:tcW w:w="520" w:type="dxa"/>
            <w:vAlign w:val="bottom"/>
          </w:tcPr>
          <w:p>
            <w:pPr>
              <w:spacing w:after="0"/>
              <w:rPr>
                <w:sz w:val="17"/>
                <w:szCs w:val="17"/>
                <w:color w:val="auto"/>
              </w:rPr>
            </w:pPr>
          </w:p>
        </w:tc>
        <w:tc>
          <w:tcPr>
            <w:tcW w:w="6340" w:type="dxa"/>
            <w:vAlign w:val="bottom"/>
            <w:tcBorders>
              <w:bottom w:val="single" w:sz="8" w:color="0000EE"/>
            </w:tcBorders>
            <w:gridSpan w:val="20"/>
          </w:tcPr>
          <w:p>
            <w:pPr>
              <w:spacing w:after="0"/>
              <w:rPr>
                <w:rFonts w:ascii="Arial" w:cs="Arial" w:eastAsia="Arial" w:hAnsi="Arial"/>
                <w:sz w:val="12"/>
                <w:szCs w:val="12"/>
                <w:color w:val="0000EE"/>
                <w:w w:val="89"/>
              </w:rPr>
            </w:pPr>
            <w:hyperlink r:id="rId626">
              <w:r>
                <w:rPr>
                  <w:rFonts w:ascii="Arial" w:cs="Arial" w:eastAsia="Arial" w:hAnsi="Arial"/>
                  <w:sz w:val="12"/>
                  <w:szCs w:val="12"/>
                  <w:color w:val="0000EE"/>
                  <w:w w:val="89"/>
                </w:rPr>
                <w:t>Research Agreement, dated as of January 1, 2018, by and between Oncopia Therapeutics, LLC and the Regents of the University of</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Borders>
              <w:bottom w:val="single" w:sz="8" w:color="0000EE"/>
            </w:tcBorders>
            <w:gridSpan w:val="20"/>
          </w:tcPr>
          <w:p>
            <w:pPr>
              <w:spacing w:after="0" w:line="124" w:lineRule="exact"/>
              <w:rPr>
                <w:rFonts w:ascii="Arial" w:cs="Arial" w:eastAsia="Arial" w:hAnsi="Arial"/>
                <w:sz w:val="12"/>
                <w:szCs w:val="12"/>
                <w:color w:val="0000EE"/>
                <w:w w:val="91"/>
              </w:rPr>
            </w:pPr>
            <w:hyperlink r:id="rId626">
              <w:r>
                <w:rPr>
                  <w:rFonts w:ascii="Arial" w:cs="Arial" w:eastAsia="Arial" w:hAnsi="Arial"/>
                  <w:sz w:val="12"/>
                  <w:szCs w:val="12"/>
                  <w:color w:val="0000EE"/>
                  <w:w w:val="91"/>
                </w:rPr>
                <w:t>Michigan (incorporated by reference to Exhibit 10.20 to Roivant Sciences Ltd.’s Form S-4 filed with the SEC on August 6, 2021, as</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gridSpan w:val="20"/>
          </w:tcPr>
          <w:p>
            <w:pPr>
              <w:spacing w:after="0" w:line="124" w:lineRule="exact"/>
              <w:rPr>
                <w:rFonts w:ascii="Arial" w:cs="Arial" w:eastAsia="Arial" w:hAnsi="Arial"/>
                <w:sz w:val="12"/>
                <w:szCs w:val="12"/>
                <w:color w:val="0000EE"/>
              </w:rPr>
            </w:pPr>
            <w:hyperlink r:id="rId626">
              <w:r>
                <w:rPr>
                  <w:rFonts w:ascii="Arial" w:cs="Arial" w:eastAsia="Arial" w:hAnsi="Arial"/>
                  <w:sz w:val="12"/>
                  <w:szCs w:val="12"/>
                  <w:color w:val="0000EE"/>
                </w:rPr>
                <w:t>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10.21#**</w:t>
            </w:r>
          </w:p>
        </w:tc>
        <w:tc>
          <w:tcPr>
            <w:tcW w:w="520" w:type="dxa"/>
            <w:vAlign w:val="bottom"/>
          </w:tcPr>
          <w:p>
            <w:pPr>
              <w:spacing w:after="0"/>
              <w:rPr>
                <w:sz w:val="17"/>
                <w:szCs w:val="17"/>
                <w:color w:val="auto"/>
              </w:rPr>
            </w:pPr>
          </w:p>
        </w:tc>
        <w:tc>
          <w:tcPr>
            <w:tcW w:w="6220" w:type="dxa"/>
            <w:vAlign w:val="bottom"/>
            <w:tcBorders>
              <w:bottom w:val="single" w:sz="8" w:color="0000EE"/>
            </w:tcBorders>
            <w:gridSpan w:val="15"/>
          </w:tcPr>
          <w:p>
            <w:pPr>
              <w:spacing w:after="0"/>
              <w:rPr>
                <w:rFonts w:ascii="Arial" w:cs="Arial" w:eastAsia="Arial" w:hAnsi="Arial"/>
                <w:sz w:val="12"/>
                <w:szCs w:val="12"/>
                <w:color w:val="0000EE"/>
                <w:w w:val="89"/>
              </w:rPr>
            </w:pPr>
            <w:hyperlink r:id="rId627">
              <w:r>
                <w:rPr>
                  <w:rFonts w:ascii="Arial" w:cs="Arial" w:eastAsia="Arial" w:hAnsi="Arial"/>
                  <w:sz w:val="12"/>
                  <w:szCs w:val="12"/>
                  <w:color w:val="0000EE"/>
                  <w:w w:val="89"/>
                </w:rPr>
                <w:t>Fifth Amendment to the Sponsored Research Agreement, dated as of November 19, 2020, by and between Oncopia Therapeutics,</w:t>
              </w:r>
            </w:hyperlink>
          </w:p>
        </w:tc>
        <w:tc>
          <w:tcPr>
            <w:tcW w:w="120" w:type="dxa"/>
            <w:vAlign w:val="bottom"/>
            <w:gridSpan w:val="5"/>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Borders>
              <w:bottom w:val="single" w:sz="8" w:color="0000EE"/>
            </w:tcBorders>
            <w:gridSpan w:val="20"/>
          </w:tcPr>
          <w:p>
            <w:pPr>
              <w:spacing w:after="0" w:line="124" w:lineRule="exact"/>
              <w:rPr>
                <w:rFonts w:ascii="Arial" w:cs="Arial" w:eastAsia="Arial" w:hAnsi="Arial"/>
                <w:sz w:val="12"/>
                <w:szCs w:val="12"/>
                <w:color w:val="0000EE"/>
                <w:w w:val="91"/>
              </w:rPr>
            </w:pPr>
            <w:hyperlink r:id="rId627">
              <w:r>
                <w:rPr>
                  <w:rFonts w:ascii="Arial" w:cs="Arial" w:eastAsia="Arial" w:hAnsi="Arial"/>
                  <w:sz w:val="12"/>
                  <w:szCs w:val="12"/>
                  <w:color w:val="0000EE"/>
                  <w:w w:val="91"/>
                </w:rPr>
                <w:t>Inc. and the Regents of the University of Michigan (incorporated by reference to Exhibit 10.21 to Roivant Sciences Ltd.’s Form S-4</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gridSpan w:val="20"/>
          </w:tcPr>
          <w:p>
            <w:pPr>
              <w:spacing w:after="0" w:line="124" w:lineRule="exact"/>
              <w:rPr>
                <w:rFonts w:ascii="Arial" w:cs="Arial" w:eastAsia="Arial" w:hAnsi="Arial"/>
                <w:sz w:val="12"/>
                <w:szCs w:val="12"/>
                <w:color w:val="0000EE"/>
              </w:rPr>
            </w:pPr>
            <w:hyperlink r:id="rId627">
              <w:r>
                <w:rPr>
                  <w:rFonts w:ascii="Arial" w:cs="Arial" w:eastAsia="Arial" w:hAnsi="Arial"/>
                  <w:sz w:val="12"/>
                  <w:szCs w:val="12"/>
                  <w:color w:val="0000EE"/>
                </w:rPr>
                <w:t>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10.22#**</w:t>
            </w:r>
          </w:p>
        </w:tc>
        <w:tc>
          <w:tcPr>
            <w:tcW w:w="520" w:type="dxa"/>
            <w:vAlign w:val="bottom"/>
          </w:tcPr>
          <w:p>
            <w:pPr>
              <w:spacing w:after="0"/>
              <w:rPr>
                <w:sz w:val="17"/>
                <w:szCs w:val="17"/>
                <w:color w:val="auto"/>
              </w:rPr>
            </w:pPr>
          </w:p>
        </w:tc>
        <w:tc>
          <w:tcPr>
            <w:tcW w:w="6320" w:type="dxa"/>
            <w:vAlign w:val="bottom"/>
            <w:tcBorders>
              <w:bottom w:val="single" w:sz="8" w:color="0000EE"/>
            </w:tcBorders>
            <w:gridSpan w:val="19"/>
          </w:tcPr>
          <w:p>
            <w:pPr>
              <w:spacing w:after="0"/>
              <w:rPr>
                <w:rFonts w:ascii="Arial" w:cs="Arial" w:eastAsia="Arial" w:hAnsi="Arial"/>
                <w:sz w:val="12"/>
                <w:szCs w:val="12"/>
                <w:color w:val="0000EE"/>
                <w:w w:val="89"/>
              </w:rPr>
            </w:pPr>
            <w:hyperlink r:id="rId628">
              <w:r>
                <w:rPr>
                  <w:rFonts w:ascii="Arial" w:cs="Arial" w:eastAsia="Arial" w:hAnsi="Arial"/>
                  <w:sz w:val="12"/>
                  <w:szCs w:val="12"/>
                  <w:color w:val="0000EE"/>
                  <w:w w:val="89"/>
                </w:rPr>
                <w:t>Amended and Restated Patent License Agreement, dated as of November 16, 2020, by and between Oncopia Therapeutics, Inc. and</w:t>
              </w:r>
            </w:hyperlink>
          </w:p>
        </w:tc>
        <w:tc>
          <w:tcPr>
            <w:tcW w:w="20" w:type="dxa"/>
            <w:vAlign w:val="bottom"/>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16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628">
              <w:r>
                <w:rPr>
                  <w:rFonts w:ascii="Arial" w:cs="Arial" w:eastAsia="Arial" w:hAnsi="Arial"/>
                  <w:sz w:val="12"/>
                  <w:szCs w:val="12"/>
                  <w:color w:val="0000EE"/>
                  <w:w w:val="91"/>
                </w:rPr>
                <w:t>the Regents of the University of Michigan (incorporated by reference to Exhibit 10.22 to Roivant Sciences Ltd.’s Form S-4 filed</w:t>
              </w:r>
            </w:hyperlink>
          </w:p>
        </w:tc>
        <w:tc>
          <w:tcPr>
            <w:tcW w:w="180" w:type="dxa"/>
            <w:vAlign w:val="bottom"/>
            <w:gridSpan w:val="7"/>
          </w:tcPr>
          <w:p>
            <w:pPr>
              <w:spacing w:after="0"/>
              <w:rPr>
                <w:sz w:val="10"/>
                <w:szCs w:val="10"/>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r:id="rId628">
              <w:r>
                <w:rPr>
                  <w:rFonts w:ascii="Arial" w:cs="Arial" w:eastAsia="Arial" w:hAnsi="Arial"/>
                  <w:sz w:val="12"/>
                  <w:szCs w:val="12"/>
                  <w:color w:val="0000EE"/>
                  <w:w w:val="89"/>
                </w:rPr>
                <w:t>with the SEC on August 6, 2021, as amended)</w:t>
              </w:r>
            </w:hyperlink>
          </w:p>
        </w:tc>
        <w:tc>
          <w:tcPr>
            <w:tcW w:w="4120" w:type="dxa"/>
            <w:vAlign w:val="bottom"/>
            <w:gridSpan w:val="15"/>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w w:val="95"/>
              </w:rPr>
              <w:t>10.23#**</w:t>
            </w:r>
          </w:p>
        </w:tc>
        <w:tc>
          <w:tcPr>
            <w:tcW w:w="520" w:type="dxa"/>
            <w:vAlign w:val="bottom"/>
          </w:tcPr>
          <w:p>
            <w:pPr>
              <w:spacing w:after="0"/>
              <w:rPr>
                <w:sz w:val="17"/>
                <w:szCs w:val="17"/>
                <w:color w:val="auto"/>
              </w:rPr>
            </w:pPr>
          </w:p>
        </w:tc>
        <w:tc>
          <w:tcPr>
            <w:tcW w:w="6340" w:type="dxa"/>
            <w:vAlign w:val="bottom"/>
            <w:gridSpan w:val="20"/>
          </w:tcPr>
          <w:p>
            <w:pPr>
              <w:spacing w:after="0"/>
              <w:rPr>
                <w:rFonts w:ascii="Arial" w:cs="Arial" w:eastAsia="Arial" w:hAnsi="Arial"/>
                <w:sz w:val="12"/>
                <w:szCs w:val="12"/>
                <w:color w:val="0000EE"/>
                <w:w w:val="95"/>
              </w:rPr>
            </w:pPr>
            <w:hyperlink r:id="rId629">
              <w:r>
                <w:rPr>
                  <w:rFonts w:ascii="Arial" w:cs="Arial" w:eastAsia="Arial" w:hAnsi="Arial"/>
                  <w:sz w:val="12"/>
                  <w:szCs w:val="12"/>
                  <w:color w:val="0000EE"/>
                  <w:w w:val="95"/>
                </w:rPr>
                <w:t>Investors’ Rights Agreement, dated as of January 11, 2021, by and among Pharmavant 5, Inc., Roivant Sciences Ltd. and SK</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Borders>
              <w:bottom w:val="single" w:sz="8" w:color="0000EE"/>
            </w:tcBorders>
            <w:gridSpan w:val="20"/>
          </w:tcPr>
          <w:p>
            <w:pPr>
              <w:spacing w:after="0" w:line="124" w:lineRule="exact"/>
              <w:rPr>
                <w:rFonts w:ascii="Arial" w:cs="Arial" w:eastAsia="Arial" w:hAnsi="Arial"/>
                <w:sz w:val="12"/>
                <w:szCs w:val="12"/>
                <w:color w:val="0000EE"/>
                <w:w w:val="91"/>
              </w:rPr>
            </w:pPr>
            <w:hyperlink r:id="rId629">
              <w:r>
                <w:rPr>
                  <w:rFonts w:ascii="Arial" w:cs="Arial" w:eastAsia="Arial" w:hAnsi="Arial"/>
                  <w:sz w:val="12"/>
                  <w:szCs w:val="12"/>
                  <w:color w:val="0000EE"/>
                  <w:w w:val="91"/>
                </w:rPr>
                <w:t>Holdings Co., Ltd. (incorporated by reference to Exhibit 10.23 to Roivant Sciences Ltd.’s Form S-4 filed with the SEC on August 6,</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Borders>
              <w:bottom w:val="single" w:sz="8" w:color="0000EE"/>
            </w:tcBorders>
            <w:gridSpan w:val="2"/>
          </w:tcPr>
          <w:p>
            <w:pPr>
              <w:spacing w:after="0" w:line="124" w:lineRule="exact"/>
              <w:rPr>
                <w:rFonts w:ascii="Arial" w:cs="Arial" w:eastAsia="Arial" w:hAnsi="Arial"/>
                <w:sz w:val="12"/>
                <w:szCs w:val="12"/>
                <w:color w:val="0000EE"/>
                <w:w w:val="85"/>
              </w:rPr>
            </w:pPr>
            <w:hyperlink r:id="rId629">
              <w:r>
                <w:rPr>
                  <w:rFonts w:ascii="Arial" w:cs="Arial" w:eastAsia="Arial" w:hAnsi="Arial"/>
                  <w:sz w:val="12"/>
                  <w:szCs w:val="12"/>
                  <w:color w:val="0000EE"/>
                  <w:w w:val="85"/>
                </w:rPr>
                <w:t>2021, as amended)</w:t>
              </w:r>
            </w:hyperlink>
          </w:p>
        </w:tc>
        <w:tc>
          <w:tcPr>
            <w:tcW w:w="5440" w:type="dxa"/>
            <w:vAlign w:val="bottom"/>
            <w:gridSpan w:val="18"/>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10.24**</w:t>
            </w:r>
          </w:p>
        </w:tc>
        <w:tc>
          <w:tcPr>
            <w:tcW w:w="520" w:type="dxa"/>
            <w:vAlign w:val="bottom"/>
          </w:tcPr>
          <w:p>
            <w:pPr>
              <w:spacing w:after="0"/>
              <w:rPr>
                <w:sz w:val="17"/>
                <w:szCs w:val="17"/>
                <w:color w:val="auto"/>
              </w:rPr>
            </w:pPr>
          </w:p>
        </w:tc>
        <w:tc>
          <w:tcPr>
            <w:tcW w:w="6280" w:type="dxa"/>
            <w:vAlign w:val="bottom"/>
            <w:tcBorders>
              <w:bottom w:val="single" w:sz="8" w:color="0000EE"/>
            </w:tcBorders>
            <w:gridSpan w:val="17"/>
          </w:tcPr>
          <w:p>
            <w:pPr>
              <w:spacing w:after="0"/>
              <w:rPr>
                <w:rFonts w:ascii="Arial" w:cs="Arial" w:eastAsia="Arial" w:hAnsi="Arial"/>
                <w:sz w:val="12"/>
                <w:szCs w:val="12"/>
                <w:color w:val="0000EE"/>
                <w:w w:val="91"/>
              </w:rPr>
            </w:pPr>
            <w:hyperlink r:id="rId630">
              <w:r>
                <w:rPr>
                  <w:rFonts w:ascii="Arial" w:cs="Arial" w:eastAsia="Arial" w:hAnsi="Arial"/>
                  <w:sz w:val="12"/>
                  <w:szCs w:val="12"/>
                  <w:color w:val="0000EE"/>
                  <w:w w:val="91"/>
                </w:rPr>
                <w:t>Form of Indemnity Agreement (incorporated by reference to Exhibit 10.24 to Roivant Sciences Ltd.’s Form S-4 filed with the SEC</w:t>
              </w:r>
            </w:hyperlink>
          </w:p>
        </w:tc>
        <w:tc>
          <w:tcPr>
            <w:tcW w:w="60" w:type="dxa"/>
            <w:vAlign w:val="bottom"/>
            <w:gridSpan w:val="3"/>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gridSpan w:val="20"/>
          </w:tcPr>
          <w:p>
            <w:pPr>
              <w:spacing w:after="0" w:line="124" w:lineRule="exact"/>
              <w:rPr>
                <w:rFonts w:ascii="Arial" w:cs="Arial" w:eastAsia="Arial" w:hAnsi="Arial"/>
                <w:sz w:val="12"/>
                <w:szCs w:val="12"/>
                <w:color w:val="0000EE"/>
              </w:rPr>
            </w:pPr>
            <w:hyperlink r:id="rId630">
              <w:r>
                <w:rPr>
                  <w:rFonts w:ascii="Arial" w:cs="Arial" w:eastAsia="Arial" w:hAnsi="Arial"/>
                  <w:sz w:val="12"/>
                  <w:szCs w:val="12"/>
                  <w:color w:val="0000EE"/>
                </w:rPr>
                <w:t>on August 6, 2021, as 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10.25**</w:t>
            </w:r>
          </w:p>
        </w:tc>
        <w:tc>
          <w:tcPr>
            <w:tcW w:w="52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rPr>
                <w:rFonts w:ascii="Arial" w:cs="Arial" w:eastAsia="Arial" w:hAnsi="Arial"/>
                <w:sz w:val="12"/>
                <w:szCs w:val="12"/>
                <w:color w:val="0000EE"/>
                <w:w w:val="90"/>
              </w:rPr>
            </w:pPr>
            <w:hyperlink r:id="rId631">
              <w:r>
                <w:rPr>
                  <w:rFonts w:ascii="Arial" w:cs="Arial" w:eastAsia="Arial" w:hAnsi="Arial"/>
                  <w:sz w:val="12"/>
                  <w:szCs w:val="12"/>
                  <w:color w:val="0000EE"/>
                  <w:w w:val="90"/>
                </w:rPr>
                <w:t>Roivant Sciences Ltd. Amended and Restated 2015 Equity Incentive Plan (incorporated by reference to Exhibit 10.25 to Roivant</w:t>
              </w:r>
            </w:hyperlink>
          </w:p>
        </w:tc>
        <w:tc>
          <w:tcPr>
            <w:tcW w:w="160" w:type="dxa"/>
            <w:vAlign w:val="bottom"/>
            <w:gridSpan w:val="6"/>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gridSpan w:val="20"/>
          </w:tcPr>
          <w:p>
            <w:pPr>
              <w:spacing w:after="0" w:line="124" w:lineRule="exact"/>
              <w:rPr>
                <w:rFonts w:ascii="Arial" w:cs="Arial" w:eastAsia="Arial" w:hAnsi="Arial"/>
                <w:sz w:val="12"/>
                <w:szCs w:val="12"/>
                <w:color w:val="0000EE"/>
              </w:rPr>
            </w:pPr>
            <w:hyperlink r:id="rId631">
              <w:r>
                <w:rPr>
                  <w:rFonts w:ascii="Arial" w:cs="Arial" w:eastAsia="Arial" w:hAnsi="Arial"/>
                  <w:sz w:val="12"/>
                  <w:szCs w:val="12"/>
                  <w:color w:val="0000EE"/>
                </w:rPr>
                <w:t>Sciences Ltd.’s Form S-4 filed with the SEC on August 6, 2021, as 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10.26**</w:t>
            </w:r>
          </w:p>
        </w:tc>
        <w:tc>
          <w:tcPr>
            <w:tcW w:w="520" w:type="dxa"/>
            <w:vAlign w:val="bottom"/>
          </w:tcPr>
          <w:p>
            <w:pPr>
              <w:spacing w:after="0"/>
              <w:rPr>
                <w:sz w:val="17"/>
                <w:szCs w:val="17"/>
                <w:color w:val="auto"/>
              </w:rPr>
            </w:pPr>
          </w:p>
        </w:tc>
        <w:tc>
          <w:tcPr>
            <w:tcW w:w="6220" w:type="dxa"/>
            <w:vAlign w:val="bottom"/>
            <w:tcBorders>
              <w:bottom w:val="single" w:sz="8" w:color="0000EE"/>
            </w:tcBorders>
            <w:gridSpan w:val="15"/>
          </w:tcPr>
          <w:p>
            <w:pPr>
              <w:spacing w:after="0"/>
              <w:rPr>
                <w:rFonts w:ascii="Arial" w:cs="Arial" w:eastAsia="Arial" w:hAnsi="Arial"/>
                <w:sz w:val="12"/>
                <w:szCs w:val="12"/>
                <w:color w:val="0000EE"/>
                <w:w w:val="91"/>
              </w:rPr>
            </w:pPr>
            <w:hyperlink r:id="rId632">
              <w:r>
                <w:rPr>
                  <w:rFonts w:ascii="Arial" w:cs="Arial" w:eastAsia="Arial" w:hAnsi="Arial"/>
                  <w:sz w:val="12"/>
                  <w:szCs w:val="12"/>
                  <w:color w:val="0000EE"/>
                  <w:w w:val="91"/>
                </w:rPr>
                <w:t>Roivant Sciences Ltd. 2021 Equity Incentive Plan (incorporated by reference to Exhibit 99.1 to Roivant Sciences Ltd.’s Form S-8</w:t>
              </w:r>
            </w:hyperlink>
          </w:p>
        </w:tc>
        <w:tc>
          <w:tcPr>
            <w:tcW w:w="120" w:type="dxa"/>
            <w:vAlign w:val="bottom"/>
            <w:gridSpan w:val="5"/>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gridSpan w:val="20"/>
          </w:tcPr>
          <w:p>
            <w:pPr>
              <w:spacing w:after="0" w:line="124" w:lineRule="exact"/>
              <w:rPr>
                <w:rFonts w:ascii="Arial" w:cs="Arial" w:eastAsia="Arial" w:hAnsi="Arial"/>
                <w:sz w:val="12"/>
                <w:szCs w:val="12"/>
                <w:color w:val="0000EE"/>
              </w:rPr>
            </w:pPr>
            <w:hyperlink r:id="rId632">
              <w:r>
                <w:rPr>
                  <w:rFonts w:ascii="Arial" w:cs="Arial" w:eastAsia="Arial" w:hAnsi="Arial"/>
                  <w:sz w:val="12"/>
                  <w:szCs w:val="12"/>
                  <w:color w:val="0000EE"/>
                </w:rPr>
                <w:t>filed with the SEC on October 8, 2021, as amended)</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10.27**</w:t>
            </w:r>
          </w:p>
        </w:tc>
        <w:tc>
          <w:tcPr>
            <w:tcW w:w="520" w:type="dxa"/>
            <w:vAlign w:val="bottom"/>
          </w:tcPr>
          <w:p>
            <w:pPr>
              <w:spacing w:after="0"/>
              <w:rPr>
                <w:sz w:val="17"/>
                <w:szCs w:val="17"/>
                <w:color w:val="auto"/>
              </w:rPr>
            </w:pPr>
          </w:p>
        </w:tc>
        <w:tc>
          <w:tcPr>
            <w:tcW w:w="6300" w:type="dxa"/>
            <w:vAlign w:val="bottom"/>
            <w:tcBorders>
              <w:bottom w:val="single" w:sz="8" w:color="0000EE"/>
            </w:tcBorders>
            <w:gridSpan w:val="18"/>
          </w:tcPr>
          <w:p>
            <w:pPr>
              <w:spacing w:after="0"/>
              <w:rPr>
                <w:rFonts w:ascii="Arial" w:cs="Arial" w:eastAsia="Arial" w:hAnsi="Arial"/>
                <w:sz w:val="12"/>
                <w:szCs w:val="12"/>
                <w:color w:val="0000EE"/>
                <w:w w:val="89"/>
              </w:rPr>
            </w:pPr>
            <w:hyperlink r:id="rId633">
              <w:r>
                <w:rPr>
                  <w:rFonts w:ascii="Arial" w:cs="Arial" w:eastAsia="Arial" w:hAnsi="Arial"/>
                  <w:sz w:val="12"/>
                  <w:szCs w:val="12"/>
                  <w:color w:val="0000EE"/>
                  <w:w w:val="89"/>
                </w:rPr>
                <w:t>Amended and Restated Employment Agreement between Roivant Sciences, Inc. and Vivek Ramaswamy, dated as of May 14, 2021</w:t>
              </w:r>
            </w:hyperlink>
          </w:p>
        </w:tc>
        <w:tc>
          <w:tcPr>
            <w:tcW w:w="40" w:type="dxa"/>
            <w:vAlign w:val="bottom"/>
            <w:gridSpan w:val="2"/>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r:id="rId633">
              <w:r>
                <w:rPr>
                  <w:rFonts w:ascii="Arial" w:cs="Arial" w:eastAsia="Arial" w:hAnsi="Arial"/>
                  <w:sz w:val="12"/>
                  <w:szCs w:val="12"/>
                  <w:color w:val="0000EE"/>
                  <w:w w:val="90"/>
                </w:rPr>
                <w:t>(incorporated by reference to Exhibit 10.27 to Roivant Sciences Ltd.’s Form S-4 filed with the SEC on August 6, 2021, as amended)</w:t>
              </w:r>
            </w:hyperlink>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10.28**</w:t>
            </w:r>
          </w:p>
        </w:tc>
        <w:tc>
          <w:tcPr>
            <w:tcW w:w="520" w:type="dxa"/>
            <w:vAlign w:val="bottom"/>
          </w:tcPr>
          <w:p>
            <w:pPr>
              <w:spacing w:after="0"/>
              <w:rPr>
                <w:sz w:val="17"/>
                <w:szCs w:val="17"/>
                <w:color w:val="auto"/>
              </w:rPr>
            </w:pPr>
          </w:p>
        </w:tc>
        <w:tc>
          <w:tcPr>
            <w:tcW w:w="6280" w:type="dxa"/>
            <w:vAlign w:val="bottom"/>
            <w:tcBorders>
              <w:bottom w:val="single" w:sz="8" w:color="0000EE"/>
            </w:tcBorders>
            <w:gridSpan w:val="17"/>
          </w:tcPr>
          <w:p>
            <w:pPr>
              <w:spacing w:after="0"/>
              <w:rPr>
                <w:rFonts w:ascii="Arial" w:cs="Arial" w:eastAsia="Arial" w:hAnsi="Arial"/>
                <w:sz w:val="12"/>
                <w:szCs w:val="12"/>
                <w:color w:val="0000EE"/>
                <w:w w:val="90"/>
              </w:rPr>
            </w:pPr>
            <w:hyperlink r:id="rId634">
              <w:r>
                <w:rPr>
                  <w:rFonts w:ascii="Arial" w:cs="Arial" w:eastAsia="Arial" w:hAnsi="Arial"/>
                  <w:sz w:val="12"/>
                  <w:szCs w:val="12"/>
                  <w:color w:val="0000EE"/>
                  <w:w w:val="90"/>
                </w:rPr>
                <w:t>Executive Employment Agreement between Roivant Sciences, Inc. and Matthew Gline, dated as of May 14, 2021 (incorporated by</w:t>
              </w:r>
            </w:hyperlink>
          </w:p>
        </w:tc>
        <w:tc>
          <w:tcPr>
            <w:tcW w:w="60" w:type="dxa"/>
            <w:vAlign w:val="bottom"/>
            <w:gridSpan w:val="3"/>
          </w:tcPr>
          <w:p>
            <w:pPr>
              <w:spacing w:after="0"/>
              <w:rPr>
                <w:sz w:val="17"/>
                <w:szCs w:val="17"/>
                <w:color w:val="auto"/>
              </w:rPr>
            </w:pPr>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520" w:type="dxa"/>
            <w:vAlign w:val="bottom"/>
            <w:tcBorders>
              <w:bottom w:val="single" w:sz="8" w:color="0000EE"/>
            </w:tcBorders>
            <w:gridSpan w:val="9"/>
          </w:tcPr>
          <w:p>
            <w:pPr>
              <w:spacing w:after="0" w:line="124" w:lineRule="exact"/>
              <w:rPr>
                <w:rFonts w:ascii="Arial" w:cs="Arial" w:eastAsia="Arial" w:hAnsi="Arial"/>
                <w:sz w:val="12"/>
                <w:szCs w:val="12"/>
                <w:color w:val="0000EE"/>
                <w:w w:val="90"/>
              </w:rPr>
            </w:pPr>
            <w:hyperlink r:id="rId634">
              <w:r>
                <w:rPr>
                  <w:rFonts w:ascii="Arial" w:cs="Arial" w:eastAsia="Arial" w:hAnsi="Arial"/>
                  <w:sz w:val="12"/>
                  <w:szCs w:val="12"/>
                  <w:color w:val="0000EE"/>
                  <w:w w:val="90"/>
                </w:rPr>
                <w:t>reference to Exhibit 10.28 to Roivant Sciences Ltd.’s Form S-4 filed with the SEC on August 6, 2021, as amended)</w:t>
              </w:r>
            </w:hyperlink>
          </w:p>
        </w:tc>
        <w:tc>
          <w:tcPr>
            <w:tcW w:w="820" w:type="dxa"/>
            <w:vAlign w:val="bottom"/>
            <w:gridSpan w:val="11"/>
          </w:tcPr>
          <w:p>
            <w:pPr>
              <w:spacing w:after="0"/>
              <w:rPr>
                <w:sz w:val="10"/>
                <w:szCs w:val="10"/>
                <w:color w:val="auto"/>
              </w:rPr>
            </w:pPr>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10.29**</w:t>
            </w:r>
          </w:p>
        </w:tc>
        <w:tc>
          <w:tcPr>
            <w:tcW w:w="520" w:type="dxa"/>
            <w:vAlign w:val="bottom"/>
          </w:tcPr>
          <w:p>
            <w:pPr>
              <w:spacing w:after="0"/>
              <w:rPr>
                <w:sz w:val="17"/>
                <w:szCs w:val="17"/>
                <w:color w:val="auto"/>
              </w:rPr>
            </w:pPr>
          </w:p>
        </w:tc>
        <w:tc>
          <w:tcPr>
            <w:tcW w:w="6340" w:type="dxa"/>
            <w:vAlign w:val="bottom"/>
            <w:gridSpan w:val="20"/>
          </w:tcPr>
          <w:p>
            <w:pPr>
              <w:spacing w:after="0"/>
              <w:rPr>
                <w:rFonts w:ascii="Arial" w:cs="Arial" w:eastAsia="Arial" w:hAnsi="Arial"/>
                <w:sz w:val="12"/>
                <w:szCs w:val="12"/>
                <w:color w:val="0000EE"/>
                <w:w w:val="93"/>
              </w:rPr>
            </w:pPr>
            <w:hyperlink r:id="rId635">
              <w:r>
                <w:rPr>
                  <w:rFonts w:ascii="Arial" w:cs="Arial" w:eastAsia="Arial" w:hAnsi="Arial"/>
                  <w:sz w:val="12"/>
                  <w:szCs w:val="12"/>
                  <w:color w:val="0000EE"/>
                  <w:w w:val="93"/>
                </w:rPr>
                <w:t>Executive Employment Agreement between Roivant Sciences, Inc. and Eric Venker, dated as of May 14, 2021 (incorporated by</w:t>
              </w:r>
            </w:hyperlink>
          </w:p>
        </w:tc>
      </w:tr>
      <w:tr>
        <w:trPr>
          <w:trHeight w:val="124"/>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52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0"/>
              </w:rPr>
            </w:pPr>
            <w:hyperlink r:id="rId635">
              <w:r>
                <w:rPr>
                  <w:rFonts w:ascii="Arial" w:cs="Arial" w:eastAsia="Arial" w:hAnsi="Arial"/>
                  <w:sz w:val="12"/>
                  <w:szCs w:val="12"/>
                  <w:color w:val="0000EE"/>
                  <w:w w:val="90"/>
                </w:rPr>
                <w:t>reference to Exhibit 10.29 to Roivant Sciences Ltd.’s Form S-4 filed with the SEC on August 6, 2021, as amended)</w:t>
              </w:r>
            </w:hyperlink>
          </w:p>
        </w:tc>
        <w:tc>
          <w:tcPr>
            <w:tcW w:w="600" w:type="dxa"/>
            <w:vAlign w:val="bottom"/>
            <w:tcBorders>
              <w:top w:val="single" w:sz="8" w:color="0000EE"/>
            </w:tcBorders>
            <w:gridSpan w:val="3"/>
          </w:tcPr>
          <w:p>
            <w:pPr>
              <w:spacing w:after="0"/>
              <w:rPr>
                <w:sz w:val="10"/>
                <w:szCs w:val="10"/>
                <w:color w:val="auto"/>
              </w:rPr>
            </w:pPr>
          </w:p>
        </w:tc>
        <w:tc>
          <w:tcPr>
            <w:tcW w:w="220" w:type="dxa"/>
            <w:vAlign w:val="bottom"/>
            <w:gridSpan w:val="8"/>
          </w:tcPr>
          <w:p>
            <w:pPr>
              <w:spacing w:after="0"/>
              <w:rPr>
                <w:sz w:val="10"/>
                <w:szCs w:val="10"/>
                <w:color w:val="auto"/>
              </w:rPr>
            </w:pPr>
          </w:p>
        </w:tc>
      </w:tr>
    </w:tbl>
    <w:p>
      <w:pPr>
        <w:sectPr>
          <w:pgSz w:w="11900" w:h="16838" w:orient="portrait"/>
          <w:cols w:equalWidth="0" w:num="1">
            <w:col w:w="10159"/>
          </w:cols>
          <w:pgMar w:left="300" w:top="372" w:right="1440" w:bottom="0" w:gutter="0" w:footer="0" w:header="0"/>
        </w:sectPr>
      </w:pPr>
    </w:p>
    <w:bookmarkStart w:id="441" w:name="page442"/>
    <w:bookmarkEnd w:id="441"/>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color w:val="auto"/>
              </w:rPr>
              <w:t>10.30**</w:t>
            </w:r>
          </w:p>
        </w:tc>
        <w:tc>
          <w:tcPr>
            <w:tcW w:w="6280" w:type="dxa"/>
            <w:vAlign w:val="bottom"/>
            <w:tcBorders>
              <w:bottom w:val="single" w:sz="8" w:color="0000EE"/>
            </w:tcBorders>
            <w:gridSpan w:val="6"/>
          </w:tcPr>
          <w:p>
            <w:pPr>
              <w:spacing w:after="0"/>
              <w:rPr>
                <w:rFonts w:ascii="Arial" w:cs="Arial" w:eastAsia="Arial" w:hAnsi="Arial"/>
                <w:sz w:val="12"/>
                <w:szCs w:val="12"/>
                <w:color w:val="0000EE"/>
                <w:w w:val="90"/>
              </w:rPr>
            </w:pPr>
            <w:hyperlink r:id="rId636">
              <w:r>
                <w:rPr>
                  <w:rFonts w:ascii="Arial" w:cs="Arial" w:eastAsia="Arial" w:hAnsi="Arial"/>
                  <w:sz w:val="12"/>
                  <w:szCs w:val="12"/>
                  <w:color w:val="0000EE"/>
                  <w:w w:val="90"/>
                </w:rPr>
                <w:t>Executive Employment Agreement between Roivant Sciences, Inc. and Benjamin Zimmer, dated as of May 14, 2021 (incorporated</w:t>
              </w:r>
            </w:hyperlink>
          </w:p>
        </w:tc>
      </w:tr>
      <w:tr>
        <w:trPr>
          <w:trHeight w:val="124"/>
        </w:trPr>
        <w:tc>
          <w:tcPr>
            <w:tcW w:w="980" w:type="dxa"/>
            <w:vAlign w:val="bottom"/>
          </w:tcPr>
          <w:p>
            <w:pPr>
              <w:spacing w:after="0"/>
              <w:rPr>
                <w:sz w:val="10"/>
                <w:szCs w:val="10"/>
                <w:color w:val="auto"/>
              </w:rPr>
            </w:pPr>
          </w:p>
        </w:tc>
        <w:tc>
          <w:tcPr>
            <w:tcW w:w="6280" w:type="dxa"/>
            <w:vAlign w:val="bottom"/>
            <w:gridSpan w:val="6"/>
          </w:tcPr>
          <w:p>
            <w:pPr>
              <w:spacing w:after="0" w:line="124" w:lineRule="exact"/>
              <w:rPr>
                <w:rFonts w:ascii="Arial" w:cs="Arial" w:eastAsia="Arial" w:hAnsi="Arial"/>
                <w:sz w:val="12"/>
                <w:szCs w:val="12"/>
                <w:color w:val="0000EE"/>
              </w:rPr>
            </w:pPr>
            <w:hyperlink r:id="rId636">
              <w:r>
                <w:rPr>
                  <w:rFonts w:ascii="Arial" w:cs="Arial" w:eastAsia="Arial" w:hAnsi="Arial"/>
                  <w:sz w:val="12"/>
                  <w:szCs w:val="12"/>
                  <w:color w:val="0000EE"/>
                </w:rPr>
                <w:t>by reference to Exhibit 10.30 to Roivant Sciences Ltd.’s Form S-4 filed with the SEC on August 6, 2021, as amended)</w:t>
              </w:r>
            </w:hyperlink>
          </w:p>
        </w:tc>
      </w:tr>
      <w:tr>
        <w:trPr>
          <w:trHeight w:val="20"/>
        </w:trPr>
        <w:tc>
          <w:tcPr>
            <w:tcW w:w="9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2"/>
                <w:szCs w:val="12"/>
                <w:color w:val="auto"/>
              </w:rPr>
              <w:t>10.31#**</w:t>
            </w:r>
          </w:p>
        </w:tc>
        <w:tc>
          <w:tcPr>
            <w:tcW w:w="6280" w:type="dxa"/>
            <w:vAlign w:val="bottom"/>
            <w:gridSpan w:val="6"/>
          </w:tcPr>
          <w:p>
            <w:pPr>
              <w:spacing w:after="0"/>
              <w:rPr>
                <w:rFonts w:ascii="Arial" w:cs="Arial" w:eastAsia="Arial" w:hAnsi="Arial"/>
                <w:sz w:val="12"/>
                <w:szCs w:val="12"/>
                <w:color w:val="0000EE"/>
                <w:w w:val="95"/>
              </w:rPr>
            </w:pPr>
            <w:hyperlink r:id="rId637">
              <w:r>
                <w:rPr>
                  <w:rFonts w:ascii="Arial" w:cs="Arial" w:eastAsia="Arial" w:hAnsi="Arial"/>
                  <w:sz w:val="12"/>
                  <w:szCs w:val="12"/>
                  <w:color w:val="0000EE"/>
                  <w:w w:val="95"/>
                </w:rPr>
                <w:t>Credit Agreement by and among Dermavant Sciences Ltd., Dermavant Holdings Limited, Dermavant Sciences IRL Limited,</w:t>
              </w:r>
            </w:hyperlink>
          </w:p>
        </w:tc>
      </w:tr>
      <w:tr>
        <w:trPr>
          <w:trHeight w:val="124"/>
        </w:trPr>
        <w:tc>
          <w:tcPr>
            <w:tcW w:w="980" w:type="dxa"/>
            <w:vAlign w:val="bottom"/>
          </w:tcPr>
          <w:p>
            <w:pPr>
              <w:spacing w:after="0"/>
              <w:rPr>
                <w:sz w:val="10"/>
                <w:szCs w:val="10"/>
                <w:color w:val="auto"/>
              </w:rPr>
            </w:pPr>
          </w:p>
        </w:tc>
        <w:tc>
          <w:tcPr>
            <w:tcW w:w="5980" w:type="dxa"/>
            <w:vAlign w:val="bottom"/>
            <w:tcBorders>
              <w:top w:val="single" w:sz="8" w:color="0000EE"/>
            </w:tcBorders>
            <w:gridSpan w:val="4"/>
          </w:tcPr>
          <w:p>
            <w:pPr>
              <w:spacing w:after="0" w:line="124" w:lineRule="exact"/>
              <w:rPr>
                <w:rFonts w:ascii="Arial" w:cs="Arial" w:eastAsia="Arial" w:hAnsi="Arial"/>
                <w:sz w:val="12"/>
                <w:szCs w:val="12"/>
                <w:color w:val="0000EE"/>
                <w:w w:val="91"/>
              </w:rPr>
            </w:pPr>
            <w:hyperlink r:id="rId637">
              <w:r>
                <w:rPr>
                  <w:rFonts w:ascii="Arial" w:cs="Arial" w:eastAsia="Arial" w:hAnsi="Arial"/>
                  <w:sz w:val="12"/>
                  <w:szCs w:val="12"/>
                  <w:color w:val="0000EE"/>
                  <w:w w:val="91"/>
                </w:rPr>
                <w:t>Dermavant Sciences GmbH, certain subsidiaries of Dermavant Sciences Ltd., XYQ Luxco S.A.R.L. and U.S. Bank National</w:t>
              </w:r>
            </w:hyperlink>
          </w:p>
        </w:tc>
        <w:tc>
          <w:tcPr>
            <w:tcW w:w="300" w:type="dxa"/>
            <w:vAlign w:val="bottom"/>
            <w:gridSpan w:val="2"/>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980" w:type="dxa"/>
            <w:vAlign w:val="bottom"/>
          </w:tcPr>
          <w:p>
            <w:pPr>
              <w:spacing w:after="0"/>
              <w:rPr>
                <w:sz w:val="10"/>
                <w:szCs w:val="10"/>
                <w:color w:val="auto"/>
              </w:rPr>
            </w:pPr>
          </w:p>
        </w:tc>
        <w:tc>
          <w:tcPr>
            <w:tcW w:w="614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637">
              <w:r>
                <w:rPr>
                  <w:rFonts w:ascii="Arial" w:cs="Arial" w:eastAsia="Arial" w:hAnsi="Arial"/>
                  <w:sz w:val="12"/>
                  <w:szCs w:val="12"/>
                  <w:color w:val="0000EE"/>
                  <w:w w:val="90"/>
                </w:rPr>
                <w:t>Association, as collateral agent, dated as of May 14, 2021(incorporated by reference to Exhibit 10.31 to Roivant Sciences Ltd.’s</w:t>
              </w:r>
            </w:hyperlink>
          </w:p>
        </w:tc>
        <w:tc>
          <w:tcPr>
            <w:tcW w:w="140" w:type="dxa"/>
            <w:vAlign w:val="bottom"/>
          </w:tcPr>
          <w:p>
            <w:pPr>
              <w:spacing w:after="0"/>
              <w:rPr>
                <w:sz w:val="10"/>
                <w:szCs w:val="10"/>
                <w:color w:val="auto"/>
              </w:rPr>
            </w:pPr>
          </w:p>
        </w:tc>
      </w:tr>
      <w:tr>
        <w:trPr>
          <w:trHeight w:val="124"/>
        </w:trPr>
        <w:tc>
          <w:tcPr>
            <w:tcW w:w="980" w:type="dxa"/>
            <w:vAlign w:val="bottom"/>
          </w:tcPr>
          <w:p>
            <w:pPr>
              <w:spacing w:after="0"/>
              <w:rPr>
                <w:sz w:val="10"/>
                <w:szCs w:val="10"/>
                <w:color w:val="auto"/>
              </w:rPr>
            </w:pPr>
          </w:p>
        </w:tc>
        <w:tc>
          <w:tcPr>
            <w:tcW w:w="6280" w:type="dxa"/>
            <w:vAlign w:val="bottom"/>
            <w:gridSpan w:val="6"/>
          </w:tcPr>
          <w:p>
            <w:pPr>
              <w:spacing w:after="0" w:line="124" w:lineRule="exact"/>
              <w:rPr>
                <w:rFonts w:ascii="Arial" w:cs="Arial" w:eastAsia="Arial" w:hAnsi="Arial"/>
                <w:sz w:val="12"/>
                <w:szCs w:val="12"/>
                <w:color w:val="0000EE"/>
              </w:rPr>
            </w:pPr>
            <w:hyperlink r:id="rId637">
              <w:r>
                <w:rPr>
                  <w:rFonts w:ascii="Arial" w:cs="Arial" w:eastAsia="Arial" w:hAnsi="Arial"/>
                  <w:sz w:val="12"/>
                  <w:szCs w:val="12"/>
                  <w:color w:val="0000EE"/>
                </w:rPr>
                <w:t>Form S-4 filed with the SEC on August 6, 2021, as amended)</w:t>
              </w:r>
            </w:hyperlink>
          </w:p>
        </w:tc>
      </w:tr>
      <w:tr>
        <w:trPr>
          <w:trHeight w:val="20"/>
        </w:trPr>
        <w:tc>
          <w:tcPr>
            <w:tcW w:w="98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II-6</w:t>
      </w:r>
    </w:p>
    <w:p>
      <w:pPr>
        <w:sectPr>
          <w:pgSz w:w="11900" w:h="16838" w:orient="portrait"/>
          <w:cols w:equalWidth="0" w:num="1">
            <w:col w:w="9019"/>
          </w:cols>
          <w:pgMar w:left="1440" w:top="119" w:right="1440" w:bottom="1440" w:gutter="0" w:footer="0" w:header="0"/>
        </w:sectPr>
      </w:pPr>
    </w:p>
    <w:bookmarkStart w:id="442" w:name="page443"/>
    <w:bookmarkEnd w:id="4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gridSpan w:val="3"/>
          </w:tcPr>
          <w:p>
            <w:pPr>
              <w:ind w:left="20"/>
              <w:spacing w:after="0"/>
              <w:rPr>
                <w:sz w:val="20"/>
                <w:szCs w:val="20"/>
                <w:color w:val="auto"/>
              </w:rPr>
            </w:pPr>
            <w:r>
              <w:rPr>
                <w:rFonts w:ascii="Arial" w:cs="Arial" w:eastAsia="Arial" w:hAnsi="Arial"/>
                <w:sz w:val="10"/>
                <w:szCs w:val="10"/>
                <w:b w:val="1"/>
                <w:bCs w:val="1"/>
                <w:color w:val="auto"/>
              </w:rPr>
              <w:t>Exhibit No.</w:t>
            </w:r>
          </w:p>
        </w:tc>
        <w:tc>
          <w:tcPr>
            <w:tcW w:w="6440" w:type="dxa"/>
            <w:vAlign w:val="bottom"/>
            <w:gridSpan w:val="20"/>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80" w:type="dxa"/>
            <w:vAlign w:val="bottom"/>
            <w:gridSpan w:val="2"/>
          </w:tcPr>
          <w:p>
            <w:pPr>
              <w:spacing w:after="0"/>
              <w:rPr>
                <w:sz w:val="20"/>
                <w:szCs w:val="20"/>
                <w:color w:val="auto"/>
              </w:rPr>
            </w:pPr>
            <w:r>
              <w:rPr>
                <w:rFonts w:ascii="Arial" w:cs="Arial" w:eastAsia="Arial" w:hAnsi="Arial"/>
                <w:sz w:val="12"/>
                <w:szCs w:val="12"/>
                <w:color w:val="auto"/>
                <w:w w:val="99"/>
              </w:rPr>
              <w:t>10.32#**</w:t>
            </w:r>
          </w:p>
        </w:tc>
        <w:tc>
          <w:tcPr>
            <w:tcW w:w="400" w:type="dxa"/>
            <w:vAlign w:val="bottom"/>
          </w:tcPr>
          <w:p>
            <w:pPr>
              <w:spacing w:after="0"/>
              <w:rPr>
                <w:sz w:val="15"/>
                <w:szCs w:val="15"/>
                <w:color w:val="auto"/>
              </w:rPr>
            </w:pPr>
          </w:p>
        </w:tc>
        <w:tc>
          <w:tcPr>
            <w:tcW w:w="6440" w:type="dxa"/>
            <w:vAlign w:val="bottom"/>
            <w:tcBorders>
              <w:bottom w:val="single" w:sz="8" w:color="0000EE"/>
            </w:tcBorders>
            <w:gridSpan w:val="20"/>
          </w:tcPr>
          <w:p>
            <w:pPr>
              <w:spacing w:after="0"/>
              <w:rPr>
                <w:rFonts w:ascii="Arial" w:cs="Arial" w:eastAsia="Arial" w:hAnsi="Arial"/>
                <w:sz w:val="12"/>
                <w:szCs w:val="12"/>
                <w:color w:val="0000EE"/>
                <w:w w:val="88"/>
              </w:rPr>
            </w:pPr>
            <w:hyperlink r:id="rId639">
              <w:r>
                <w:rPr>
                  <w:rFonts w:ascii="Arial" w:cs="Arial" w:eastAsia="Arial" w:hAnsi="Arial"/>
                  <w:sz w:val="12"/>
                  <w:szCs w:val="12"/>
                  <w:color w:val="0000EE"/>
                  <w:w w:val="88"/>
                </w:rPr>
                <w:t>Revenue Interest Purchase and Sale Agreement by and among Dermavant Sciences GmbH, certain purchasers and U.S. Bank National</w:t>
              </w:r>
            </w:hyperlink>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40" w:type="dxa"/>
            <w:vAlign w:val="bottom"/>
            <w:gridSpan w:val="20"/>
          </w:tcPr>
          <w:p>
            <w:pPr>
              <w:spacing w:after="0" w:line="124" w:lineRule="exact"/>
              <w:rPr>
                <w:rFonts w:ascii="Arial" w:cs="Arial" w:eastAsia="Arial" w:hAnsi="Arial"/>
                <w:sz w:val="12"/>
                <w:szCs w:val="12"/>
                <w:color w:val="0000EE"/>
                <w:w w:val="90"/>
              </w:rPr>
            </w:pPr>
            <w:hyperlink r:id="rId639">
              <w:r>
                <w:rPr>
                  <w:rFonts w:ascii="Arial" w:cs="Arial" w:eastAsia="Arial" w:hAnsi="Arial"/>
                  <w:sz w:val="12"/>
                  <w:szCs w:val="12"/>
                  <w:color w:val="0000EE"/>
                  <w:w w:val="90"/>
                </w:rPr>
                <w:t>Association as collateral agent, dated as of May 14, 2021 (incorporated by reference to Exhibit 10.32 to Roivant Sciences Ltd.’s Form</w:t>
              </w:r>
            </w:hyperlink>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6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9"/>
              </w:rPr>
            </w:pPr>
            <w:hyperlink r:id="rId639">
              <w:r>
                <w:rPr>
                  <w:rFonts w:ascii="Arial" w:cs="Arial" w:eastAsia="Arial" w:hAnsi="Arial"/>
                  <w:sz w:val="12"/>
                  <w:szCs w:val="12"/>
                  <w:color w:val="0000EE"/>
                  <w:w w:val="89"/>
                </w:rPr>
                <w:t>S-4 filed with the SEC on August 6, 2021, as amended)</w:t>
              </w:r>
            </w:hyperlink>
          </w:p>
        </w:tc>
        <w:tc>
          <w:tcPr>
            <w:tcW w:w="3760" w:type="dxa"/>
            <w:vAlign w:val="bottom"/>
            <w:tcBorders>
              <w:top w:val="single" w:sz="8" w:color="0000EE"/>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10.33**</w:t>
            </w:r>
          </w:p>
        </w:tc>
        <w:tc>
          <w:tcPr>
            <w:tcW w:w="400" w:type="dxa"/>
            <w:vAlign w:val="bottom"/>
          </w:tcPr>
          <w:p>
            <w:pPr>
              <w:spacing w:after="0"/>
              <w:rPr>
                <w:sz w:val="17"/>
                <w:szCs w:val="17"/>
                <w:color w:val="auto"/>
              </w:rPr>
            </w:pPr>
          </w:p>
        </w:tc>
        <w:tc>
          <w:tcPr>
            <w:tcW w:w="6240" w:type="dxa"/>
            <w:vAlign w:val="bottom"/>
            <w:tcBorders>
              <w:bottom w:val="single" w:sz="8" w:color="0000EE"/>
            </w:tcBorders>
            <w:gridSpan w:val="16"/>
          </w:tcPr>
          <w:p>
            <w:pPr>
              <w:spacing w:after="0"/>
              <w:rPr>
                <w:rFonts w:ascii="Arial" w:cs="Arial" w:eastAsia="Arial" w:hAnsi="Arial"/>
                <w:sz w:val="12"/>
                <w:szCs w:val="12"/>
                <w:color w:val="0000EE"/>
                <w:w w:val="90"/>
              </w:rPr>
            </w:pPr>
            <w:hyperlink r:id="rId640">
              <w:r>
                <w:rPr>
                  <w:rFonts w:ascii="Arial" w:cs="Arial" w:eastAsia="Arial" w:hAnsi="Arial"/>
                  <w:sz w:val="12"/>
                  <w:szCs w:val="12"/>
                  <w:color w:val="0000EE"/>
                  <w:w w:val="90"/>
                </w:rPr>
                <w:t>Amendment No. 1 to the Support Agreement, dated as of June 9, 2021, by and among Roivant Sciences Ltd., Montes Archimedes</w:t>
              </w:r>
            </w:hyperlink>
          </w:p>
        </w:tc>
        <w:tc>
          <w:tcPr>
            <w:tcW w:w="200" w:type="dxa"/>
            <w:vAlign w:val="bottom"/>
            <w:gridSpan w:val="4"/>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40" w:type="dxa"/>
            <w:vAlign w:val="bottom"/>
            <w:gridSpan w:val="20"/>
          </w:tcPr>
          <w:p>
            <w:pPr>
              <w:spacing w:after="0" w:line="124" w:lineRule="exact"/>
              <w:rPr>
                <w:rFonts w:ascii="Arial" w:cs="Arial" w:eastAsia="Arial" w:hAnsi="Arial"/>
                <w:sz w:val="12"/>
                <w:szCs w:val="12"/>
                <w:color w:val="0000EE"/>
                <w:w w:val="92"/>
              </w:rPr>
            </w:pPr>
            <w:hyperlink r:id="rId640">
              <w:r>
                <w:rPr>
                  <w:rFonts w:ascii="Arial" w:cs="Arial" w:eastAsia="Arial" w:hAnsi="Arial"/>
                  <w:sz w:val="12"/>
                  <w:szCs w:val="12"/>
                  <w:color w:val="0000EE"/>
                  <w:w w:val="92"/>
                </w:rPr>
                <w:t>Acquisition Corp., Patient Square Capital LLC and certain shareholders of Roivant Sciences Ltd. (included as Annex EE to the joint</w:t>
              </w:r>
            </w:hyperlink>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4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90"/>
              </w:rPr>
            </w:pPr>
            <w:hyperlink r:id="rId640">
              <w:r>
                <w:rPr>
                  <w:rFonts w:ascii="Arial" w:cs="Arial" w:eastAsia="Arial" w:hAnsi="Arial"/>
                  <w:sz w:val="12"/>
                  <w:szCs w:val="12"/>
                  <w:color w:val="0000EE"/>
                  <w:w w:val="90"/>
                </w:rPr>
                <w:t>proxy statement/prospectus which is part of Roivant Sciences Ltd.’s Form S-4 filed with the SEC on August 6, 2021, as amended,</w:t>
              </w:r>
            </w:hyperlink>
          </w:p>
        </w:tc>
        <w:tc>
          <w:tcPr>
            <w:tcW w:w="100" w:type="dxa"/>
            <w:vAlign w:val="bottom"/>
            <w:tcBorders>
              <w:top w:val="single" w:sz="8" w:color="0000EE"/>
            </w:tcBorders>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r:id="rId640">
              <w:r>
                <w:rPr>
                  <w:rFonts w:ascii="Arial" w:cs="Arial" w:eastAsia="Arial" w:hAnsi="Arial"/>
                  <w:sz w:val="12"/>
                  <w:szCs w:val="12"/>
                  <w:color w:val="0000EE"/>
                  <w:w w:val="89"/>
                </w:rPr>
                <w:t>which is incorporated by reference)</w:t>
              </w:r>
            </w:hyperlink>
          </w:p>
        </w:tc>
        <w:tc>
          <w:tcPr>
            <w:tcW w:w="4740" w:type="dxa"/>
            <w:vAlign w:val="bottom"/>
            <w:gridSpan w:val="18"/>
          </w:tcPr>
          <w:p>
            <w:pPr>
              <w:spacing w:after="0"/>
              <w:rPr>
                <w:sz w:val="10"/>
                <w:szCs w:val="10"/>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10.34**</w:t>
            </w:r>
          </w:p>
        </w:tc>
        <w:tc>
          <w:tcPr>
            <w:tcW w:w="400" w:type="dxa"/>
            <w:vAlign w:val="bottom"/>
          </w:tcPr>
          <w:p>
            <w:pPr>
              <w:spacing w:after="0"/>
              <w:rPr>
                <w:sz w:val="17"/>
                <w:szCs w:val="17"/>
                <w:color w:val="auto"/>
              </w:rPr>
            </w:pPr>
          </w:p>
        </w:tc>
        <w:tc>
          <w:tcPr>
            <w:tcW w:w="5980" w:type="dxa"/>
            <w:vAlign w:val="bottom"/>
            <w:tcBorders>
              <w:bottom w:val="single" w:sz="8" w:color="0000EE"/>
            </w:tcBorders>
            <w:gridSpan w:val="13"/>
          </w:tcPr>
          <w:p>
            <w:pPr>
              <w:spacing w:after="0"/>
              <w:rPr>
                <w:rFonts w:ascii="Arial" w:cs="Arial" w:eastAsia="Arial" w:hAnsi="Arial"/>
                <w:sz w:val="12"/>
                <w:szCs w:val="12"/>
                <w:color w:val="0000EE"/>
                <w:w w:val="89"/>
              </w:rPr>
            </w:pPr>
            <w:hyperlink r:id="rId641">
              <w:r>
                <w:rPr>
                  <w:rFonts w:ascii="Arial" w:cs="Arial" w:eastAsia="Arial" w:hAnsi="Arial"/>
                  <w:sz w:val="12"/>
                  <w:szCs w:val="12"/>
                  <w:color w:val="0000EE"/>
                  <w:w w:val="89"/>
                </w:rPr>
                <w:t>Amendment No. 2 to the Support Agreement, dated as of September 30, 2021, by and among Roivant Sciences Ltd., Montes</w:t>
              </w:r>
            </w:hyperlink>
          </w:p>
        </w:tc>
        <w:tc>
          <w:tcPr>
            <w:tcW w:w="460" w:type="dxa"/>
            <w:vAlign w:val="bottom"/>
            <w:gridSpan w:val="7"/>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40" w:type="dxa"/>
            <w:vAlign w:val="bottom"/>
            <w:gridSpan w:val="20"/>
          </w:tcPr>
          <w:p>
            <w:pPr>
              <w:spacing w:after="0" w:line="124" w:lineRule="exact"/>
              <w:rPr>
                <w:rFonts w:ascii="Arial" w:cs="Arial" w:eastAsia="Arial" w:hAnsi="Arial"/>
                <w:sz w:val="12"/>
                <w:szCs w:val="12"/>
                <w:color w:val="0000EE"/>
                <w:w w:val="96"/>
              </w:rPr>
            </w:pPr>
            <w:hyperlink r:id="rId641">
              <w:r>
                <w:rPr>
                  <w:rFonts w:ascii="Arial" w:cs="Arial" w:eastAsia="Arial" w:hAnsi="Arial"/>
                  <w:sz w:val="12"/>
                  <w:szCs w:val="12"/>
                  <w:color w:val="0000EE"/>
                  <w:w w:val="96"/>
                </w:rPr>
                <w:t>Archimedes Acquisition Corp., Patient Square Capital LLC and certain shareholders of Roivant Sciences Ltd. (incorporated by</w:t>
              </w:r>
            </w:hyperlink>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90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641">
              <w:r>
                <w:rPr>
                  <w:rFonts w:ascii="Arial" w:cs="Arial" w:eastAsia="Arial" w:hAnsi="Arial"/>
                  <w:sz w:val="12"/>
                  <w:szCs w:val="12"/>
                  <w:color w:val="0000EE"/>
                  <w:w w:val="91"/>
                </w:rPr>
                <w:t>reference to Exhibit 10.1 to Roivant Sciences Ltd.’s Form 8-K filed with the SEC on October 1, 2021)</w:t>
              </w:r>
            </w:hyperlink>
          </w:p>
        </w:tc>
        <w:tc>
          <w:tcPr>
            <w:tcW w:w="1180" w:type="dxa"/>
            <w:vAlign w:val="bottom"/>
            <w:tcBorders>
              <w:top w:val="single" w:sz="8" w:color="0000EE"/>
            </w:tcBorders>
            <w:gridSpan w:val="4"/>
          </w:tcPr>
          <w:p>
            <w:pPr>
              <w:spacing w:after="0"/>
              <w:rPr>
                <w:sz w:val="10"/>
                <w:szCs w:val="10"/>
                <w:color w:val="auto"/>
              </w:rPr>
            </w:pPr>
          </w:p>
        </w:tc>
        <w:tc>
          <w:tcPr>
            <w:tcW w:w="360" w:type="dxa"/>
            <w:vAlign w:val="bottom"/>
            <w:gridSpan w:val="6"/>
          </w:tcPr>
          <w:p>
            <w:pPr>
              <w:spacing w:after="0"/>
              <w:rPr>
                <w:sz w:val="10"/>
                <w:szCs w:val="10"/>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10.35**</w:t>
            </w:r>
          </w:p>
        </w:tc>
        <w:tc>
          <w:tcPr>
            <w:tcW w:w="400" w:type="dxa"/>
            <w:vAlign w:val="bottom"/>
          </w:tcPr>
          <w:p>
            <w:pPr>
              <w:spacing w:after="0"/>
              <w:rPr>
                <w:sz w:val="17"/>
                <w:szCs w:val="17"/>
                <w:color w:val="auto"/>
              </w:rPr>
            </w:pPr>
          </w:p>
        </w:tc>
        <w:tc>
          <w:tcPr>
            <w:tcW w:w="6400" w:type="dxa"/>
            <w:vAlign w:val="bottom"/>
            <w:tcBorders>
              <w:bottom w:val="single" w:sz="8" w:color="0000EE"/>
            </w:tcBorders>
            <w:gridSpan w:val="18"/>
          </w:tcPr>
          <w:p>
            <w:pPr>
              <w:spacing w:after="0"/>
              <w:rPr>
                <w:rFonts w:ascii="Arial" w:cs="Arial" w:eastAsia="Arial" w:hAnsi="Arial"/>
                <w:sz w:val="12"/>
                <w:szCs w:val="12"/>
                <w:color w:val="0000EE"/>
                <w:w w:val="90"/>
              </w:rPr>
            </w:pPr>
            <w:hyperlink r:id="rId642">
              <w:r>
                <w:rPr>
                  <w:rFonts w:ascii="Arial" w:cs="Arial" w:eastAsia="Arial" w:hAnsi="Arial"/>
                  <w:sz w:val="12"/>
                  <w:szCs w:val="12"/>
                  <w:color w:val="0000EE"/>
                  <w:w w:val="90"/>
                </w:rPr>
                <w:t>Roivant Sciences Ltd. Employee Stock Purchase Plan (incorporated by reference to Exhibit 99.2 to Roivant Sciences Ltd.’s Form S-8</w:t>
              </w:r>
            </w:hyperlink>
          </w:p>
        </w:tc>
        <w:tc>
          <w:tcPr>
            <w:tcW w:w="40" w:type="dxa"/>
            <w:vAlign w:val="bottom"/>
            <w:gridSpan w:val="2"/>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40" w:type="dxa"/>
            <w:vAlign w:val="bottom"/>
            <w:gridSpan w:val="20"/>
          </w:tcPr>
          <w:p>
            <w:pPr>
              <w:spacing w:after="0" w:line="124" w:lineRule="exact"/>
              <w:rPr>
                <w:rFonts w:ascii="Arial" w:cs="Arial" w:eastAsia="Arial" w:hAnsi="Arial"/>
                <w:sz w:val="12"/>
                <w:szCs w:val="12"/>
                <w:color w:val="0000EE"/>
              </w:rPr>
            </w:pPr>
            <w:hyperlink r:id="rId642">
              <w:r>
                <w:rPr>
                  <w:rFonts w:ascii="Arial" w:cs="Arial" w:eastAsia="Arial" w:hAnsi="Arial"/>
                  <w:sz w:val="12"/>
                  <w:szCs w:val="12"/>
                  <w:color w:val="0000EE"/>
                </w:rPr>
                <w:t>filed with the SEC on October 8, 2021, as amended)</w:t>
              </w:r>
            </w:hyperlink>
          </w:p>
        </w:tc>
      </w:tr>
      <w:tr>
        <w:trPr>
          <w:trHeight w:val="20"/>
        </w:trPr>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21.1**</w:t>
            </w:r>
          </w:p>
        </w:tc>
        <w:tc>
          <w:tcPr>
            <w:tcW w:w="400" w:type="dxa"/>
            <w:vAlign w:val="bottom"/>
          </w:tcPr>
          <w:p>
            <w:pPr>
              <w:spacing w:after="0"/>
              <w:rPr>
                <w:sz w:val="17"/>
                <w:szCs w:val="17"/>
                <w:color w:val="auto"/>
              </w:rPr>
            </w:pPr>
          </w:p>
        </w:tc>
        <w:tc>
          <w:tcPr>
            <w:tcW w:w="6220" w:type="dxa"/>
            <w:vAlign w:val="bottom"/>
            <w:tcBorders>
              <w:bottom w:val="single" w:sz="8" w:color="0000EE"/>
            </w:tcBorders>
            <w:gridSpan w:val="15"/>
          </w:tcPr>
          <w:p>
            <w:pPr>
              <w:spacing w:after="0"/>
              <w:rPr>
                <w:rFonts w:ascii="Arial" w:cs="Arial" w:eastAsia="Arial" w:hAnsi="Arial"/>
                <w:sz w:val="12"/>
                <w:szCs w:val="12"/>
                <w:color w:val="0000EE"/>
                <w:w w:val="91"/>
              </w:rPr>
            </w:pPr>
            <w:hyperlink r:id="rId643">
              <w:r>
                <w:rPr>
                  <w:rFonts w:ascii="Arial" w:cs="Arial" w:eastAsia="Arial" w:hAnsi="Arial"/>
                  <w:sz w:val="12"/>
                  <w:szCs w:val="12"/>
                  <w:color w:val="0000EE"/>
                  <w:w w:val="91"/>
                </w:rPr>
                <w:t>List of Subsidiaries of Roivant Sciences Ltd. (incorporated by reference to Exhibit 21.1 to Roivant Sciences Ltd.’s Form S-4 filed</w:t>
              </w:r>
            </w:hyperlink>
          </w:p>
        </w:tc>
        <w:tc>
          <w:tcPr>
            <w:tcW w:w="220" w:type="dxa"/>
            <w:vAlign w:val="bottom"/>
            <w:gridSpan w:val="5"/>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20" w:type="dxa"/>
            <w:vAlign w:val="bottom"/>
            <w:tcBorders>
              <w:bottom w:val="single" w:sz="8" w:color="0000EE"/>
            </w:tcBorders>
            <w:gridSpan w:val="3"/>
          </w:tcPr>
          <w:p>
            <w:pPr>
              <w:spacing w:after="0" w:line="124" w:lineRule="exact"/>
              <w:rPr>
                <w:rFonts w:ascii="Arial" w:cs="Arial" w:eastAsia="Arial" w:hAnsi="Arial"/>
                <w:sz w:val="12"/>
                <w:szCs w:val="12"/>
                <w:color w:val="0000EE"/>
                <w:w w:val="89"/>
              </w:rPr>
            </w:pPr>
            <w:hyperlink r:id="rId643">
              <w:r>
                <w:rPr>
                  <w:rFonts w:ascii="Arial" w:cs="Arial" w:eastAsia="Arial" w:hAnsi="Arial"/>
                  <w:sz w:val="12"/>
                  <w:szCs w:val="12"/>
                  <w:color w:val="0000EE"/>
                  <w:w w:val="89"/>
                </w:rPr>
                <w:t>with the SEC on August 6, 2021, as amended)</w:t>
              </w:r>
            </w:hyperlink>
          </w:p>
        </w:tc>
        <w:tc>
          <w:tcPr>
            <w:tcW w:w="4220" w:type="dxa"/>
            <w:vAlign w:val="bottom"/>
            <w:gridSpan w:val="17"/>
          </w:tcPr>
          <w:p>
            <w:pPr>
              <w:spacing w:after="0"/>
              <w:rPr>
                <w:sz w:val="10"/>
                <w:szCs w:val="10"/>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23.1</w:t>
            </w:r>
          </w:p>
        </w:tc>
        <w:tc>
          <w:tcPr>
            <w:tcW w:w="400" w:type="dxa"/>
            <w:vAlign w:val="bottom"/>
          </w:tcPr>
          <w:p>
            <w:pPr>
              <w:spacing w:after="0"/>
              <w:rPr>
                <w:sz w:val="17"/>
                <w:szCs w:val="17"/>
                <w:color w:val="auto"/>
              </w:rPr>
            </w:pPr>
          </w:p>
        </w:tc>
        <w:tc>
          <w:tcPr>
            <w:tcW w:w="6440" w:type="dxa"/>
            <w:vAlign w:val="bottom"/>
            <w:gridSpan w:val="20"/>
          </w:tcPr>
          <w:p>
            <w:pPr>
              <w:spacing w:after="0"/>
              <w:rPr>
                <w:rFonts w:ascii="Arial" w:cs="Arial" w:eastAsia="Arial" w:hAnsi="Arial"/>
                <w:sz w:val="12"/>
                <w:szCs w:val="12"/>
                <w:color w:val="0000EE"/>
              </w:rPr>
            </w:pPr>
            <w:hyperlink w:anchor="page455">
              <w:r>
                <w:rPr>
                  <w:rFonts w:ascii="Arial" w:cs="Arial" w:eastAsia="Arial" w:hAnsi="Arial"/>
                  <w:sz w:val="12"/>
                  <w:szCs w:val="12"/>
                  <w:color w:val="0000EE"/>
                </w:rPr>
                <w:t>Consent of Marcum LLP, Independent Registered Public Accounting Firm of Montes Archimedes Acquisition Corp.</w:t>
              </w:r>
            </w:hyperlink>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23.2</w:t>
            </w:r>
          </w:p>
        </w:tc>
        <w:tc>
          <w:tcPr>
            <w:tcW w:w="40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1"/>
          </w:tcPr>
          <w:p>
            <w:pPr>
              <w:spacing w:after="0"/>
              <w:rPr>
                <w:rFonts w:ascii="Arial" w:cs="Arial" w:eastAsia="Arial" w:hAnsi="Arial"/>
                <w:sz w:val="12"/>
                <w:szCs w:val="12"/>
                <w:color w:val="0000EE"/>
                <w:w w:val="91"/>
              </w:rPr>
            </w:pPr>
            <w:hyperlink w:anchor="page456">
              <w:r>
                <w:rPr>
                  <w:rFonts w:ascii="Arial" w:cs="Arial" w:eastAsia="Arial" w:hAnsi="Arial"/>
                  <w:sz w:val="12"/>
                  <w:szCs w:val="12"/>
                  <w:color w:val="0000EE"/>
                  <w:w w:val="91"/>
                </w:rPr>
                <w:t>Consent of Ernst &amp; Young LLP, Independent Registered Public Accounting Firm of Roivant Sciences Ltd.</w:t>
              </w:r>
            </w:hyperlink>
          </w:p>
        </w:tc>
        <w:tc>
          <w:tcPr>
            <w:tcW w:w="480" w:type="dxa"/>
            <w:vAlign w:val="bottom"/>
            <w:tcBorders>
              <w:top w:val="single" w:sz="8" w:color="0000EE"/>
            </w:tcBorders>
          </w:tcPr>
          <w:p>
            <w:pPr>
              <w:spacing w:after="0"/>
              <w:rPr>
                <w:sz w:val="17"/>
                <w:szCs w:val="17"/>
                <w:color w:val="auto"/>
              </w:rPr>
            </w:pPr>
          </w:p>
        </w:tc>
        <w:tc>
          <w:tcPr>
            <w:tcW w:w="860" w:type="dxa"/>
            <w:vAlign w:val="bottom"/>
            <w:gridSpan w:val="8"/>
          </w:tcPr>
          <w:p>
            <w:pPr>
              <w:spacing w:after="0"/>
              <w:rPr>
                <w:sz w:val="17"/>
                <w:szCs w:val="17"/>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23.3</w:t>
            </w:r>
          </w:p>
        </w:tc>
        <w:tc>
          <w:tcPr>
            <w:tcW w:w="400" w:type="dxa"/>
            <w:vAlign w:val="bottom"/>
          </w:tcPr>
          <w:p>
            <w:pPr>
              <w:spacing w:after="0"/>
              <w:rPr>
                <w:sz w:val="17"/>
                <w:szCs w:val="17"/>
                <w:color w:val="auto"/>
              </w:rPr>
            </w:pPr>
          </w:p>
        </w:tc>
        <w:tc>
          <w:tcPr>
            <w:tcW w:w="3360" w:type="dxa"/>
            <w:vAlign w:val="bottom"/>
            <w:tcBorders>
              <w:bottom w:val="single" w:sz="8" w:color="0000EE"/>
            </w:tcBorders>
            <w:gridSpan w:val="8"/>
          </w:tcPr>
          <w:p>
            <w:pPr>
              <w:spacing w:after="0"/>
              <w:rPr>
                <w:rFonts w:ascii="Arial" w:cs="Arial" w:eastAsia="Arial" w:hAnsi="Arial"/>
                <w:sz w:val="12"/>
                <w:szCs w:val="12"/>
                <w:color w:val="0000EE"/>
                <w:w w:val="92"/>
              </w:rPr>
            </w:pPr>
            <w:hyperlink w:anchor="page448">
              <w:r>
                <w:rPr>
                  <w:rFonts w:ascii="Arial" w:cs="Arial" w:eastAsia="Arial" w:hAnsi="Arial"/>
                  <w:sz w:val="12"/>
                  <w:szCs w:val="12"/>
                  <w:color w:val="0000EE"/>
                  <w:w w:val="92"/>
                </w:rPr>
                <w:t>Consent of Conyers Dill &amp; Pearman Limited (included in Exhibit 5.1)</w:t>
              </w:r>
            </w:hyperlink>
          </w:p>
        </w:tc>
        <w:tc>
          <w:tcPr>
            <w:tcW w:w="3080" w:type="dxa"/>
            <w:vAlign w:val="bottom"/>
            <w:gridSpan w:val="12"/>
          </w:tcPr>
          <w:p>
            <w:pPr>
              <w:spacing w:after="0"/>
              <w:rPr>
                <w:sz w:val="17"/>
                <w:szCs w:val="17"/>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23.4</w:t>
            </w:r>
          </w:p>
        </w:tc>
        <w:tc>
          <w:tcPr>
            <w:tcW w:w="400" w:type="dxa"/>
            <w:vAlign w:val="bottom"/>
          </w:tcPr>
          <w:p>
            <w:pPr>
              <w:spacing w:after="0"/>
              <w:rPr>
                <w:sz w:val="17"/>
                <w:szCs w:val="17"/>
                <w:color w:val="auto"/>
              </w:rPr>
            </w:pPr>
          </w:p>
        </w:tc>
        <w:tc>
          <w:tcPr>
            <w:tcW w:w="6440" w:type="dxa"/>
            <w:vAlign w:val="bottom"/>
            <w:gridSpan w:val="20"/>
          </w:tcPr>
          <w:p>
            <w:pPr>
              <w:spacing w:after="0"/>
              <w:rPr>
                <w:rFonts w:ascii="Arial" w:cs="Arial" w:eastAsia="Arial" w:hAnsi="Arial"/>
                <w:sz w:val="12"/>
                <w:szCs w:val="12"/>
                <w:color w:val="0000EE"/>
              </w:rPr>
            </w:pPr>
            <w:hyperlink w:anchor="page451">
              <w:r>
                <w:rPr>
                  <w:rFonts w:ascii="Arial" w:cs="Arial" w:eastAsia="Arial" w:hAnsi="Arial"/>
                  <w:sz w:val="12"/>
                  <w:szCs w:val="12"/>
                  <w:color w:val="0000EE"/>
                </w:rPr>
                <w:t>Consent of Davis Polk &amp; Wardwell LLP (included in Exhibit 5.2)</w:t>
              </w:r>
            </w:hyperlink>
          </w:p>
        </w:tc>
      </w:tr>
      <w:tr>
        <w:trPr>
          <w:trHeight w:val="20"/>
        </w:trPr>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23.5</w:t>
            </w:r>
          </w:p>
        </w:tc>
        <w:tc>
          <w:tcPr>
            <w:tcW w:w="400" w:type="dxa"/>
            <w:vAlign w:val="bottom"/>
          </w:tcPr>
          <w:p>
            <w:pPr>
              <w:spacing w:after="0"/>
              <w:rPr>
                <w:sz w:val="17"/>
                <w:szCs w:val="17"/>
                <w:color w:val="auto"/>
              </w:rPr>
            </w:pPr>
          </w:p>
        </w:tc>
        <w:tc>
          <w:tcPr>
            <w:tcW w:w="6440" w:type="dxa"/>
            <w:vAlign w:val="bottom"/>
            <w:gridSpan w:val="20"/>
          </w:tcPr>
          <w:p>
            <w:pPr>
              <w:spacing w:after="0"/>
              <w:rPr>
                <w:rFonts w:ascii="Arial" w:cs="Arial" w:eastAsia="Arial" w:hAnsi="Arial"/>
                <w:sz w:val="12"/>
                <w:szCs w:val="12"/>
                <w:color w:val="0000EE"/>
              </w:rPr>
            </w:pPr>
            <w:hyperlink w:anchor="page453">
              <w:r>
                <w:rPr>
                  <w:rFonts w:ascii="Arial" w:cs="Arial" w:eastAsia="Arial" w:hAnsi="Arial"/>
                  <w:sz w:val="12"/>
                  <w:szCs w:val="12"/>
                  <w:color w:val="0000EE"/>
                </w:rPr>
                <w:t>Consent of Davis Polk &amp; Wardwell London LLP (included in Exhibit 8.1)</w:t>
              </w:r>
            </w:hyperlink>
          </w:p>
        </w:tc>
      </w:tr>
      <w:tr>
        <w:trPr>
          <w:trHeight w:val="196"/>
        </w:trPr>
        <w:tc>
          <w:tcPr>
            <w:tcW w:w="480" w:type="dxa"/>
            <w:vAlign w:val="bottom"/>
            <w:gridSpan w:val="2"/>
          </w:tcPr>
          <w:p>
            <w:pPr>
              <w:spacing w:after="0"/>
              <w:rPr>
                <w:sz w:val="20"/>
                <w:szCs w:val="20"/>
                <w:color w:val="auto"/>
              </w:rPr>
            </w:pPr>
            <w:r>
              <w:rPr>
                <w:rFonts w:ascii="Arial" w:cs="Arial" w:eastAsia="Arial" w:hAnsi="Arial"/>
                <w:sz w:val="12"/>
                <w:szCs w:val="12"/>
                <w:color w:val="auto"/>
              </w:rPr>
              <w:t>24.1</w:t>
            </w:r>
          </w:p>
        </w:tc>
        <w:tc>
          <w:tcPr>
            <w:tcW w:w="400" w:type="dxa"/>
            <w:vAlign w:val="bottom"/>
          </w:tcPr>
          <w:p>
            <w:pPr>
              <w:spacing w:after="0"/>
              <w:rPr>
                <w:sz w:val="17"/>
                <w:szCs w:val="17"/>
                <w:color w:val="auto"/>
              </w:rPr>
            </w:pPr>
          </w:p>
        </w:tc>
        <w:tc>
          <w:tcPr>
            <w:tcW w:w="3540" w:type="dxa"/>
            <w:vAlign w:val="bottom"/>
            <w:tcBorders>
              <w:top w:val="single" w:sz="8" w:color="0000EE"/>
            </w:tcBorders>
            <w:gridSpan w:val="9"/>
          </w:tcPr>
          <w:p>
            <w:pPr>
              <w:spacing w:after="0"/>
              <w:rPr>
                <w:rFonts w:ascii="Arial" w:cs="Arial" w:eastAsia="Arial" w:hAnsi="Arial"/>
                <w:sz w:val="12"/>
                <w:szCs w:val="12"/>
                <w:color w:val="0000EE"/>
              </w:rPr>
            </w:pPr>
            <w:hyperlink w:anchor="page446">
              <w:r>
                <w:rPr>
                  <w:rFonts w:ascii="Arial" w:cs="Arial" w:eastAsia="Arial" w:hAnsi="Arial"/>
                  <w:sz w:val="12"/>
                  <w:szCs w:val="12"/>
                  <w:color w:val="0000EE"/>
                </w:rPr>
                <w:t>Power of Attorney (included on signature page)</w:t>
              </w:r>
            </w:hyperlink>
          </w:p>
        </w:tc>
        <w:tc>
          <w:tcPr>
            <w:tcW w:w="2900" w:type="dxa"/>
            <w:vAlign w:val="bottom"/>
            <w:gridSpan w:val="11"/>
          </w:tcPr>
          <w:p>
            <w:pPr>
              <w:spacing w:after="0"/>
              <w:rPr>
                <w:sz w:val="17"/>
                <w:szCs w:val="17"/>
                <w:color w:val="auto"/>
              </w:rPr>
            </w:pPr>
          </w:p>
        </w:tc>
      </w:tr>
      <w:tr>
        <w:trPr>
          <w:trHeight w:val="223"/>
        </w:trPr>
        <w:tc>
          <w:tcPr>
            <w:tcW w:w="880" w:type="dxa"/>
            <w:vAlign w:val="bottom"/>
            <w:gridSpan w:val="3"/>
          </w:tcPr>
          <w:p>
            <w:pPr>
              <w:spacing w:after="0"/>
              <w:rPr>
                <w:sz w:val="20"/>
                <w:szCs w:val="20"/>
                <w:color w:val="auto"/>
              </w:rPr>
            </w:pPr>
            <w:r>
              <w:rPr>
                <w:rFonts w:ascii="Arial" w:cs="Arial" w:eastAsia="Arial" w:hAnsi="Arial"/>
                <w:sz w:val="12"/>
                <w:szCs w:val="12"/>
                <w:color w:val="auto"/>
              </w:rPr>
              <w:t>101. INS</w:t>
            </w:r>
          </w:p>
        </w:tc>
        <w:tc>
          <w:tcPr>
            <w:tcW w:w="2280" w:type="dxa"/>
            <w:vAlign w:val="bottom"/>
            <w:tcBorders>
              <w:top w:val="single" w:sz="8" w:color="0000EE"/>
            </w:tcBorders>
            <w:gridSpan w:val="4"/>
          </w:tcPr>
          <w:p>
            <w:pPr>
              <w:spacing w:after="0"/>
              <w:rPr>
                <w:sz w:val="20"/>
                <w:szCs w:val="20"/>
                <w:color w:val="auto"/>
              </w:rPr>
            </w:pPr>
            <w:r>
              <w:rPr>
                <w:rFonts w:ascii="Arial" w:cs="Arial" w:eastAsia="Arial" w:hAnsi="Arial"/>
                <w:sz w:val="12"/>
                <w:szCs w:val="12"/>
                <w:color w:val="auto"/>
              </w:rPr>
              <w:t>XBRL Instance Document</w:t>
            </w:r>
          </w:p>
        </w:tc>
        <w:tc>
          <w:tcPr>
            <w:tcW w:w="4160" w:type="dxa"/>
            <w:vAlign w:val="bottom"/>
            <w:gridSpan w:val="16"/>
          </w:tcPr>
          <w:p>
            <w:pPr>
              <w:spacing w:after="0"/>
              <w:rPr>
                <w:sz w:val="19"/>
                <w:szCs w:val="19"/>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2"/>
                <w:szCs w:val="12"/>
                <w:color w:val="auto"/>
              </w:rPr>
              <w:t>101.SCH</w:t>
            </w:r>
          </w:p>
        </w:tc>
        <w:tc>
          <w:tcPr>
            <w:tcW w:w="6440" w:type="dxa"/>
            <w:vAlign w:val="bottom"/>
            <w:gridSpan w:val="20"/>
          </w:tcPr>
          <w:p>
            <w:pPr>
              <w:spacing w:after="0"/>
              <w:rPr>
                <w:sz w:val="20"/>
                <w:szCs w:val="20"/>
                <w:color w:val="auto"/>
              </w:rPr>
            </w:pPr>
            <w:r>
              <w:rPr>
                <w:rFonts w:ascii="Arial" w:cs="Arial" w:eastAsia="Arial" w:hAnsi="Arial"/>
                <w:sz w:val="12"/>
                <w:szCs w:val="12"/>
                <w:color w:val="auto"/>
              </w:rPr>
              <w:t>XBRL Taxonomy Extension Schema Document</w:t>
            </w:r>
          </w:p>
        </w:tc>
      </w:tr>
      <w:tr>
        <w:trPr>
          <w:trHeight w:val="216"/>
        </w:trPr>
        <w:tc>
          <w:tcPr>
            <w:tcW w:w="880" w:type="dxa"/>
            <w:vAlign w:val="bottom"/>
            <w:gridSpan w:val="3"/>
          </w:tcPr>
          <w:p>
            <w:pPr>
              <w:spacing w:after="0"/>
              <w:rPr>
                <w:sz w:val="20"/>
                <w:szCs w:val="20"/>
                <w:color w:val="auto"/>
              </w:rPr>
            </w:pPr>
            <w:r>
              <w:rPr>
                <w:rFonts w:ascii="Arial" w:cs="Arial" w:eastAsia="Arial" w:hAnsi="Arial"/>
                <w:sz w:val="12"/>
                <w:szCs w:val="12"/>
                <w:color w:val="auto"/>
              </w:rPr>
              <w:t>101.CAL</w:t>
            </w:r>
          </w:p>
        </w:tc>
        <w:tc>
          <w:tcPr>
            <w:tcW w:w="6440" w:type="dxa"/>
            <w:vAlign w:val="bottom"/>
            <w:gridSpan w:val="20"/>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216"/>
        </w:trPr>
        <w:tc>
          <w:tcPr>
            <w:tcW w:w="880" w:type="dxa"/>
            <w:vAlign w:val="bottom"/>
            <w:gridSpan w:val="3"/>
          </w:tcPr>
          <w:p>
            <w:pPr>
              <w:spacing w:after="0"/>
              <w:rPr>
                <w:sz w:val="20"/>
                <w:szCs w:val="20"/>
                <w:color w:val="auto"/>
              </w:rPr>
            </w:pPr>
            <w:r>
              <w:rPr>
                <w:rFonts w:ascii="Arial" w:cs="Arial" w:eastAsia="Arial" w:hAnsi="Arial"/>
                <w:sz w:val="12"/>
                <w:szCs w:val="12"/>
                <w:color w:val="auto"/>
              </w:rPr>
              <w:t>101.DEF</w:t>
            </w:r>
          </w:p>
        </w:tc>
        <w:tc>
          <w:tcPr>
            <w:tcW w:w="6440" w:type="dxa"/>
            <w:vAlign w:val="bottom"/>
            <w:gridSpan w:val="20"/>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216"/>
        </w:trPr>
        <w:tc>
          <w:tcPr>
            <w:tcW w:w="880" w:type="dxa"/>
            <w:vAlign w:val="bottom"/>
            <w:gridSpan w:val="3"/>
          </w:tcPr>
          <w:p>
            <w:pPr>
              <w:spacing w:after="0"/>
              <w:rPr>
                <w:sz w:val="20"/>
                <w:szCs w:val="20"/>
                <w:color w:val="auto"/>
              </w:rPr>
            </w:pPr>
            <w:r>
              <w:rPr>
                <w:rFonts w:ascii="Arial" w:cs="Arial" w:eastAsia="Arial" w:hAnsi="Arial"/>
                <w:sz w:val="12"/>
                <w:szCs w:val="12"/>
                <w:color w:val="auto"/>
              </w:rPr>
              <w:t>101.LAB</w:t>
            </w:r>
          </w:p>
        </w:tc>
        <w:tc>
          <w:tcPr>
            <w:tcW w:w="6440" w:type="dxa"/>
            <w:vAlign w:val="bottom"/>
            <w:gridSpan w:val="20"/>
          </w:tcPr>
          <w:p>
            <w:pPr>
              <w:spacing w:after="0"/>
              <w:rPr>
                <w:sz w:val="20"/>
                <w:szCs w:val="20"/>
                <w:color w:val="auto"/>
              </w:rPr>
            </w:pPr>
            <w:r>
              <w:rPr>
                <w:rFonts w:ascii="Arial" w:cs="Arial" w:eastAsia="Arial" w:hAnsi="Arial"/>
                <w:sz w:val="12"/>
                <w:szCs w:val="12"/>
                <w:color w:val="auto"/>
              </w:rPr>
              <w:t>XBRL Taxonomy Extension Label Linkbase Document</w:t>
            </w:r>
          </w:p>
        </w:tc>
      </w:tr>
      <w:tr>
        <w:trPr>
          <w:trHeight w:val="216"/>
        </w:trPr>
        <w:tc>
          <w:tcPr>
            <w:tcW w:w="880" w:type="dxa"/>
            <w:vAlign w:val="bottom"/>
            <w:gridSpan w:val="3"/>
          </w:tcPr>
          <w:p>
            <w:pPr>
              <w:spacing w:after="0"/>
              <w:rPr>
                <w:sz w:val="20"/>
                <w:szCs w:val="20"/>
                <w:color w:val="auto"/>
              </w:rPr>
            </w:pPr>
            <w:r>
              <w:rPr>
                <w:rFonts w:ascii="Arial" w:cs="Arial" w:eastAsia="Arial" w:hAnsi="Arial"/>
                <w:sz w:val="12"/>
                <w:szCs w:val="12"/>
                <w:color w:val="auto"/>
              </w:rPr>
              <w:t>101.PRE</w:t>
            </w:r>
          </w:p>
        </w:tc>
        <w:tc>
          <w:tcPr>
            <w:tcW w:w="6440" w:type="dxa"/>
            <w:vAlign w:val="bottom"/>
            <w:gridSpan w:val="20"/>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hanging="288"/>
        <w:spacing w:after="0"/>
        <w:tabs>
          <w:tab w:leader="none" w:pos="226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15" w:lineRule="exact"/>
        <w:rPr>
          <w:sz w:val="20"/>
          <w:szCs w:val="20"/>
          <w:color w:val="auto"/>
        </w:rPr>
      </w:pPr>
    </w:p>
    <w:p>
      <w:pPr>
        <w:ind w:left="2260" w:right="919" w:hanging="288"/>
        <w:spacing w:after="0" w:line="260" w:lineRule="auto"/>
        <w:tabs>
          <w:tab w:leader="none" w:pos="226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Portions of this exhibit have been omitted because they are both (i) not material and (ii) would likely cause competitive harm to Roivant Sciences Ltd. if publicly disclosed.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2911475</wp:posOffset>
            </wp:positionV>
            <wp:extent cx="7214870" cy="539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5">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680"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1"/>
          <w:szCs w:val="11"/>
          <w:b w:val="1"/>
          <w:bCs w:val="1"/>
          <w:color w:val="auto"/>
        </w:rPr>
        <w:t>Undertakings.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undersigned registrant hereby undertakes:</w:t>
      </w:r>
    </w:p>
    <w:p>
      <w:pPr>
        <w:spacing w:after="0" w:line="87" w:lineRule="exact"/>
        <w:rPr>
          <w:sz w:val="20"/>
          <w:szCs w:val="20"/>
          <w:color w:val="auto"/>
        </w:rPr>
      </w:pPr>
    </w:p>
    <w:p>
      <w:pPr>
        <w:ind w:left="2620" w:hanging="360"/>
        <w:spacing w:after="0"/>
        <w:tabs>
          <w:tab w:leader="none" w:pos="262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w:t>
      </w:r>
    </w:p>
    <w:p>
      <w:pPr>
        <w:spacing w:after="0" w:line="87" w:lineRule="exact"/>
        <w:rPr>
          <w:rFonts w:ascii="Arial" w:cs="Arial" w:eastAsia="Arial" w:hAnsi="Arial"/>
          <w:sz w:val="12"/>
          <w:szCs w:val="12"/>
          <w:color w:val="auto"/>
        </w:rPr>
      </w:pPr>
    </w:p>
    <w:p>
      <w:pPr>
        <w:ind w:left="2920" w:right="899" w:hanging="291"/>
        <w:spacing w:after="0" w:line="281" w:lineRule="auto"/>
        <w:tabs>
          <w:tab w:leader="none" w:pos="2920" w:val="left"/>
        </w:tabs>
        <w:numPr>
          <w:ilvl w:val="1"/>
          <w:numId w:val="211"/>
        </w:numPr>
        <w:rPr>
          <w:rFonts w:ascii="Arial" w:cs="Arial" w:eastAsia="Arial" w:hAnsi="Arial"/>
          <w:sz w:val="11"/>
          <w:szCs w:val="11"/>
          <w:color w:val="auto"/>
        </w:rPr>
      </w:pPr>
      <w:r>
        <w:rPr>
          <w:rFonts w:ascii="Arial" w:cs="Arial" w:eastAsia="Arial" w:hAnsi="Arial"/>
          <w:sz w:val="11"/>
          <w:szCs w:val="11"/>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52" w:lineRule="exact"/>
        <w:rPr>
          <w:rFonts w:ascii="Arial" w:cs="Arial" w:eastAsia="Arial" w:hAnsi="Arial"/>
          <w:sz w:val="11"/>
          <w:szCs w:val="11"/>
          <w:color w:val="auto"/>
        </w:rPr>
      </w:pPr>
    </w:p>
    <w:p>
      <w:pPr>
        <w:ind w:left="2920" w:right="959" w:hanging="291"/>
        <w:spacing w:after="0" w:line="276" w:lineRule="auto"/>
        <w:tabs>
          <w:tab w:leader="none" w:pos="292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Arial" w:cs="Arial" w:eastAsia="Arial" w:hAnsi="Arial"/>
          <w:sz w:val="12"/>
          <w:szCs w:val="12"/>
          <w:color w:val="auto"/>
        </w:rPr>
      </w:pPr>
    </w:p>
    <w:p>
      <w:pPr>
        <w:ind w:left="2620" w:right="859" w:hanging="360"/>
        <w:spacing w:after="0" w:line="263" w:lineRule="auto"/>
        <w:tabs>
          <w:tab w:leader="none" w:pos="262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2"/>
          <w:szCs w:val="12"/>
          <w:color w:val="auto"/>
        </w:rPr>
      </w:pPr>
    </w:p>
    <w:p>
      <w:pPr>
        <w:ind w:left="2620" w:right="1079" w:hanging="360"/>
        <w:spacing w:after="0" w:line="276" w:lineRule="auto"/>
        <w:tabs>
          <w:tab w:leader="none" w:pos="262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51" w:lineRule="exact"/>
        <w:rPr>
          <w:rFonts w:ascii="Arial" w:cs="Arial" w:eastAsia="Arial" w:hAnsi="Arial"/>
          <w:sz w:val="12"/>
          <w:szCs w:val="12"/>
          <w:color w:val="auto"/>
        </w:rPr>
      </w:pPr>
    </w:p>
    <w:p>
      <w:pPr>
        <w:ind w:left="2620" w:right="879" w:hanging="360"/>
        <w:spacing w:after="0" w:line="280" w:lineRule="auto"/>
        <w:tabs>
          <w:tab w:leader="none" w:pos="262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ectPr>
          <w:pgSz w:w="11900" w:h="16838" w:orient="portrait"/>
          <w:cols w:equalWidth="0" w:num="1">
            <w:col w:w="10159"/>
          </w:cols>
          <w:pgMar w:left="300" w:top="372" w:right="1440" w:bottom="94" w:gutter="0" w:footer="0" w:header="0"/>
        </w:sectPr>
      </w:pPr>
    </w:p>
    <w:bookmarkStart w:id="443" w:name="page444"/>
    <w:bookmarkEnd w:id="443"/>
    <w:p>
      <w:pPr>
        <w:ind w:left="1480" w:right="979" w:hanging="360"/>
        <w:spacing w:after="0" w:line="256" w:lineRule="auto"/>
        <w:tabs>
          <w:tab w:leader="none" w:pos="148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5" w:lineRule="exact"/>
        <w:rPr>
          <w:rFonts w:ascii="Arial" w:cs="Arial" w:eastAsia="Arial" w:hAnsi="Arial"/>
          <w:sz w:val="12"/>
          <w:szCs w:val="12"/>
          <w:color w:val="auto"/>
        </w:rPr>
      </w:pPr>
    </w:p>
    <w:p>
      <w:pPr>
        <w:ind w:left="1780" w:right="939" w:hanging="291"/>
        <w:spacing w:after="0" w:line="276" w:lineRule="auto"/>
        <w:tabs>
          <w:tab w:leader="none" w:pos="178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51" w:lineRule="exact"/>
        <w:rPr>
          <w:rFonts w:ascii="Arial" w:cs="Arial" w:eastAsia="Arial" w:hAnsi="Arial"/>
          <w:sz w:val="12"/>
          <w:szCs w:val="12"/>
          <w:color w:val="auto"/>
        </w:rPr>
      </w:pPr>
    </w:p>
    <w:p>
      <w:pPr>
        <w:ind w:left="1780" w:right="979" w:hanging="291"/>
        <w:spacing w:after="0" w:line="276" w:lineRule="auto"/>
        <w:tabs>
          <w:tab w:leader="none" w:pos="178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51" w:lineRule="exact"/>
        <w:rPr>
          <w:rFonts w:ascii="Arial" w:cs="Arial" w:eastAsia="Arial" w:hAnsi="Arial"/>
          <w:sz w:val="12"/>
          <w:szCs w:val="12"/>
          <w:color w:val="auto"/>
        </w:rPr>
      </w:pPr>
    </w:p>
    <w:p>
      <w:pPr>
        <w:ind w:left="1780" w:right="1179" w:hanging="291"/>
        <w:spacing w:after="0" w:line="276" w:lineRule="auto"/>
        <w:tabs>
          <w:tab w:leader="none" w:pos="178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The portion of any other free writing prospectus relating to the offering containing material information about the undersigned registrant or its securities provided by or on behalf of the undersigned registrant; and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II-8</w:t>
      </w:r>
    </w:p>
    <w:p>
      <w:pPr>
        <w:sectPr>
          <w:pgSz w:w="11900" w:h="16838" w:orient="portrait"/>
          <w:cols w:equalWidth="0" w:num="1">
            <w:col w:w="9019"/>
          </w:cols>
          <w:pgMar w:left="1440" w:top="131" w:right="1440" w:bottom="1440" w:gutter="0" w:footer="0" w:header="0"/>
        </w:sectPr>
      </w:pPr>
    </w:p>
    <w:bookmarkStart w:id="444" w:name="page445"/>
    <w:bookmarkEnd w:id="4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1"/>
          <w:numId w:val="213"/>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87" w:lineRule="exact"/>
        <w:rPr>
          <w:rFonts w:ascii="Arial" w:cs="Arial" w:eastAsia="Arial" w:hAnsi="Arial"/>
          <w:sz w:val="12"/>
          <w:szCs w:val="12"/>
          <w:color w:val="auto"/>
        </w:rPr>
      </w:pPr>
    </w:p>
    <w:p>
      <w:pPr>
        <w:ind w:left="2620" w:right="939" w:hanging="360"/>
        <w:spacing w:after="0" w:line="280" w:lineRule="auto"/>
        <w:tabs>
          <w:tab w:leader="none" w:pos="2620" w:val="left"/>
        </w:tabs>
        <w:numPr>
          <w:ilvl w:val="0"/>
          <w:numId w:val="214"/>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II-9</w:t>
      </w:r>
    </w:p>
    <w:p>
      <w:pPr>
        <w:sectPr>
          <w:pgSz w:w="11900" w:h="16838" w:orient="portrait"/>
          <w:cols w:equalWidth="0" w:num="1">
            <w:col w:w="10159"/>
          </w:cols>
          <w:pgMar w:left="300" w:top="372" w:right="1440" w:bottom="1440" w:gutter="0" w:footer="0" w:header="0"/>
        </w:sectPr>
      </w:pPr>
    </w:p>
    <w:bookmarkStart w:id="445" w:name="page446"/>
    <w:bookmarkEnd w:id="4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on Form S-1 to be signed on its behalf by the undersigned, thereunto duly authorized, on October 29, 2021.</w:t>
      </w:r>
    </w:p>
    <w:p>
      <w:pPr>
        <w:spacing w:after="0" w:line="133"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ROIVANT SCIENCES LTD.</w:t>
      </w:r>
    </w:p>
    <w:p>
      <w:pPr>
        <w:spacing w:after="0" w:line="150"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By: /s/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9525</wp:posOffset>
            </wp:positionV>
            <wp:extent cx="170878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1"/>
          <w:szCs w:val="11"/>
          <w:color w:val="auto"/>
        </w:rPr>
        <w:t>Matt Maisak</w:t>
      </w:r>
    </w:p>
    <w:p>
      <w:pPr>
        <w:spacing w:after="0" w:line="15"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2"/>
          <w:szCs w:val="12"/>
          <w:color w:val="auto"/>
        </w:rPr>
        <w:t>Title:</w:t>
        <w:tab/>
        <w:t>Authorized Signatory</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II-10</w:t>
      </w:r>
    </w:p>
    <w:p>
      <w:pPr>
        <w:sectPr>
          <w:pgSz w:w="11900" w:h="16838" w:orient="portrait"/>
          <w:cols w:equalWidth="0" w:num="1">
            <w:col w:w="10159"/>
          </w:cols>
          <w:pgMar w:left="300" w:top="372" w:right="1440" w:bottom="1440" w:gutter="0" w:footer="0" w:header="0"/>
        </w:sectPr>
      </w:pPr>
    </w:p>
    <w:bookmarkStart w:id="446" w:name="page447"/>
    <w:bookmarkEnd w:id="4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KNOW ALL MEN BY THESE PRESENTS, that each of the undersigned constitutes and appoints Richard Pulik, Jo Chen and Matt Maisak his or her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02"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as amended, this Registration Statement on Form S-1 has been signed below by the following persons in the capacities and on the dates indicated.</w:t>
      </w:r>
    </w:p>
    <w:p>
      <w:pPr>
        <w:sectPr>
          <w:pgSz w:w="11900" w:h="16838" w:orient="portrait"/>
          <w:cols w:equalWidth="0" w:num="1">
            <w:col w:w="10159"/>
          </w:cols>
          <w:pgMar w:left="300" w:top="372" w:right="1440" w:bottom="1440" w:gutter="0" w:footer="0" w:header="0"/>
        </w:sectPr>
      </w:pPr>
    </w:p>
    <w:p>
      <w:pPr>
        <w:spacing w:after="0" w:line="127" w:lineRule="exact"/>
        <w:rPr>
          <w:sz w:val="20"/>
          <w:szCs w:val="20"/>
          <w:color w:val="auto"/>
        </w:rPr>
      </w:pPr>
    </w:p>
    <w:p>
      <w:pPr>
        <w:jc w:val="right"/>
        <w:ind w:right="680"/>
        <w:spacing w:after="0"/>
        <w:rPr>
          <w:sz w:val="20"/>
          <w:szCs w:val="20"/>
          <w:color w:val="auto"/>
        </w:rPr>
      </w:pPr>
      <w:r>
        <w:rPr>
          <w:rFonts w:ascii="Arial" w:cs="Arial" w:eastAsia="Arial" w:hAnsi="Arial"/>
          <w:sz w:val="10"/>
          <w:szCs w:val="1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wp:posOffset>
            </wp:positionV>
            <wp:extent cx="183451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0">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12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1">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Matthew Gline</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2">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Richard Pulik</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Rakhi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3">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Rakhi Kumar</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Vivek Ramaswamy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4">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Vivek Ramaswamy</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Andrew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5">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Andrew Lo</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Patrick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6">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Patrick Machado</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Keith Manchester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7">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Keith Manchester</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Ilan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8">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Ilan Oren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Daniel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9">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Daniel Gold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Masayo Tada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0">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Masayo Tada</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James C. Momtazee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183451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1">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James C. Momtazee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140" w:type="dxa"/>
            <w:vAlign w:val="bottom"/>
          </w:tcPr>
          <w:p>
            <w:pPr>
              <w:spacing w:after="0"/>
              <w:rPr>
                <w:sz w:val="10"/>
                <w:szCs w:val="10"/>
                <w:color w:val="auto"/>
              </w:rPr>
            </w:pP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68"/>
        </w:trPr>
        <w:tc>
          <w:tcPr>
            <w:tcW w:w="304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Chief Executive Officer and Director</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(principal executive officer)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288"/>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4"/>
              </w:rPr>
              <w:t>Chief Financial Officer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53"/>
        </w:trPr>
        <w:tc>
          <w:tcPr>
            <w:tcW w:w="304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(principal financial officer)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Chief Accounting Officer</w:t>
            </w:r>
          </w:p>
        </w:tc>
        <w:tc>
          <w:tcPr>
            <w:tcW w:w="1340" w:type="dxa"/>
            <w:vAlign w:val="bottom"/>
          </w:tcPr>
          <w:p>
            <w:pPr>
              <w:ind w:left="240"/>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53"/>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3"/>
              </w:rPr>
              <w:t>(principal accounting officer)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30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0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0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0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450"/>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450"/>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450"/>
        </w:trPr>
        <w:tc>
          <w:tcPr>
            <w:tcW w:w="304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Director</w:t>
            </w:r>
          </w:p>
        </w:tc>
        <w:tc>
          <w:tcPr>
            <w:tcW w:w="1340" w:type="dxa"/>
            <w:vAlign w:val="bottom"/>
          </w:tcPr>
          <w:p>
            <w:pPr>
              <w:spacing w:after="0"/>
              <w:rPr>
                <w:sz w:val="20"/>
                <w:szCs w:val="20"/>
                <w:color w:val="auto"/>
              </w:rPr>
            </w:pPr>
            <w:r>
              <w:rPr>
                <w:rFonts w:ascii="Arial" w:cs="Arial" w:eastAsia="Arial" w:hAnsi="Arial"/>
                <w:sz w:val="12"/>
                <w:szCs w:val="12"/>
                <w:color w:val="auto"/>
              </w:rPr>
              <w:t>October 29, 2021</w:t>
            </w:r>
          </w:p>
        </w:tc>
        <w:tc>
          <w:tcPr>
            <w:tcW w:w="0" w:type="dxa"/>
            <w:vAlign w:val="bottom"/>
          </w:tcPr>
          <w:p>
            <w:pPr>
              <w:spacing w:after="0"/>
              <w:rPr>
                <w:sz w:val="1"/>
                <w:szCs w:val="1"/>
                <w:color w:val="auto"/>
              </w:rPr>
            </w:pPr>
          </w:p>
        </w:tc>
      </w:tr>
      <w:tr>
        <w:trPr>
          <w:trHeight w:val="387"/>
        </w:trPr>
        <w:tc>
          <w:tcPr>
            <w:tcW w:w="3040" w:type="dxa"/>
            <w:vAlign w:val="bottom"/>
            <w:gridSpan w:val="2"/>
          </w:tcPr>
          <w:p>
            <w:pPr>
              <w:ind w:left="580"/>
              <w:spacing w:after="0"/>
              <w:rPr>
                <w:sz w:val="20"/>
                <w:szCs w:val="20"/>
                <w:color w:val="auto"/>
              </w:rPr>
            </w:pPr>
            <w:r>
              <w:rPr>
                <w:rFonts w:ascii="Arial" w:cs="Arial" w:eastAsia="Arial" w:hAnsi="Arial"/>
                <w:sz w:val="12"/>
                <w:szCs w:val="12"/>
                <w:color w:val="auto"/>
              </w:rPr>
              <w:t>II-11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220" w:space="720"/>
            <w:col w:w="5219"/>
          </w:cols>
          <w:pgMar w:left="300" w:top="372" w:right="1440" w:bottom="1440" w:gutter="0" w:footer="0" w:header="0"/>
          <w:type w:val="continuous"/>
        </w:sectPr>
      </w:pPr>
    </w:p>
    <w:bookmarkStart w:id="447" w:name="page448"/>
    <w:bookmarkEnd w:id="447"/>
    <w:p>
      <w:pPr>
        <w:ind w:left="6740"/>
        <w:spacing w:after="0"/>
        <w:rPr>
          <w:sz w:val="20"/>
          <w:szCs w:val="20"/>
          <w:color w:val="auto"/>
        </w:rPr>
      </w:pPr>
      <w:r>
        <w:rPr>
          <w:rFonts w:ascii="Arial" w:cs="Arial" w:eastAsia="Arial" w:hAnsi="Arial"/>
          <w:sz w:val="11"/>
          <w:szCs w:val="11"/>
          <w:b w:val="1"/>
          <w:bCs w:val="1"/>
          <w:color w:val="auto"/>
        </w:rPr>
        <w:t>Exhibit 5.1 and Exhibit 23.3</w:t>
      </w:r>
    </w:p>
    <w:p>
      <w:pPr>
        <w:spacing w:after="0" w:line="180"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auto"/>
        </w:rPr>
        <w:t>CONYERS DILL &amp; PEARMAN LIMITED</w:t>
      </w:r>
    </w:p>
    <w:p>
      <w:pPr>
        <w:spacing w:after="0" w:line="91"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Clarendon House, 2 Church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-24130</wp:posOffset>
            </wp:positionV>
            <wp:extent cx="1748790" cy="2571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2">
                      <a:extLst>
                        <a:ext uri="{28A0092B-C50C-407E-A947-70E740481C1C}"/>
                      </a:extLst>
                    </a:blip>
                    <a:srcRect/>
                    <a:stretch>
                      <a:fillRect/>
                    </a:stretch>
                  </pic:blipFill>
                  <pic:spPr bwMode="auto">
                    <a:xfrm>
                      <a:off x="0" y="0"/>
                      <a:ext cx="1748790" cy="25717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2"/>
          <w:szCs w:val="12"/>
          <w:color w:val="auto"/>
        </w:rPr>
        <w:t>Hamilton HM 11, Bermuda</w:t>
      </w:r>
    </w:p>
    <w:p>
      <w:pPr>
        <w:spacing w:after="0" w:line="78"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Mail: PO Box HM 666, Hamilton HM CX, Bermuda</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T +1 441 295 1422</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conyers.com</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29 October 2021</w:t>
      </w:r>
    </w:p>
    <w:p>
      <w:pPr>
        <w:spacing w:after="0" w:line="150"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Matter no.: 367954</w:t>
      </w:r>
    </w:p>
    <w:p>
      <w:pPr>
        <w:spacing w:after="0" w:line="15"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Doc Ref: 20051483.2</w:t>
      </w:r>
    </w:p>
    <w:p>
      <w:pPr>
        <w:spacing w:after="0" w:line="6"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+1441-298-7846</w:t>
      </w:r>
    </w:p>
    <w:p>
      <w:pPr>
        <w:spacing w:after="0" w:line="6"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neil.henderson@conyers.com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Roivant Sciences Ltd.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Suite 1, 3rd Floor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11-12 St. James’s Square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SW1Y 4LB</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United Kingdom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Re: Roivant Sciences Ltd. (the “Company”)</w:t>
      </w:r>
    </w:p>
    <w:p>
      <w:pPr>
        <w:spacing w:after="0" w:line="154" w:lineRule="exact"/>
        <w:rPr>
          <w:sz w:val="20"/>
          <w:szCs w:val="20"/>
          <w:color w:val="auto"/>
        </w:rPr>
      </w:pPr>
    </w:p>
    <w:p>
      <w:pPr>
        <w:ind w:left="840" w:right="919"/>
        <w:spacing w:after="0" w:line="259" w:lineRule="auto"/>
        <w:rPr>
          <w:sz w:val="20"/>
          <w:szCs w:val="20"/>
          <w:color w:val="auto"/>
        </w:rPr>
      </w:pPr>
      <w:r>
        <w:rPr>
          <w:rFonts w:ascii="Arial" w:cs="Arial" w:eastAsia="Arial" w:hAnsi="Arial"/>
          <w:sz w:val="12"/>
          <w:szCs w:val="12"/>
          <w:color w:val="auto"/>
        </w:rPr>
        <w:t>We have acted as special Bermuda legal counsel to the Company in connection with a registration statement on Form S-1 filed with the U.S. Securities and Exchange Commission (the “</w:t>
      </w:r>
      <w:r>
        <w:rPr>
          <w:rFonts w:ascii="Arial" w:cs="Arial" w:eastAsia="Arial" w:hAnsi="Arial"/>
          <w:sz w:val="12"/>
          <w:szCs w:val="12"/>
          <w:b w:val="1"/>
          <w:bCs w:val="1"/>
          <w:color w:val="auto"/>
        </w:rPr>
        <w:t>Commission</w:t>
      </w:r>
      <w:r>
        <w:rPr>
          <w:rFonts w:ascii="Arial" w:cs="Arial" w:eastAsia="Arial" w:hAnsi="Arial"/>
          <w:sz w:val="12"/>
          <w:szCs w:val="12"/>
          <w:color w:val="auto"/>
        </w:rPr>
        <w:t>”) on 29 October 2021 (the “</w:t>
      </w:r>
      <w:r>
        <w:rPr>
          <w:rFonts w:ascii="Arial" w:cs="Arial" w:eastAsia="Arial" w:hAnsi="Arial"/>
          <w:sz w:val="12"/>
          <w:szCs w:val="12"/>
          <w:b w:val="1"/>
          <w:bCs w:val="1"/>
          <w:color w:val="auto"/>
        </w:rPr>
        <w:t>Registration Statement</w:t>
      </w:r>
      <w:r>
        <w:rPr>
          <w:rFonts w:ascii="Arial" w:cs="Arial" w:eastAsia="Arial" w:hAnsi="Arial"/>
          <w:sz w:val="12"/>
          <w:szCs w:val="12"/>
          <w:color w:val="auto"/>
        </w:rPr>
        <w:t>”, which term does not include any other document or agreement whether or not specifically referred to therein or attached as an exhibit or schedule thereto) relating to the registration under the U.S.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of:</w:t>
      </w:r>
    </w:p>
    <w:p>
      <w:pPr>
        <w:spacing w:after="0" w:line="57" w:lineRule="exact"/>
        <w:rPr>
          <w:sz w:val="20"/>
          <w:szCs w:val="20"/>
          <w:color w:val="auto"/>
        </w:rPr>
      </w:pPr>
    </w:p>
    <w:p>
      <w:pPr>
        <w:ind w:left="1480" w:right="919" w:hanging="360"/>
        <w:spacing w:after="0" w:line="330" w:lineRule="auto"/>
        <w:tabs>
          <w:tab w:leader="none" w:pos="148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an aggregate of 595,296,589 common shares, par value $0.0000000341740141 per share (the “</w:t>
      </w:r>
      <w:r>
        <w:rPr>
          <w:rFonts w:ascii="Arial" w:cs="Arial" w:eastAsia="Arial" w:hAnsi="Arial"/>
          <w:sz w:val="11"/>
          <w:szCs w:val="11"/>
          <w:b w:val="1"/>
          <w:bCs w:val="1"/>
          <w:color w:val="auto"/>
        </w:rPr>
        <w:t>Shares</w:t>
      </w:r>
      <w:r>
        <w:rPr>
          <w:rFonts w:ascii="Arial" w:cs="Arial" w:eastAsia="Arial" w:hAnsi="Arial"/>
          <w:sz w:val="11"/>
          <w:szCs w:val="11"/>
          <w:color w:val="auto"/>
        </w:rPr>
        <w:t>”), which term does not include any other document or agreement whether or not specifically referred to therein or attached as an exhibit or schedule thereto); and</w:t>
      </w:r>
    </w:p>
    <w:p>
      <w:pPr>
        <w:spacing w:after="0" w:line="21" w:lineRule="exact"/>
        <w:rPr>
          <w:rFonts w:ascii="Arial" w:cs="Arial" w:eastAsia="Arial" w:hAnsi="Arial"/>
          <w:sz w:val="11"/>
          <w:szCs w:val="11"/>
          <w:color w:val="auto"/>
        </w:rPr>
      </w:pPr>
    </w:p>
    <w:p>
      <w:pPr>
        <w:ind w:left="1480" w:right="899" w:hanging="360"/>
        <w:spacing w:after="0" w:line="302" w:lineRule="auto"/>
        <w:tabs>
          <w:tab w:leader="none" w:pos="148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10,214,365 private placement warrants (the “</w:t>
      </w:r>
      <w:r>
        <w:rPr>
          <w:rFonts w:ascii="Arial" w:cs="Arial" w:eastAsia="Arial" w:hAnsi="Arial"/>
          <w:sz w:val="11"/>
          <w:szCs w:val="11"/>
          <w:b w:val="1"/>
          <w:bCs w:val="1"/>
          <w:color w:val="auto"/>
        </w:rPr>
        <w:t>Warrants</w:t>
      </w:r>
      <w:r>
        <w:rPr>
          <w:rFonts w:ascii="Arial" w:cs="Arial" w:eastAsia="Arial" w:hAnsi="Arial"/>
          <w:sz w:val="11"/>
          <w:szCs w:val="11"/>
          <w:color w:val="auto"/>
        </w:rPr>
        <w:t>”), entitling the holders thereof to exercise each such Warrant for one common share of the Company at an exercise price of $11.50 per share pursuant to the Warrant Assumption Agreement, dated September 30, 2021, between the Company and American Stock Transfer &amp; Trust Company, LLC as warrant agent (the “</w:t>
      </w:r>
      <w:r>
        <w:rPr>
          <w:rFonts w:ascii="Arial" w:cs="Arial" w:eastAsia="Arial" w:hAnsi="Arial"/>
          <w:sz w:val="11"/>
          <w:szCs w:val="11"/>
          <w:b w:val="1"/>
          <w:bCs w:val="1"/>
          <w:color w:val="auto"/>
        </w:rPr>
        <w:t>Warrant Agreement</w:t>
      </w:r>
      <w:r>
        <w:rPr>
          <w:rFonts w:ascii="Arial" w:cs="Arial" w:eastAsia="Arial" w:hAnsi="Arial"/>
          <w:sz w:val="11"/>
          <w:szCs w:val="11"/>
          <w:color w:val="auto"/>
        </w:rPr>
        <w:t>”); and</w:t>
      </w:r>
    </w:p>
    <w:p>
      <w:pPr>
        <w:spacing w:after="0" w:line="39" w:lineRule="exact"/>
        <w:rPr>
          <w:rFonts w:ascii="Arial" w:cs="Arial" w:eastAsia="Arial" w:hAnsi="Arial"/>
          <w:sz w:val="11"/>
          <w:szCs w:val="11"/>
          <w:color w:val="auto"/>
        </w:rPr>
      </w:pPr>
    </w:p>
    <w:p>
      <w:pPr>
        <w:ind w:left="1480" w:right="899" w:hanging="360"/>
        <w:spacing w:after="0" w:line="379" w:lineRule="auto"/>
        <w:tabs>
          <w:tab w:leader="none" w:pos="1480" w:val="left"/>
        </w:tabs>
        <w:numPr>
          <w:ilvl w:val="0"/>
          <w:numId w:val="215"/>
        </w:numPr>
        <w:rPr>
          <w:rFonts w:ascii="Arial" w:cs="Arial" w:eastAsia="Arial" w:hAnsi="Arial"/>
          <w:sz w:val="10"/>
          <w:szCs w:val="10"/>
          <w:color w:val="auto"/>
        </w:rPr>
      </w:pPr>
      <w:r>
        <w:rPr>
          <w:rFonts w:ascii="Arial" w:cs="Arial" w:eastAsia="Arial" w:hAnsi="Arial"/>
          <w:sz w:val="10"/>
          <w:szCs w:val="10"/>
          <w:color w:val="auto"/>
        </w:rPr>
        <w:t>30,750,261 common shares of the Company issuable upon the exercise of (a) the Warrants and (b) 20,535,896 outstanding public warrants (each a “</w:t>
      </w:r>
      <w:r>
        <w:rPr>
          <w:rFonts w:ascii="Arial" w:cs="Arial" w:eastAsia="Arial" w:hAnsi="Arial"/>
          <w:sz w:val="10"/>
          <w:szCs w:val="10"/>
          <w:b w:val="1"/>
          <w:bCs w:val="1"/>
          <w:color w:val="auto"/>
        </w:rPr>
        <w:t>Warrant Share</w:t>
      </w:r>
      <w:r>
        <w:rPr>
          <w:rFonts w:ascii="Arial" w:cs="Arial" w:eastAsia="Arial" w:hAnsi="Arial"/>
          <w:sz w:val="10"/>
          <w:szCs w:val="10"/>
          <w:color w:val="auto"/>
        </w:rPr>
        <w:t>,” collectively, the “</w:t>
      </w:r>
      <w:r>
        <w:rPr>
          <w:rFonts w:ascii="Arial" w:cs="Arial" w:eastAsia="Arial" w:hAnsi="Arial"/>
          <w:sz w:val="10"/>
          <w:szCs w:val="10"/>
          <w:b w:val="1"/>
          <w:bCs w:val="1"/>
          <w:color w:val="auto"/>
        </w:rPr>
        <w:t>Warrant Shares</w:t>
      </w:r>
      <w:r>
        <w:rPr>
          <w:rFonts w:ascii="Arial" w:cs="Arial" w:eastAsia="Arial" w:hAnsi="Arial"/>
          <w:sz w:val="10"/>
          <w:szCs w:val="10"/>
          <w:color w:val="auto"/>
        </w:rPr>
        <w:t>” and, together with the Shares and the Warrants, the “</w:t>
      </w:r>
      <w:r>
        <w:rPr>
          <w:rFonts w:ascii="Arial" w:cs="Arial" w:eastAsia="Arial" w:hAnsi="Arial"/>
          <w:sz w:val="10"/>
          <w:szCs w:val="10"/>
          <w:b w:val="1"/>
          <w:bCs w:val="1"/>
          <w:color w:val="auto"/>
        </w:rPr>
        <w:t>Securities</w:t>
      </w:r>
      <w:r>
        <w:rPr>
          <w:rFonts w:ascii="Arial" w:cs="Arial" w:eastAsia="Arial" w:hAnsi="Arial"/>
          <w:sz w:val="10"/>
          <w:szCs w:val="10"/>
          <w:color w:val="auto"/>
        </w:rPr>
        <w:t>”).</w:t>
      </w:r>
    </w:p>
    <w:p>
      <w:pPr>
        <w:spacing w:after="0" w:line="69" w:lineRule="exact"/>
        <w:rPr>
          <w:sz w:val="20"/>
          <w:szCs w:val="20"/>
          <w:color w:val="auto"/>
        </w:rPr>
      </w:pPr>
    </w:p>
    <w:p>
      <w:pPr>
        <w:ind w:left="840" w:right="859"/>
        <w:spacing w:after="0" w:line="326" w:lineRule="auto"/>
        <w:rPr>
          <w:sz w:val="20"/>
          <w:szCs w:val="20"/>
          <w:color w:val="auto"/>
        </w:rPr>
      </w:pPr>
      <w:r>
        <w:rPr>
          <w:rFonts w:ascii="Arial" w:cs="Arial" w:eastAsia="Arial" w:hAnsi="Arial"/>
          <w:sz w:val="10"/>
          <w:szCs w:val="10"/>
          <w:color w:val="auto"/>
        </w:rPr>
        <w:t>For the purposes of giving this opinion, we have examined a copy of the Registration Statement. We have also reviewed the memorandum of association and the bye-laws of the Company as certified by the Secretary of the Company on 28 October 2021, and an extract of unanimous written resolutions of its directors passed on 28 September 2021 (collectively, the “</w:t>
      </w:r>
      <w:r>
        <w:rPr>
          <w:rFonts w:ascii="Arial" w:cs="Arial" w:eastAsia="Arial" w:hAnsi="Arial"/>
          <w:sz w:val="10"/>
          <w:szCs w:val="10"/>
          <w:b w:val="1"/>
          <w:bCs w:val="1"/>
          <w:color w:val="auto"/>
        </w:rPr>
        <w:t>Resolutions</w:t>
      </w:r>
      <w:r>
        <w:rPr>
          <w:rFonts w:ascii="Arial" w:cs="Arial" w:eastAsia="Arial" w:hAnsi="Arial"/>
          <w:sz w:val="10"/>
          <w:szCs w:val="10"/>
          <w:color w:val="auto"/>
        </w:rPr>
        <w:t>”) as certified by the Secretary of the Company on 28 October 2021, and such other documents and made such enquiries as to questions of law as we have deemed necessary in order to render the opinion set forth below.</w:t>
      </w:r>
    </w:p>
    <w:p>
      <w:pPr>
        <w:sectPr>
          <w:pgSz w:w="11900" w:h="16838" w:orient="portrait"/>
          <w:cols w:equalWidth="0" w:num="1">
            <w:col w:w="9019"/>
          </w:cols>
          <w:pgMar w:left="1440" w:top="127" w:right="1440" w:bottom="1440" w:gutter="0" w:footer="0" w:header="0"/>
        </w:sectPr>
      </w:pPr>
    </w:p>
    <w:bookmarkStart w:id="448" w:name="page449"/>
    <w:bookmarkEnd w:id="448"/>
    <w:p>
      <w:pPr>
        <w:ind w:left="840" w:right="859"/>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Resolutions were passed at one or more duly convened, constituted and quorate meetings, or by unanimous written resolutions, remain in full force and effect and have not been rescinded or amended, (e) that there is no provision of the law of any jurisdiction, other than Bermuda, which would have any implication in relation to the opinions expressed herein, (f) that upon issue of any Shares by the Company the Company will receive consideration for the full issue price thereof which shall be equal to at least the par value thereof, (g) that the Company will have sufficient authorised capital to effect the issue of any of the Warrant Shares at the time of issuance, whether as a principal issue or on the conversion, exchange or exercise of any Warrants, (h) that the form and terms of any and all Securities or other securities (or other obligations, rights, currencies, commodities or other subject matter) comprising the same or subject thereto (in the case of the Warrants), the issuance and sale thereof by the Company, and the Company’s incurrence and performance of its obligations thereunder or in respect thereof (including, without limitation, its obligations under any related agreement or supplement thereto) in accordance with the terms thereof will not violate the memorandum of association and bye-laws of the Company nor any applicable law, regulation, order or decree in Bermuda, (i) that all necessary corporate action will be taken to authorise and approve any issuance of any Securities, the terms of the offering thereof and related matters,</w:t>
      </w:r>
    </w:p>
    <w:p>
      <w:pPr>
        <w:spacing w:after="0" w:line="116" w:lineRule="exact"/>
        <w:rPr>
          <w:sz w:val="20"/>
          <w:szCs w:val="20"/>
          <w:color w:val="auto"/>
        </w:rPr>
      </w:pPr>
    </w:p>
    <w:p>
      <w:pPr>
        <w:ind w:left="840" w:right="939" w:hanging="8"/>
        <w:spacing w:after="0" w:line="281" w:lineRule="auto"/>
        <w:tabs>
          <w:tab w:leader="none" w:pos="983" w:val="left"/>
        </w:tabs>
        <w:numPr>
          <w:ilvl w:val="0"/>
          <w:numId w:val="216"/>
        </w:numPr>
        <w:rPr>
          <w:rFonts w:ascii="Arial" w:cs="Arial" w:eastAsia="Arial" w:hAnsi="Arial"/>
          <w:sz w:val="11"/>
          <w:szCs w:val="11"/>
          <w:color w:val="auto"/>
        </w:rPr>
      </w:pPr>
      <w:r>
        <w:rPr>
          <w:rFonts w:ascii="Arial" w:cs="Arial" w:eastAsia="Arial" w:hAnsi="Arial"/>
          <w:sz w:val="11"/>
          <w:szCs w:val="11"/>
          <w:color w:val="auto"/>
        </w:rPr>
        <w:t>that the issuance and sale of and payment for the Securities will be in accordance with the applicable purchase, underwriting or similar agreement duly approved by the Board of Directors and the Registration Statement (including the prospectus set forth therein and any applicable supplement thereto), (k) that upon the issue of any Warrant Shares the Company will receive consideration for the full issue price thereof which shall be equal to at least the par value thereof, and (l) that the Company’s Shares will be listed on an appointed stock exchange, as defined in the Companies Act 1981 as amended, and the consent will not have been revoked or amended at the time of issuance of the Warrant Shares.</w:t>
      </w:r>
    </w:p>
    <w:p>
      <w:pPr>
        <w:spacing w:after="0" w:line="115" w:lineRule="exact"/>
        <w:rPr>
          <w:sz w:val="20"/>
          <w:szCs w:val="20"/>
          <w:color w:val="auto"/>
        </w:rPr>
      </w:pPr>
    </w:p>
    <w:p>
      <w:pPr>
        <w:ind w:left="840" w:right="939"/>
        <w:spacing w:after="0" w:line="340" w:lineRule="auto"/>
        <w:rPr>
          <w:sz w:val="20"/>
          <w:szCs w:val="20"/>
          <w:color w:val="auto"/>
        </w:rPr>
      </w:pPr>
      <w:r>
        <w:rPr>
          <w:rFonts w:ascii="Arial" w:cs="Arial" w:eastAsia="Arial" w:hAnsi="Arial"/>
          <w:sz w:val="10"/>
          <w:szCs w:val="10"/>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is not to be relied upon in respect of any other matter.</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On the basis of and subject to the foregoing, we are of the opinion that:</w:t>
      </w:r>
    </w:p>
    <w:p>
      <w:pPr>
        <w:spacing w:after="0" w:line="87" w:lineRule="exact"/>
        <w:rPr>
          <w:sz w:val="20"/>
          <w:szCs w:val="20"/>
          <w:color w:val="auto"/>
        </w:rPr>
      </w:pPr>
    </w:p>
    <w:p>
      <w:pPr>
        <w:ind w:left="1120" w:right="1059" w:hanging="288"/>
        <w:spacing w:after="0" w:line="263" w:lineRule="auto"/>
        <w:tabs>
          <w:tab w:leader="none" w:pos="11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Company is duly incorporated and existing under the laws of Bermuda in good standing (meaning solely that it has not failed to make any filing with any Bermuda government authority or to pay any Bermuda government fees or tax which would make it liable to be struck off the Register of Companies and thereby cease to exist under the laws of Bermuda).</w:t>
      </w:r>
    </w:p>
    <w:p>
      <w:pPr>
        <w:spacing w:after="0" w:line="59" w:lineRule="exact"/>
        <w:rPr>
          <w:rFonts w:ascii="Arial" w:cs="Arial" w:eastAsia="Arial" w:hAnsi="Arial"/>
          <w:sz w:val="12"/>
          <w:szCs w:val="12"/>
          <w:color w:val="auto"/>
        </w:rPr>
      </w:pPr>
    </w:p>
    <w:p>
      <w:pPr>
        <w:ind w:left="1120" w:right="979" w:hanging="288"/>
        <w:spacing w:after="0" w:line="276" w:lineRule="auto"/>
        <w:tabs>
          <w:tab w:leader="none" w:pos="11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Shares have been validly issued, fully paid and are non-assessable (which term means when used herein that no further sums are required to be paid by the holders thereof in connection with the issue of such shares).</w:t>
      </w:r>
    </w:p>
    <w:p>
      <w:pPr>
        <w:spacing w:after="0" w:line="51" w:lineRule="exact"/>
        <w:rPr>
          <w:rFonts w:ascii="Arial" w:cs="Arial" w:eastAsia="Arial" w:hAnsi="Arial"/>
          <w:sz w:val="12"/>
          <w:szCs w:val="12"/>
          <w:color w:val="auto"/>
        </w:rPr>
      </w:pPr>
    </w:p>
    <w:p>
      <w:pPr>
        <w:ind w:left="1120" w:right="919" w:hanging="288"/>
        <w:spacing w:after="0" w:line="263" w:lineRule="auto"/>
        <w:tabs>
          <w:tab w:leader="none" w:pos="11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Upon the due issuance of the Warrant Shares and payment of the consideration therefor in accordance with the Warrant Agreement, such Warrant Shares will be validly issued, fully paid and non-assessable (which term means when used herein that no further sums are required to be paid by the holders thereof in connection with the issue of such shares).</w:t>
      </w:r>
    </w:p>
    <w:p>
      <w:pPr>
        <w:sectPr>
          <w:pgSz w:w="11900" w:h="16838" w:orient="portrait"/>
          <w:cols w:equalWidth="0" w:num="1">
            <w:col w:w="9019"/>
          </w:cols>
          <w:pgMar w:left="1440" w:top="230" w:right="1440" w:bottom="1440" w:gutter="0" w:footer="0" w:header="0"/>
        </w:sectPr>
      </w:pPr>
    </w:p>
    <w:bookmarkStart w:id="449" w:name="page450"/>
    <w:bookmarkEnd w:id="449"/>
    <w:p>
      <w:pPr>
        <w:ind w:left="84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hereby consent to the filing of this opinion as an exhibit to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Yours faithfully,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Conyers Dill &amp; Pearman Limited</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Conyers Dill &amp; Pearman Limited</w:t>
      </w:r>
    </w:p>
    <w:p>
      <w:pPr>
        <w:sectPr>
          <w:pgSz w:w="11900" w:h="16838" w:orient="portrait"/>
          <w:cols w:equalWidth="0" w:num="1">
            <w:col w:w="9019"/>
          </w:cols>
          <w:pgMar w:left="1440" w:top="230" w:right="1440" w:bottom="1440" w:gutter="0" w:footer="0" w:header="0"/>
        </w:sectPr>
      </w:pPr>
    </w:p>
    <w:bookmarkStart w:id="450" w:name="page451"/>
    <w:bookmarkEnd w:id="450"/>
    <w:p>
      <w:pPr>
        <w:jc w:val="right"/>
        <w:ind w:right="839"/>
        <w:spacing w:after="0"/>
        <w:rPr>
          <w:sz w:val="20"/>
          <w:szCs w:val="20"/>
          <w:color w:val="auto"/>
        </w:rPr>
      </w:pPr>
      <w:r>
        <w:rPr>
          <w:rFonts w:ascii="Arial" w:cs="Arial" w:eastAsia="Arial" w:hAnsi="Arial"/>
          <w:sz w:val="12"/>
          <w:szCs w:val="12"/>
          <w:b w:val="1"/>
          <w:bCs w:val="1"/>
          <w:color w:val="auto"/>
        </w:rPr>
        <w:t>Exhibits 5.2 and 23.4</w:t>
      </w:r>
    </w:p>
    <w:p>
      <w:pPr>
        <w:spacing w:after="0" w:line="172"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 xml:space="preserve">Davis Polk &amp; Wardwell </w:t>
      </w:r>
      <w:r>
        <w:rPr>
          <w:rFonts w:ascii="Arial" w:cs="Arial" w:eastAsia="Arial" w:hAnsi="Arial"/>
          <w:sz w:val="9"/>
          <w:szCs w:val="9"/>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-81280</wp:posOffset>
            </wp:positionV>
            <wp:extent cx="600075" cy="1143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5">
                      <a:extLst>
                        <a:ext uri="{28A0092B-C50C-407E-A947-70E740481C1C}"/>
                      </a:extLst>
                    </a:blip>
                    <a:srcRect/>
                    <a:stretch>
                      <a:fillRect/>
                    </a:stretch>
                  </pic:blipFill>
                  <pic:spPr bwMode="auto">
                    <a:xfrm>
                      <a:off x="0" y="0"/>
                      <a:ext cx="600075" cy="11430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2"/>
          <w:szCs w:val="12"/>
          <w:color w:val="auto"/>
        </w:rPr>
        <w:t>450 Lexington Avenue</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New York, NY 10017</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davispolk.com</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Roivant Sciences Ltd.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Suite 1, 3rd Floor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11-12 St. James’s Square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London SW1Y 4LB</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United Kingdom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146" w:lineRule="exact"/>
        <w:rPr>
          <w:sz w:val="20"/>
          <w:szCs w:val="20"/>
          <w:color w:val="auto"/>
        </w:rPr>
      </w:pPr>
    </w:p>
    <w:p>
      <w:pPr>
        <w:jc w:val="both"/>
        <w:ind w:left="840" w:right="839"/>
        <w:spacing w:after="0" w:line="302" w:lineRule="auto"/>
        <w:rPr>
          <w:sz w:val="20"/>
          <w:szCs w:val="20"/>
          <w:color w:val="auto"/>
        </w:rPr>
      </w:pPr>
      <w:r>
        <w:rPr>
          <w:rFonts w:ascii="Arial" w:cs="Arial" w:eastAsia="Arial" w:hAnsi="Arial"/>
          <w:sz w:val="11"/>
          <w:szCs w:val="11"/>
          <w:color w:val="auto"/>
        </w:rPr>
        <w:t>Roivant Sciences Ltd., a Bermuda exempted limited company (the “</w:t>
      </w:r>
      <w:r>
        <w:rPr>
          <w:rFonts w:ascii="Arial" w:cs="Arial" w:eastAsia="Arial" w:hAnsi="Arial"/>
          <w:sz w:val="11"/>
          <w:szCs w:val="11"/>
          <w:b w:val="1"/>
          <w:bCs w:val="1"/>
          <w:color w:val="auto"/>
        </w:rPr>
        <w:t>Company</w:t>
      </w:r>
      <w:r>
        <w:rPr>
          <w:rFonts w:ascii="Arial" w:cs="Arial" w:eastAsia="Arial" w:hAnsi="Arial"/>
          <w:sz w:val="11"/>
          <w:szCs w:val="11"/>
          <w:color w:val="auto"/>
        </w:rPr>
        <w:t>”), has filed with the Securities and Exchange Commission a Registration Statement on Form S-1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and the related prospectus (the “</w:t>
      </w:r>
      <w:r>
        <w:rPr>
          <w:rFonts w:ascii="Arial" w:cs="Arial" w:eastAsia="Arial" w:hAnsi="Arial"/>
          <w:sz w:val="11"/>
          <w:szCs w:val="11"/>
          <w:b w:val="1"/>
          <w:bCs w:val="1"/>
          <w:color w:val="auto"/>
        </w:rPr>
        <w:t>Prospectus”</w:t>
      </w:r>
      <w:r>
        <w:rPr>
          <w:rFonts w:ascii="Arial" w:cs="Arial" w:eastAsia="Arial" w:hAnsi="Arial"/>
          <w:sz w:val="11"/>
          <w:szCs w:val="11"/>
          <w:color w:val="auto"/>
        </w:rPr>
        <w:t>) for the purpose of registering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10,214,365 warrants (the “</w:t>
      </w:r>
      <w:r>
        <w:rPr>
          <w:rFonts w:ascii="Arial" w:cs="Arial" w:eastAsia="Arial" w:hAnsi="Arial"/>
          <w:sz w:val="11"/>
          <w:szCs w:val="11"/>
          <w:b w:val="1"/>
          <w:bCs w:val="1"/>
          <w:color w:val="auto"/>
        </w:rPr>
        <w:t>Warrants</w:t>
      </w:r>
      <w:r>
        <w:rPr>
          <w:rFonts w:ascii="Arial" w:cs="Arial" w:eastAsia="Arial" w:hAnsi="Arial"/>
          <w:sz w:val="11"/>
          <w:szCs w:val="11"/>
          <w:color w:val="auto"/>
        </w:rPr>
        <w:t>”) to purchase common shares of the Company.</w:t>
      </w:r>
    </w:p>
    <w:p>
      <w:pPr>
        <w:spacing w:after="0" w:line="103" w:lineRule="exact"/>
        <w:rPr>
          <w:sz w:val="20"/>
          <w:szCs w:val="20"/>
          <w:color w:val="auto"/>
        </w:rPr>
      </w:pPr>
    </w:p>
    <w:p>
      <w:pPr>
        <w:jc w:val="both"/>
        <w:ind w:left="840" w:right="859"/>
        <w:spacing w:after="0" w:line="276" w:lineRule="auto"/>
        <w:rPr>
          <w:sz w:val="20"/>
          <w:szCs w:val="20"/>
          <w:color w:val="auto"/>
        </w:rPr>
      </w:pPr>
      <w:r>
        <w:rPr>
          <w:rFonts w:ascii="Arial" w:cs="Arial" w:eastAsia="Arial" w:hAnsi="Arial"/>
          <w:sz w:val="12"/>
          <w:szCs w:val="12"/>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15" w:lineRule="exact"/>
        <w:rPr>
          <w:sz w:val="20"/>
          <w:szCs w:val="20"/>
          <w:color w:val="auto"/>
        </w:rPr>
      </w:pPr>
    </w:p>
    <w:p>
      <w:pPr>
        <w:ind w:left="840" w:right="919"/>
        <w:spacing w:after="0" w:line="255" w:lineRule="auto"/>
        <w:rPr>
          <w:sz w:val="20"/>
          <w:szCs w:val="20"/>
          <w:color w:val="auto"/>
        </w:rPr>
      </w:pPr>
      <w:r>
        <w:rPr>
          <w:rFonts w:ascii="Arial" w:cs="Arial" w:eastAsia="Arial" w:hAnsi="Arial"/>
          <w:sz w:val="12"/>
          <w:szCs w:val="12"/>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28" w:lineRule="exact"/>
        <w:rPr>
          <w:sz w:val="20"/>
          <w:szCs w:val="20"/>
          <w:color w:val="auto"/>
        </w:rPr>
      </w:pPr>
    </w:p>
    <w:p>
      <w:pPr>
        <w:ind w:left="840" w:right="859"/>
        <w:spacing w:after="0" w:line="280" w:lineRule="auto"/>
        <w:rPr>
          <w:sz w:val="20"/>
          <w:szCs w:val="20"/>
          <w:color w:val="auto"/>
        </w:rPr>
      </w:pPr>
      <w:r>
        <w:rPr>
          <w:rFonts w:ascii="Arial" w:cs="Arial" w:eastAsia="Arial" w:hAnsi="Arial"/>
          <w:sz w:val="11"/>
          <w:szCs w:val="11"/>
          <w:color w:val="auto"/>
        </w:rPr>
        <w:t>Based upon the foregoing, and subject to the additional assumptions and qualifications set forth below, we advise you that, in our opinion, assuming that the warrant agreement governing the Warrants has been duly authorized, executed and delivered by the warrant agent and the Company, and such Warrants have been duly authorized, executed, issued and delivered in accordance with the warrant agreement and the applicable agreement against payment thereto, the Warrants are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in the Warrants that requires or relates to adjustments to the exercise price at a price or in an amount that a court would determine in the circumstances under applicable law to be commercially unreasonable or a penalty or forfeiture.</w:t>
      </w:r>
    </w:p>
    <w:p>
      <w:pPr>
        <w:spacing w:after="0" w:line="115"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With respect to the validity of the common shares underlying the Warrants, you have received, and we understand that you are relying upon, the opinion of Conyers Dill &amp; Pearman, Bermuda counsel to the Company.</w:t>
      </w:r>
    </w:p>
    <w:p>
      <w:pPr>
        <w:sectPr>
          <w:pgSz w:w="11900" w:h="16838" w:orient="portrait"/>
          <w:cols w:equalWidth="0" w:num="1">
            <w:col w:w="9019"/>
          </w:cols>
          <w:pgMar w:left="1440" w:top="127" w:right="1440" w:bottom="1440" w:gutter="0" w:footer="0" w:header="0"/>
        </w:sectPr>
      </w:pPr>
    </w:p>
    <w:bookmarkStart w:id="451" w:name="page452"/>
    <w:bookmarkEnd w:id="451"/>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are members of the Bar of the State of New York and the foregoing opinion is limited to the laws of the State of New York.</w:t>
      </w:r>
    </w:p>
    <w:p>
      <w:pPr>
        <w:spacing w:after="0" w:line="150"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Davis Polk &amp; Wardwell LLP</w:t>
      </w:r>
    </w:p>
    <w:p>
      <w:pPr>
        <w:sectPr>
          <w:pgSz w:w="11900" w:h="16838" w:orient="portrait"/>
          <w:cols w:equalWidth="0" w:num="1">
            <w:col w:w="9019"/>
          </w:cols>
          <w:pgMar w:left="1440" w:top="230" w:right="1440" w:bottom="1440" w:gutter="0" w:footer="0" w:header="0"/>
        </w:sectPr>
      </w:pPr>
    </w:p>
    <w:bookmarkStart w:id="452" w:name="page453"/>
    <w:bookmarkEnd w:id="452"/>
    <w:p>
      <w:pPr>
        <w:jc w:val="right"/>
        <w:ind w:right="839"/>
        <w:spacing w:after="0"/>
        <w:rPr>
          <w:sz w:val="20"/>
          <w:szCs w:val="20"/>
          <w:color w:val="auto"/>
        </w:rPr>
      </w:pPr>
      <w:r>
        <w:rPr>
          <w:rFonts w:ascii="Arial" w:cs="Arial" w:eastAsia="Arial" w:hAnsi="Arial"/>
          <w:sz w:val="10"/>
          <w:szCs w:val="10"/>
          <w:b w:val="1"/>
          <w:bCs w:val="1"/>
          <w:color w:val="auto"/>
        </w:rPr>
        <w:t>Exhibit 8.1 and 23.5</w:t>
      </w:r>
    </w:p>
    <w:p>
      <w:pPr>
        <w:sectPr>
          <w:pgSz w:w="11900" w:h="16838" w:orient="portrait"/>
          <w:cols w:equalWidth="0" w:num="1">
            <w:col w:w="9019"/>
          </w:cols>
          <w:pgMar w:left="1440" w:top="127" w:right="1440" w:bottom="1440" w:gutter="0" w:footer="0" w:header="0"/>
        </w:sectPr>
      </w:pPr>
    </w:p>
    <w:p>
      <w:pPr>
        <w:spacing w:after="0" w:line="191" w:lineRule="exact"/>
        <w:rPr>
          <w:sz w:val="20"/>
          <w:szCs w:val="20"/>
          <w:color w:val="auto"/>
        </w:rPr>
      </w:pPr>
    </w:p>
    <w:p>
      <w:pPr>
        <w:ind w:left="2020"/>
        <w:spacing w:after="0"/>
        <w:rPr>
          <w:sz w:val="20"/>
          <w:szCs w:val="20"/>
          <w:color w:val="auto"/>
        </w:rPr>
      </w:pPr>
      <w:r>
        <w:rPr>
          <w:rFonts w:ascii="Arial" w:cs="Arial" w:eastAsia="Arial" w:hAnsi="Arial"/>
          <w:sz w:val="8"/>
          <w:szCs w:val="8"/>
          <w:color w:val="auto"/>
        </w:rPr>
        <w:t>+44 20 7418 1300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-50165</wp:posOffset>
            </wp:positionV>
            <wp:extent cx="628650" cy="1314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7">
                      <a:extLst>
                        <a:ext uri="{28A0092B-C50C-407E-A947-70E740481C1C}"/>
                      </a:extLst>
                    </a:blip>
                    <a:srcRect/>
                    <a:stretch>
                      <a:fillRect/>
                    </a:stretch>
                  </pic:blipFill>
                  <pic:spPr bwMode="auto">
                    <a:xfrm>
                      <a:off x="0" y="0"/>
                      <a:ext cx="628650" cy="13144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0"/>
          <w:szCs w:val="10"/>
          <w:color w:val="auto"/>
        </w:rPr>
        <w:t>davispolk.com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8"/>
          <w:szCs w:val="8"/>
          <w:color w:val="auto"/>
        </w:rPr>
        <w:t>Davis Polk &amp; Wardwell London LLP</w:t>
      </w:r>
    </w:p>
    <w:p>
      <w:pPr>
        <w:spacing w:after="0"/>
        <w:rPr>
          <w:sz w:val="20"/>
          <w:szCs w:val="20"/>
          <w:color w:val="auto"/>
        </w:rPr>
      </w:pPr>
      <w:r>
        <w:rPr>
          <w:rFonts w:ascii="Arial" w:cs="Arial" w:eastAsia="Arial" w:hAnsi="Arial"/>
          <w:sz w:val="10"/>
          <w:szCs w:val="10"/>
          <w:color w:val="auto"/>
        </w:rPr>
        <w:t>5 Aldermanbury Square</w:t>
      </w:r>
    </w:p>
    <w:p>
      <w:pPr>
        <w:spacing w:after="0" w:line="236" w:lineRule="auto"/>
        <w:rPr>
          <w:sz w:val="20"/>
          <w:szCs w:val="20"/>
          <w:color w:val="auto"/>
        </w:rPr>
      </w:pPr>
      <w:r>
        <w:rPr>
          <w:rFonts w:ascii="Arial" w:cs="Arial" w:eastAsia="Arial" w:hAnsi="Arial"/>
          <w:sz w:val="10"/>
          <w:szCs w:val="10"/>
          <w:color w:val="auto"/>
        </w:rPr>
        <w:t>London EC2V 7HR</w:t>
      </w:r>
    </w:p>
    <w:p>
      <w:pPr>
        <w:spacing w:after="0" w:line="200" w:lineRule="exact"/>
        <w:rPr>
          <w:sz w:val="20"/>
          <w:szCs w:val="20"/>
          <w:color w:val="auto"/>
        </w:rPr>
      </w:pPr>
    </w:p>
    <w:p>
      <w:pPr>
        <w:sectPr>
          <w:pgSz w:w="11900" w:h="16838" w:orient="portrait"/>
          <w:cols w:equalWidth="0" w:num="2">
            <w:col w:w="2840" w:space="720"/>
            <w:col w:w="5459"/>
          </w:cols>
          <w:pgMar w:left="1440" w:top="127" w:right="1440" w:bottom="1440" w:gutter="0" w:footer="0" w:header="0"/>
          <w:type w:val="continuous"/>
        </w:sectPr>
      </w:pPr>
    </w:p>
    <w:p>
      <w:pPr>
        <w:spacing w:after="0" w:line="2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Roivant Sciences Ltd.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Suite 1, 3rd Floor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11-12 St. James’s Square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London SW1Y 4LB</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United Kingdom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We are acting as counsel to Roivant Sciences Ltd., a Bermuda exempted limited company (the “</w:t>
      </w:r>
      <w:r>
        <w:rPr>
          <w:rFonts w:ascii="Arial" w:cs="Arial" w:eastAsia="Arial" w:hAnsi="Arial"/>
          <w:sz w:val="11"/>
          <w:szCs w:val="11"/>
          <w:b w:val="1"/>
          <w:bCs w:val="1"/>
          <w:color w:val="auto"/>
        </w:rPr>
        <w:t>Company</w:t>
      </w:r>
      <w:r>
        <w:rPr>
          <w:rFonts w:ascii="Arial" w:cs="Arial" w:eastAsia="Arial" w:hAnsi="Arial"/>
          <w:sz w:val="11"/>
          <w:szCs w:val="11"/>
          <w:color w:val="auto"/>
        </w:rPr>
        <w:t>”), as to certain matters of United Kingdom</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tax law in connection with the Company’s Registration Statement on Form S-1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and the related prospectus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Prospectus</w:t>
      </w:r>
      <w:r>
        <w:rPr>
          <w:rFonts w:ascii="Arial" w:cs="Arial" w:eastAsia="Arial" w:hAnsi="Arial"/>
          <w:sz w:val="10"/>
          <w:szCs w:val="10"/>
          <w:color w:val="auto"/>
        </w:rPr>
        <w:t>”) with respect to the Company’s common shares and private placement warrants (the “</w:t>
      </w:r>
      <w:r>
        <w:rPr>
          <w:rFonts w:ascii="Arial" w:cs="Arial" w:eastAsia="Arial" w:hAnsi="Arial"/>
          <w:sz w:val="10"/>
          <w:szCs w:val="10"/>
          <w:b w:val="1"/>
          <w:bCs w:val="1"/>
          <w:color w:val="auto"/>
        </w:rPr>
        <w:t>Securities</w:t>
      </w:r>
      <w:r>
        <w:rPr>
          <w:rFonts w:ascii="Arial" w:cs="Arial" w:eastAsia="Arial" w:hAnsi="Arial"/>
          <w:sz w:val="10"/>
          <w:szCs w:val="10"/>
          <w:color w:val="auto"/>
        </w:rPr>
        <w:t>”). The Company is filing the Registration</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Statement with the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 have examined such matters of fact and law as we have deemed necessary or advisable for the purpose of our opinion.</w:t>
      </w:r>
    </w:p>
    <w:p>
      <w:pPr>
        <w:spacing w:after="0" w:line="150" w:lineRule="exact"/>
        <w:rPr>
          <w:sz w:val="20"/>
          <w:szCs w:val="20"/>
          <w:color w:val="auto"/>
        </w:rPr>
      </w:pPr>
    </w:p>
    <w:p>
      <w:pPr>
        <w:ind w:left="840" w:right="959"/>
        <w:spacing w:after="0" w:line="263" w:lineRule="auto"/>
        <w:rPr>
          <w:sz w:val="20"/>
          <w:szCs w:val="20"/>
          <w:color w:val="auto"/>
        </w:rPr>
      </w:pPr>
      <w:r>
        <w:rPr>
          <w:rFonts w:ascii="Arial" w:cs="Arial" w:eastAsia="Arial" w:hAnsi="Arial"/>
          <w:sz w:val="12"/>
          <w:szCs w:val="12"/>
          <w:color w:val="auto"/>
        </w:rPr>
        <w:t>We hereby confirm our opinion set forth under the caption “Material United Kingdom Tax Considerations” in the Prospectus, subject to the limitations and qualifications set forth therein, constitutes our opinion as to the material United Kingdom (“</w:t>
      </w:r>
      <w:r>
        <w:rPr>
          <w:rFonts w:ascii="Arial" w:cs="Arial" w:eastAsia="Arial" w:hAnsi="Arial"/>
          <w:sz w:val="12"/>
          <w:szCs w:val="12"/>
          <w:b w:val="1"/>
          <w:bCs w:val="1"/>
          <w:color w:val="auto"/>
        </w:rPr>
        <w:t>UK</w:t>
      </w:r>
      <w:r>
        <w:rPr>
          <w:rFonts w:ascii="Arial" w:cs="Arial" w:eastAsia="Arial" w:hAnsi="Arial"/>
          <w:sz w:val="12"/>
          <w:szCs w:val="12"/>
          <w:color w:val="auto"/>
        </w:rPr>
        <w:t>”) tax consequences to non-UK holders of an investment in the Securities.</w:t>
      </w:r>
    </w:p>
    <w:p>
      <w:pPr>
        <w:spacing w:after="0" w:line="12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We express no opinion as to the laws of any jurisdiction other than the laws of England and Wales as applied by the English courts and on the generally published practice of HM Revenue &amp; Customs, as at the date of this opinion. This opinion does not extend to (A) any law relating to tax made by the Scottish Parliament, the National Assembly for Wales or the Northern Irish Assembly, (B) any other law relating to any law so made, or (C) any practice relating to any such law, and we express no opinion on any such matters.</w:t>
      </w:r>
    </w:p>
    <w:p>
      <w:pPr>
        <w:spacing w:after="0" w:line="124" w:lineRule="exact"/>
        <w:rPr>
          <w:sz w:val="20"/>
          <w:szCs w:val="20"/>
          <w:color w:val="auto"/>
        </w:rPr>
      </w:pPr>
    </w:p>
    <w:p>
      <w:pPr>
        <w:ind w:left="840" w:right="919"/>
        <w:spacing w:after="0" w:line="340" w:lineRule="auto"/>
        <w:rPr>
          <w:sz w:val="20"/>
          <w:szCs w:val="20"/>
          <w:color w:val="auto"/>
        </w:rPr>
      </w:pPr>
      <w:r>
        <w:rPr>
          <w:rFonts w:ascii="Arial" w:cs="Arial" w:eastAsia="Arial" w:hAnsi="Arial"/>
          <w:sz w:val="10"/>
          <w:szCs w:val="10"/>
          <w:color w:val="auto"/>
        </w:rPr>
        <w:t>This opinion is furnished to you solely for use in connection with the Registration Statement.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 or the rules and regulations of the Commission thereunder.</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Very truly yours,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Davis Polk &amp; Wardwell London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300990</wp:posOffset>
            </wp:positionV>
            <wp:extent cx="466344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Davis Polk &amp; Wardwell London LLP is a limited liability partnership formed under the laws of the State of New York, USA and is authorised and regulated</w:t>
      </w:r>
    </w:p>
    <w:p>
      <w:pPr>
        <w:ind w:left="840"/>
        <w:spacing w:after="0" w:line="206" w:lineRule="auto"/>
        <w:rPr>
          <w:sz w:val="20"/>
          <w:szCs w:val="20"/>
          <w:color w:val="auto"/>
        </w:rPr>
      </w:pPr>
      <w:r>
        <w:rPr>
          <w:rFonts w:ascii="Arial" w:cs="Arial" w:eastAsia="Arial" w:hAnsi="Arial"/>
          <w:sz w:val="10"/>
          <w:szCs w:val="10"/>
          <w:color w:val="auto"/>
        </w:rPr>
        <w:t>by the Solicitors Regulation Authority with registration number 566321.</w:t>
      </w:r>
    </w:p>
    <w:p>
      <w:pPr>
        <w:ind w:left="840"/>
        <w:spacing w:after="0" w:line="237" w:lineRule="auto"/>
        <w:rPr>
          <w:sz w:val="20"/>
          <w:szCs w:val="20"/>
          <w:color w:val="auto"/>
        </w:rPr>
      </w:pPr>
      <w:r>
        <w:rPr>
          <w:rFonts w:ascii="Arial" w:cs="Arial" w:eastAsia="Arial" w:hAnsi="Arial"/>
          <w:sz w:val="10"/>
          <w:szCs w:val="10"/>
          <w:color w:val="auto"/>
        </w:rPr>
        <w:t>Davis Polk includes Davis Polk &amp; Wardwell LLP and its associated entities</w:t>
      </w:r>
    </w:p>
    <w:p>
      <w:pPr>
        <w:sectPr>
          <w:pgSz w:w="11900" w:h="16838" w:orient="portrait"/>
          <w:cols w:equalWidth="0" w:num="1">
            <w:col w:w="9019"/>
          </w:cols>
          <w:pgMar w:left="1440" w:top="127" w:right="1440" w:bottom="1440" w:gutter="0" w:footer="0" w:header="0"/>
          <w:type w:val="continuous"/>
        </w:sectPr>
      </w:pPr>
    </w:p>
    <w:bookmarkStart w:id="453" w:name="page454"/>
    <w:bookmarkEnd w:id="453"/>
    <w:p>
      <w:pPr>
        <w:jc w:val="right"/>
        <w:ind w:right="839"/>
        <w:spacing w:after="0"/>
        <w:rPr>
          <w:sz w:val="20"/>
          <w:szCs w:val="20"/>
          <w:color w:val="auto"/>
        </w:rPr>
      </w:pPr>
      <w:r>
        <w:rPr>
          <w:rFonts w:ascii="Arial" w:cs="Arial" w:eastAsia="Arial" w:hAnsi="Arial"/>
          <w:sz w:val="12"/>
          <w:szCs w:val="12"/>
          <w:b w:val="1"/>
          <w:bCs w:val="1"/>
          <w:color w:val="auto"/>
        </w:rPr>
        <w:t>Exhibit 8.2</w:t>
      </w:r>
    </w:p>
    <w:p>
      <w:pPr>
        <w:spacing w:after="0" w:line="160" w:lineRule="exact"/>
        <w:rPr>
          <w:sz w:val="20"/>
          <w:szCs w:val="20"/>
          <w:color w:val="auto"/>
        </w:rPr>
      </w:pPr>
    </w:p>
    <w:p>
      <w:pPr>
        <w:ind w:left="4660"/>
        <w:spacing w:after="0"/>
        <w:rPr>
          <w:sz w:val="20"/>
          <w:szCs w:val="20"/>
          <w:color w:val="auto"/>
        </w:rPr>
      </w:pPr>
      <w:r>
        <w:rPr>
          <w:rFonts w:ascii="Arial" w:cs="Arial" w:eastAsia="Arial" w:hAnsi="Arial"/>
          <w:sz w:val="10"/>
          <w:szCs w:val="10"/>
          <w:color w:val="auto"/>
        </w:rPr>
        <w:t xml:space="preserve">Davis Polk &amp; Wardwell </w:t>
      </w:r>
      <w:r>
        <w:rPr>
          <w:rFonts w:ascii="Arial" w:cs="Arial" w:eastAsia="Arial" w:hAnsi="Arial"/>
          <w:sz w:val="7"/>
          <w:szCs w:val="7"/>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-59690</wp:posOffset>
            </wp:positionV>
            <wp:extent cx="600075" cy="1143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9">
                      <a:extLst>
                        <a:ext uri="{28A0092B-C50C-407E-A947-70E740481C1C}"/>
                      </a:extLst>
                    </a:blip>
                    <a:srcRect/>
                    <a:stretch>
                      <a:fillRect/>
                    </a:stretch>
                  </pic:blipFill>
                  <pic:spPr bwMode="auto">
                    <a:xfrm>
                      <a:off x="0" y="0"/>
                      <a:ext cx="600075" cy="114300"/>
                    </a:xfrm>
                    <a:prstGeom prst="rect">
                      <a:avLst/>
                    </a:prstGeom>
                    <a:noFill/>
                  </pic:spPr>
                </pic:pic>
              </a:graphicData>
            </a:graphic>
          </wp:anchor>
        </w:drawing>
      </w:r>
    </w:p>
    <w:p>
      <w:pPr>
        <w:ind w:left="4660"/>
        <w:spacing w:after="0" w:line="206" w:lineRule="auto"/>
        <w:rPr>
          <w:sz w:val="20"/>
          <w:szCs w:val="20"/>
          <w:color w:val="auto"/>
        </w:rPr>
      </w:pPr>
      <w:r>
        <w:rPr>
          <w:rFonts w:ascii="Arial" w:cs="Arial" w:eastAsia="Arial" w:hAnsi="Arial"/>
          <w:sz w:val="10"/>
          <w:szCs w:val="10"/>
          <w:color w:val="auto"/>
        </w:rPr>
        <w:t>450 Lexington Avenue</w:t>
      </w:r>
    </w:p>
    <w:p>
      <w:pPr>
        <w:ind w:left="4660"/>
        <w:spacing w:after="0" w:line="207" w:lineRule="auto"/>
        <w:rPr>
          <w:sz w:val="20"/>
          <w:szCs w:val="20"/>
          <w:color w:val="auto"/>
        </w:rPr>
      </w:pPr>
      <w:r>
        <w:rPr>
          <w:rFonts w:ascii="Arial" w:cs="Arial" w:eastAsia="Arial" w:hAnsi="Arial"/>
          <w:sz w:val="10"/>
          <w:szCs w:val="10"/>
          <w:color w:val="auto"/>
        </w:rPr>
        <w:t>New York, NY 10017</w:t>
      </w:r>
    </w:p>
    <w:p>
      <w:pPr>
        <w:ind w:left="4660"/>
        <w:spacing w:after="0" w:line="237" w:lineRule="auto"/>
        <w:rPr>
          <w:sz w:val="20"/>
          <w:szCs w:val="20"/>
          <w:color w:val="auto"/>
        </w:rPr>
      </w:pPr>
      <w:r>
        <w:rPr>
          <w:rFonts w:ascii="Arial" w:cs="Arial" w:eastAsia="Arial" w:hAnsi="Arial"/>
          <w:sz w:val="10"/>
          <w:szCs w:val="10"/>
          <w:color w:val="auto"/>
        </w:rPr>
        <w:t>davispolk.com</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Roivant Sciences Ltd.</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Suite 1, 3</w:t>
      </w:r>
      <w:r>
        <w:rPr>
          <w:rFonts w:ascii="Arial" w:cs="Arial" w:eastAsia="Arial" w:hAnsi="Arial"/>
          <w:sz w:val="10"/>
          <w:szCs w:val="10"/>
          <w:color w:val="auto"/>
        </w:rPr>
        <w:t>rd</w:t>
      </w:r>
      <w:r>
        <w:rPr>
          <w:rFonts w:ascii="Arial" w:cs="Arial" w:eastAsia="Arial" w:hAnsi="Arial"/>
          <w:sz w:val="12"/>
          <w:szCs w:val="12"/>
          <w:color w:val="auto"/>
        </w:rPr>
        <w:t xml:space="preserve"> Floor</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11-12 St. James Square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London SW1Y 4LB</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United Kingdom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ind w:left="840" w:right="899"/>
        <w:spacing w:after="0" w:line="289" w:lineRule="auto"/>
        <w:rPr>
          <w:sz w:val="20"/>
          <w:szCs w:val="20"/>
          <w:color w:val="auto"/>
        </w:rPr>
      </w:pPr>
      <w:r>
        <w:rPr>
          <w:rFonts w:ascii="Arial" w:cs="Arial" w:eastAsia="Arial" w:hAnsi="Arial"/>
          <w:sz w:val="11"/>
          <w:szCs w:val="11"/>
          <w:color w:val="auto"/>
        </w:rPr>
        <w:t>We are acting as United States counsel to Roivant Sciences Ltd., a corporation incorporated in Bermuda (the “</w:t>
      </w:r>
      <w:r>
        <w:rPr>
          <w:rFonts w:ascii="Arial" w:cs="Arial" w:eastAsia="Arial" w:hAnsi="Arial"/>
          <w:sz w:val="11"/>
          <w:szCs w:val="11"/>
          <w:u w:val="single" w:color="auto"/>
          <w:color w:val="auto"/>
        </w:rPr>
        <w:t>Company</w:t>
      </w:r>
      <w:r>
        <w:rPr>
          <w:rFonts w:ascii="Arial" w:cs="Arial" w:eastAsia="Arial" w:hAnsi="Arial"/>
          <w:sz w:val="11"/>
          <w:szCs w:val="11"/>
          <w:color w:val="auto"/>
        </w:rPr>
        <w:t>”), in connection with the preparation of the registration statement on Form S-1 (the “</w:t>
      </w:r>
      <w:r>
        <w:rPr>
          <w:rFonts w:ascii="Arial" w:cs="Arial" w:eastAsia="Arial" w:hAnsi="Arial"/>
          <w:sz w:val="11"/>
          <w:szCs w:val="11"/>
          <w:u w:val="single" w:color="auto"/>
          <w:color w:val="auto"/>
        </w:rPr>
        <w:t>Registration Statement</w:t>
      </w:r>
      <w:r>
        <w:rPr>
          <w:rFonts w:ascii="Arial" w:cs="Arial" w:eastAsia="Arial" w:hAnsi="Arial"/>
          <w:sz w:val="11"/>
          <w:szCs w:val="11"/>
          <w:color w:val="auto"/>
        </w:rPr>
        <w:t>”) and the related prospectus (the “</w:t>
      </w:r>
      <w:r>
        <w:rPr>
          <w:rFonts w:ascii="Arial" w:cs="Arial" w:eastAsia="Arial" w:hAnsi="Arial"/>
          <w:sz w:val="11"/>
          <w:szCs w:val="11"/>
          <w:u w:val="single" w:color="auto"/>
          <w:color w:val="auto"/>
        </w:rPr>
        <w:t>Prospectus</w:t>
      </w:r>
      <w:r>
        <w:rPr>
          <w:rFonts w:ascii="Arial" w:cs="Arial" w:eastAsia="Arial" w:hAnsi="Arial"/>
          <w:sz w:val="11"/>
          <w:szCs w:val="11"/>
          <w:color w:val="auto"/>
        </w:rPr>
        <w:t>”) with respect to the Company’s common shares and private placement warrants (the “</w:t>
      </w:r>
      <w:r>
        <w:rPr>
          <w:rFonts w:ascii="Arial" w:cs="Arial" w:eastAsia="Arial" w:hAnsi="Arial"/>
          <w:sz w:val="11"/>
          <w:szCs w:val="11"/>
          <w:u w:val="single" w:color="auto"/>
          <w:color w:val="auto"/>
        </w:rPr>
        <w:t>Securities</w:t>
      </w:r>
      <w:r>
        <w:rPr>
          <w:rFonts w:ascii="Arial" w:cs="Arial" w:eastAsia="Arial" w:hAnsi="Arial"/>
          <w:sz w:val="11"/>
          <w:szCs w:val="11"/>
          <w:color w:val="auto"/>
        </w:rPr>
        <w:t>”). The Company is filing the Registration Statement with the Securities and Exchange Commission (the “</w:t>
      </w:r>
      <w:r>
        <w:rPr>
          <w:rFonts w:ascii="Arial" w:cs="Arial" w:eastAsia="Arial" w:hAnsi="Arial"/>
          <w:sz w:val="11"/>
          <w:szCs w:val="11"/>
          <w:u w:val="single" w:color="auto"/>
          <w:color w:val="auto"/>
        </w:rPr>
        <w:t>Commission</w:t>
      </w:r>
      <w:r>
        <w:rPr>
          <w:rFonts w:ascii="Arial" w:cs="Arial" w:eastAsia="Arial" w:hAnsi="Arial"/>
          <w:sz w:val="11"/>
          <w:szCs w:val="11"/>
          <w:color w:val="auto"/>
        </w:rPr>
        <w:t>”) under the Securities Act of 1933, as amended (the “</w:t>
      </w:r>
      <w:r>
        <w:rPr>
          <w:rFonts w:ascii="Arial" w:cs="Arial" w:eastAsia="Arial" w:hAnsi="Arial"/>
          <w:sz w:val="11"/>
          <w:szCs w:val="11"/>
          <w:u w:val="single" w:color="auto"/>
          <w:color w:val="auto"/>
        </w:rPr>
        <w:t>Securities Act</w:t>
      </w:r>
      <w:r>
        <w:rPr>
          <w:rFonts w:ascii="Arial" w:cs="Arial" w:eastAsia="Arial" w:hAnsi="Arial"/>
          <w:sz w:val="11"/>
          <w:szCs w:val="11"/>
          <w:color w:val="auto"/>
        </w:rPr>
        <w:t>”).</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 have examined such matters of fact and law as we have deemed necessary or advisable for the purpose of our opinion.</w:t>
      </w:r>
    </w:p>
    <w:p>
      <w:pPr>
        <w:spacing w:after="0" w:line="150" w:lineRule="exact"/>
        <w:rPr>
          <w:sz w:val="20"/>
          <w:szCs w:val="20"/>
          <w:color w:val="auto"/>
        </w:rPr>
      </w:pPr>
    </w:p>
    <w:p>
      <w:pPr>
        <w:ind w:left="840" w:right="1099"/>
        <w:spacing w:after="0" w:line="263" w:lineRule="auto"/>
        <w:rPr>
          <w:sz w:val="20"/>
          <w:szCs w:val="20"/>
          <w:color w:val="auto"/>
        </w:rPr>
      </w:pPr>
      <w:r>
        <w:rPr>
          <w:rFonts w:ascii="Arial" w:cs="Arial" w:eastAsia="Arial" w:hAnsi="Arial"/>
          <w:sz w:val="12"/>
          <w:szCs w:val="12"/>
          <w:color w:val="auto"/>
        </w:rPr>
        <w:t>We hereby confirm that the discussion set forth under the caption “MATERIAL UNITED STATES TAX CONSIDERATIONS” in the Prospectus, subject to the limitations and qualifications set forth therein, constitutes our opinion as to the material U.S. federal income tax consequences to U.S. Holders of an investment in the Securities.</w:t>
      </w:r>
    </w:p>
    <w:p>
      <w:pPr>
        <w:spacing w:after="0" w:line="122" w:lineRule="exact"/>
        <w:rPr>
          <w:sz w:val="20"/>
          <w:szCs w:val="20"/>
          <w:color w:val="auto"/>
        </w:rPr>
      </w:pPr>
    </w:p>
    <w:p>
      <w:pPr>
        <w:ind w:left="840" w:right="1079"/>
        <w:spacing w:after="0" w:line="276" w:lineRule="auto"/>
        <w:rPr>
          <w:sz w:val="20"/>
          <w:szCs w:val="20"/>
          <w:color w:val="auto"/>
        </w:rPr>
      </w:pPr>
      <w:r>
        <w:rPr>
          <w:rFonts w:ascii="Arial" w:cs="Arial" w:eastAsia="Arial" w:hAnsi="Arial"/>
          <w:sz w:val="12"/>
          <w:szCs w:val="12"/>
          <w:color w:val="auto"/>
        </w:rPr>
        <w:t>We are members of the Bar of the State of New York, and we express no opinion as to the laws of any jurisdiction other than the laws of the State of New York and the federal laws of the United States.</w:t>
      </w:r>
    </w:p>
    <w:p>
      <w:pPr>
        <w:spacing w:after="0" w:line="115" w:lineRule="exact"/>
        <w:rPr>
          <w:sz w:val="20"/>
          <w:szCs w:val="20"/>
          <w:color w:val="auto"/>
        </w:rPr>
      </w:pPr>
    </w:p>
    <w:p>
      <w:pPr>
        <w:ind w:left="840" w:right="919"/>
        <w:spacing w:after="0" w:line="340" w:lineRule="auto"/>
        <w:rPr>
          <w:sz w:val="20"/>
          <w:szCs w:val="20"/>
          <w:color w:val="auto"/>
        </w:rPr>
      </w:pPr>
      <w:r>
        <w:rPr>
          <w:rFonts w:ascii="Arial" w:cs="Arial" w:eastAsia="Arial" w:hAnsi="Arial"/>
          <w:sz w:val="10"/>
          <w:szCs w:val="10"/>
          <w:color w:val="auto"/>
        </w:rPr>
        <w:t>This opinion is furnished to you solely for use in connection with the Registration Statement.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 or the rules and regulations of the Commission thereunder.</w:t>
      </w:r>
    </w:p>
    <w:p>
      <w:pPr>
        <w:spacing w:after="0" w:line="87"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/s/ Davis Polk &amp; Wardwell LLP</w:t>
      </w:r>
    </w:p>
    <w:p>
      <w:pPr>
        <w:sectPr>
          <w:pgSz w:w="11900" w:h="16838" w:orient="portrait"/>
          <w:cols w:equalWidth="0" w:num="1">
            <w:col w:w="9019"/>
          </w:cols>
          <w:pgMar w:left="1440" w:top="127" w:right="1440" w:bottom="1440" w:gutter="0" w:footer="0" w:header="0"/>
        </w:sectPr>
      </w:pPr>
    </w:p>
    <w:bookmarkStart w:id="454" w:name="page455"/>
    <w:bookmarkEnd w:id="454"/>
    <w:p>
      <w:pPr>
        <w:jc w:val="right"/>
        <w:ind w:right="839"/>
        <w:spacing w:after="0"/>
        <w:rPr>
          <w:sz w:val="20"/>
          <w:szCs w:val="20"/>
          <w:color w:val="auto"/>
        </w:rPr>
      </w:pPr>
      <w:r>
        <w:rPr>
          <w:rFonts w:ascii="Arial" w:cs="Arial" w:eastAsia="Arial" w:hAnsi="Arial"/>
          <w:sz w:val="12"/>
          <w:szCs w:val="12"/>
          <w:b w:val="1"/>
          <w:bCs w:val="1"/>
          <w:color w:val="auto"/>
        </w:rPr>
        <w:t>Exhibit 23.1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INDEPENDENT REGISTERED PUBLIC ACCOUNTING FIRM’S CONSENT</w:t>
      </w:r>
    </w:p>
    <w:p>
      <w:pPr>
        <w:spacing w:after="0" w:line="150" w:lineRule="exact"/>
        <w:rPr>
          <w:sz w:val="20"/>
          <w:szCs w:val="20"/>
          <w:color w:val="auto"/>
        </w:rPr>
      </w:pPr>
    </w:p>
    <w:p>
      <w:pPr>
        <w:jc w:val="both"/>
        <w:ind w:left="840" w:right="1119"/>
        <w:spacing w:after="0" w:line="256" w:lineRule="auto"/>
        <w:rPr>
          <w:sz w:val="20"/>
          <w:szCs w:val="20"/>
          <w:color w:val="auto"/>
        </w:rPr>
      </w:pPr>
      <w:r>
        <w:rPr>
          <w:rFonts w:ascii="Arial" w:cs="Arial" w:eastAsia="Arial" w:hAnsi="Arial"/>
          <w:sz w:val="12"/>
          <w:szCs w:val="12"/>
          <w:color w:val="auto"/>
        </w:rPr>
        <w:t>We consent to the inclusion in this Registration Statement of Roivant Sciences Ltd. on Form S-1 of our report dated March 22, 2021, except for the effects of the restatement discussed in Note 2 as to which the date is May 13, 2021, with respect to our audits of the financial statements of Montes Archimedes Acquisition Corp. as of December 31, 2020 and for the period from July 6, 2020 (inception) through December 31, 2020,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 Marcum </w:t>
      </w:r>
      <w:r>
        <w:rPr>
          <w:rFonts w:ascii="Arial" w:cs="Arial" w:eastAsia="Arial" w:hAnsi="Arial"/>
          <w:sz w:val="9"/>
          <w:szCs w:val="9"/>
          <w:color w:val="auto"/>
        </w:rPr>
        <w:t>LLP</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Marcum </w:t>
      </w:r>
      <w:r>
        <w:rPr>
          <w:rFonts w:ascii="Arial" w:cs="Arial" w:eastAsia="Arial" w:hAnsi="Arial"/>
          <w:sz w:val="9"/>
          <w:szCs w:val="9"/>
          <w:color w:val="auto"/>
        </w:rPr>
        <w:t>LLP</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Costa Mesa, California</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p>
      <w:pPr>
        <w:sectPr>
          <w:pgSz w:w="11900" w:h="16838" w:orient="portrait"/>
          <w:cols w:equalWidth="0" w:num="1">
            <w:col w:w="9019"/>
          </w:cols>
          <w:pgMar w:left="1440" w:top="127" w:right="1440" w:bottom="1440" w:gutter="0" w:footer="0" w:header="0"/>
        </w:sectPr>
      </w:pPr>
    </w:p>
    <w:bookmarkStart w:id="455" w:name="page456"/>
    <w:bookmarkEnd w:id="455"/>
    <w:p>
      <w:pPr>
        <w:jc w:val="right"/>
        <w:ind w:right="839"/>
        <w:spacing w:after="0"/>
        <w:rPr>
          <w:sz w:val="20"/>
          <w:szCs w:val="20"/>
          <w:color w:val="auto"/>
        </w:rPr>
      </w:pPr>
      <w:r>
        <w:rPr>
          <w:rFonts w:ascii="Arial" w:cs="Arial" w:eastAsia="Arial" w:hAnsi="Arial"/>
          <w:sz w:val="12"/>
          <w:szCs w:val="12"/>
          <w:b w:val="1"/>
          <w:bCs w:val="1"/>
          <w:color w:val="auto"/>
        </w:rPr>
        <w:t>EXHIBIT 23.2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left="840" w:right="1159"/>
        <w:spacing w:after="0" w:line="276" w:lineRule="auto"/>
        <w:rPr>
          <w:sz w:val="20"/>
          <w:szCs w:val="20"/>
          <w:color w:val="auto"/>
        </w:rPr>
      </w:pPr>
      <w:r>
        <w:rPr>
          <w:rFonts w:ascii="Arial" w:cs="Arial" w:eastAsia="Arial" w:hAnsi="Arial"/>
          <w:sz w:val="12"/>
          <w:szCs w:val="12"/>
          <w:color w:val="auto"/>
        </w:rPr>
        <w:t>We consent to the reference to our firm under the caption “Experts” and to the use of our report dated June 30, 2021, in the Registration Statement (Form S-1) and related Prospectus of Roivant Sciences Ltd. dated October 29, 2021.</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Iselin, New Jersey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29, 2021</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1)"/>
      <w:numFmt w:val="decimal"/>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
      <w:numFmt w:val="bullet"/>
      <w:start w:val="1"/>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
      <w:numFmt w:val="bullet"/>
      <w:start w:val="1"/>
    </w:lvl>
  </w:abstractNum>
  <w:abstractNum w:abstractNumId="5">
    <w:nsid w:val="415E286C"/>
    <w:multiLevelType w:val="hybridMultilevel"/>
    <w:lvl w:ilvl="0">
      <w:lvlJc w:val="left"/>
      <w:lvlText w:val="•"/>
      <w:numFmt w:val="bullet"/>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
      <w:numFmt w:val="bullet"/>
      <w:start w:val="1"/>
    </w:lvl>
  </w:abstractNum>
  <w:abstractNum w:abstractNumId="8">
    <w:nsid w:val="45E6D486"/>
    <w:multiLevelType w:val="hybridMultilevel"/>
    <w:lvl w:ilvl="0">
      <w:lvlJc w:val="left"/>
      <w:lvlText w:val="•"/>
      <w:numFmt w:val="bullet"/>
      <w:start w:val="1"/>
    </w:lvl>
  </w:abstractNum>
  <w:abstractNum w:abstractNumId="9">
    <w:nsid w:val="5C10FE21"/>
    <w:multiLevelType w:val="hybridMultilevel"/>
    <w:lvl w:ilvl="0">
      <w:lvlJc w:val="left"/>
      <w:lvlText w:val="•"/>
      <w:numFmt w:val="bullet"/>
      <w:start w:val="1"/>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
      <w:numFmt w:val="bullet"/>
      <w:start w:val="1"/>
    </w:lvl>
  </w:abstractNum>
  <w:abstractNum w:abstractNumId="12">
    <w:nsid w:val="4BD8591A"/>
    <w:multiLevelType w:val="hybridMultilevel"/>
    <w:lvl w:ilvl="0">
      <w:lvlJc w:val="left"/>
      <w:lvlText w:val="•"/>
      <w:numFmt w:val="bullet"/>
      <w:start w:val="1"/>
    </w:lvl>
  </w:abstractNum>
  <w:abstractNum w:abstractNumId="13">
    <w:nsid w:val="78DF6A55"/>
    <w:multiLevelType w:val="hybridMultilevel"/>
    <w:lvl w:ilvl="0">
      <w:lvlJc w:val="left"/>
      <w:lvlText w:val="•"/>
      <w:numFmt w:val="bullet"/>
      <w:start w:val="1"/>
    </w:lvl>
  </w:abstractNum>
  <w:abstractNum w:abstractNumId="14">
    <w:nsid w:val="39B7AAA2"/>
    <w:multiLevelType w:val="hybridMultilevel"/>
    <w:lvl w:ilvl="0">
      <w:lvlJc w:val="left"/>
      <w:lvlText w:val="•"/>
      <w:numFmt w:val="bullet"/>
      <w:start w:val="1"/>
    </w:lvl>
    <w:lvl w:ilvl="1">
      <w:lvlJc w:val="left"/>
      <w:lvlText w:val="•"/>
      <w:numFmt w:val="bullet"/>
      <w:start w:val="1"/>
    </w:lvl>
  </w:abstractNum>
  <w:abstractNum w:abstractNumId="15">
    <w:nsid w:val="2B0D8DBE"/>
    <w:multiLevelType w:val="hybridMultilevel"/>
    <w:lvl w:ilvl="0">
      <w:lvlJc w:val="left"/>
      <w:lvlText w:val="•"/>
      <w:numFmt w:val="bullet"/>
      <w:start w:val="1"/>
    </w:lvl>
  </w:abstractNum>
  <w:abstractNum w:abstractNumId="16">
    <w:nsid w:val="6C80EC70"/>
    <w:multiLevelType w:val="hybridMultilevel"/>
    <w:lvl w:ilvl="0">
      <w:lvlJc w:val="left"/>
      <w:lvlText w:val="•"/>
      <w:numFmt w:val="bullet"/>
      <w:start w:val="1"/>
    </w:lvl>
  </w:abstractNum>
  <w:abstractNum w:abstractNumId="17">
    <w:nsid w:val="379E21B5"/>
    <w:multiLevelType w:val="hybridMultilevel"/>
    <w:lvl w:ilvl="0">
      <w:lvlJc w:val="left"/>
      <w:lvlText w:val="•"/>
      <w:numFmt w:val="bullet"/>
      <w:start w:val="1"/>
    </w:lvl>
  </w:abstractNum>
  <w:abstractNum w:abstractNumId="18">
    <w:nsid w:val="69E373"/>
    <w:multiLevelType w:val="hybridMultilevel"/>
    <w:lvl w:ilvl="0">
      <w:lvlJc w:val="left"/>
      <w:lvlText w:val="•"/>
      <w:numFmt w:val="bullet"/>
      <w:start w:val="1"/>
    </w:lvl>
  </w:abstractNum>
  <w:abstractNum w:abstractNumId="19">
    <w:nsid w:val="2C27173B"/>
    <w:multiLevelType w:val="hybridMultilevel"/>
    <w:lvl w:ilvl="0">
      <w:lvlJc w:val="left"/>
      <w:lvlText w:val="•"/>
      <w:numFmt w:val="bullet"/>
      <w:start w:val="1"/>
    </w:lvl>
  </w:abstractNum>
  <w:abstractNum w:abstractNumId="20">
    <w:nsid w:val="4C9B0904"/>
    <w:multiLevelType w:val="hybridMultilevel"/>
    <w:lvl w:ilvl="0">
      <w:lvlJc w:val="left"/>
      <w:lvlText w:val="•"/>
      <w:numFmt w:val="bullet"/>
      <w:start w:val="1"/>
    </w:lvl>
  </w:abstractNum>
  <w:abstractNum w:abstractNumId="21">
    <w:nsid w:val="6AA7B75C"/>
    <w:multiLevelType w:val="hybridMultilevel"/>
    <w:lvl w:ilvl="0">
      <w:lvlJc w:val="left"/>
      <w:lvlText w:val="•"/>
      <w:numFmt w:val="bullet"/>
      <w:start w:val="1"/>
    </w:lvl>
  </w:abstractNum>
  <w:abstractNum w:abstractNumId="22">
    <w:nsid w:val="1DF029D3"/>
    <w:multiLevelType w:val="hybridMultilevel"/>
    <w:lvl w:ilvl="0">
      <w:lvlJc w:val="left"/>
      <w:lvlText w:val="•"/>
      <w:numFmt w:val="bullet"/>
      <w:start w:val="1"/>
    </w:lvl>
  </w:abstractNum>
  <w:abstractNum w:abstractNumId="23">
    <w:nsid w:val="5675FF36"/>
    <w:multiLevelType w:val="hybridMultilevel"/>
    <w:lvl w:ilvl="0">
      <w:lvlJc w:val="left"/>
      <w:lvlText w:val="•"/>
      <w:numFmt w:val="bullet"/>
      <w:start w:val="1"/>
    </w:lvl>
  </w:abstractNum>
  <w:abstractNum w:abstractNumId="24">
    <w:nsid w:val="3DD15094"/>
    <w:multiLevelType w:val="hybridMultilevel"/>
    <w:lvl w:ilvl="0">
      <w:lvlJc w:val="left"/>
      <w:lvlText w:val="•"/>
      <w:numFmt w:val="bullet"/>
      <w:start w:val="1"/>
    </w:lvl>
  </w:abstractNum>
  <w:abstractNum w:abstractNumId="25">
    <w:nsid w:val="3DB012B3"/>
    <w:multiLevelType w:val="hybridMultilevel"/>
    <w:lvl w:ilvl="0">
      <w:lvlJc w:val="left"/>
      <w:lvlText w:val="•"/>
      <w:numFmt w:val="bullet"/>
      <w:start w:val="1"/>
    </w:lvl>
  </w:abstractNum>
  <w:abstractNum w:abstractNumId="26">
    <w:nsid w:val="2708C9AF"/>
    <w:multiLevelType w:val="hybridMultilevel"/>
    <w:lvl w:ilvl="0">
      <w:lvlJc w:val="left"/>
      <w:lvlText w:val="•"/>
      <w:numFmt w:val="bullet"/>
      <w:start w:val="1"/>
    </w:lvl>
  </w:abstractNum>
  <w:abstractNum w:abstractNumId="27">
    <w:nsid w:val="5B25ACE2"/>
    <w:multiLevelType w:val="hybridMultilevel"/>
    <w:lvl w:ilvl="0">
      <w:lvlJc w:val="left"/>
      <w:lvlText w:val="•"/>
      <w:numFmt w:val="bullet"/>
      <w:start w:val="1"/>
    </w:lvl>
  </w:abstractNum>
  <w:abstractNum w:abstractNumId="28">
    <w:nsid w:val="175DFCF0"/>
    <w:multiLevelType w:val="hybridMultilevel"/>
    <w:lvl w:ilvl="0">
      <w:lvlJc w:val="left"/>
      <w:lvlText w:val="•"/>
      <w:numFmt w:val="bullet"/>
      <w:start w:val="1"/>
    </w:lvl>
  </w:abstractNum>
  <w:abstractNum w:abstractNumId="29">
    <w:nsid w:val="4F97E3E4"/>
    <w:multiLevelType w:val="hybridMultilevel"/>
    <w:lvl w:ilvl="0">
      <w:lvlJc w:val="left"/>
      <w:lvlText w:val="•"/>
      <w:numFmt w:val="bullet"/>
      <w:start w:val="1"/>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1)"/>
      <w:numFmt w:val="lowerRoman"/>
      <w:start w:val="3"/>
    </w:lvl>
  </w:abstractNum>
  <w:abstractNum w:abstractNumId="32">
    <w:nsid w:val="5915FF32"/>
    <w:multiLevelType w:val="hybridMultilevel"/>
    <w:lvl w:ilvl="0">
      <w:lvlJc w:val="left"/>
      <w:lvlText w:val="•"/>
      <w:numFmt w:val="bullet"/>
      <w:start w:val="1"/>
    </w:lvl>
  </w:abstractNum>
  <w:abstractNum w:abstractNumId="33">
    <w:nsid w:val="56438D15"/>
    <w:multiLevelType w:val="hybridMultilevel"/>
    <w:lvl w:ilvl="0">
      <w:lvlJc w:val="left"/>
      <w:lvlText w:val="•"/>
      <w:numFmt w:val="bullet"/>
      <w:start w:val="1"/>
    </w:lvl>
  </w:abstractNum>
  <w:abstractNum w:abstractNumId="34">
    <w:nsid w:val="519E3149"/>
    <w:multiLevelType w:val="hybridMultilevel"/>
    <w:lvl w:ilvl="0">
      <w:lvlJc w:val="left"/>
      <w:lvlText w:val="•"/>
      <w:numFmt w:val="bullet"/>
      <w:start w:val="1"/>
    </w:lvl>
  </w:abstractNum>
  <w:abstractNum w:abstractNumId="35">
    <w:nsid w:val="2C6E4AFD"/>
    <w:multiLevelType w:val="hybridMultilevel"/>
    <w:lvl w:ilvl="0">
      <w:lvlJc w:val="left"/>
      <w:lvlText w:val="•"/>
      <w:numFmt w:val="bullet"/>
      <w:start w:val="1"/>
    </w:lvl>
  </w:abstractNum>
  <w:abstractNum w:abstractNumId="36">
    <w:nsid w:val="17A1B582"/>
    <w:multiLevelType w:val="hybridMultilevel"/>
    <w:lvl w:ilvl="0">
      <w:lvlJc w:val="left"/>
      <w:lvlText w:val="•"/>
      <w:numFmt w:val="bullet"/>
      <w:start w:val="1"/>
    </w:lvl>
  </w:abstractNum>
  <w:abstractNum w:abstractNumId="37">
    <w:nsid w:val="4DF72E4E"/>
    <w:multiLevelType w:val="hybridMultilevel"/>
    <w:lvl w:ilvl="0">
      <w:lvlJc w:val="left"/>
      <w:lvlText w:val="•"/>
      <w:numFmt w:val="bullet"/>
      <w:start w:val="1"/>
    </w:lvl>
  </w:abstractNum>
  <w:abstractNum w:abstractNumId="38">
    <w:nsid w:val="5046B5A9"/>
    <w:multiLevelType w:val="hybridMultilevel"/>
    <w:lvl w:ilvl="0">
      <w:lvlJc w:val="left"/>
      <w:lvlText w:val="•"/>
      <w:numFmt w:val="bullet"/>
      <w:start w:val="1"/>
    </w:lvl>
  </w:abstractNum>
  <w:abstractNum w:abstractNumId="39">
    <w:nsid w:val="5D888A08"/>
    <w:multiLevelType w:val="hybridMultilevel"/>
    <w:lvl w:ilvl="0">
      <w:lvlJc w:val="left"/>
      <w:lvlText w:val="(%1)"/>
      <w:numFmt w:val="lowerLetter"/>
      <w:start w:val="25"/>
    </w:lvl>
  </w:abstractNum>
  <w:abstractNum w:abstractNumId="40">
    <w:nsid w:val="2A082C70"/>
    <w:multiLevelType w:val="hybridMultilevel"/>
    <w:lvl w:ilvl="0">
      <w:lvlJc w:val="left"/>
      <w:lvlText w:val="•"/>
      <w:numFmt w:val="bullet"/>
      <w:start w:val="1"/>
    </w:lvl>
  </w:abstractNum>
  <w:abstractNum w:abstractNumId="41">
    <w:nsid w:val="5EC6AFD4"/>
    <w:multiLevelType w:val="hybridMultilevel"/>
    <w:lvl w:ilvl="0">
      <w:lvlJc w:val="left"/>
      <w:lvlText w:val="•"/>
      <w:numFmt w:val="bullet"/>
      <w:start w:val="1"/>
    </w:lvl>
  </w:abstractNum>
  <w:abstractNum w:abstractNumId="42">
    <w:nsid w:val="19E21BB2"/>
    <w:multiLevelType w:val="hybridMultilevel"/>
    <w:lvl w:ilvl="0">
      <w:lvlJc w:val="left"/>
      <w:lvlText w:val="•"/>
      <w:numFmt w:val="bullet"/>
      <w:start w:val="1"/>
    </w:lvl>
  </w:abstractNum>
  <w:abstractNum w:abstractNumId="43">
    <w:nsid w:val="75E0858A"/>
    <w:multiLevelType w:val="hybridMultilevel"/>
    <w:lvl w:ilvl="0">
      <w:lvlJc w:val="left"/>
      <w:lvlText w:val="(%1)"/>
      <w:numFmt w:val="decimal"/>
      <w:start w:val="1"/>
    </w:lvl>
  </w:abstractNum>
  <w:abstractNum w:abstractNumId="44">
    <w:nsid w:val="57A61A29"/>
    <w:multiLevelType w:val="hybridMultilevel"/>
    <w:lvl w:ilvl="0">
      <w:lvlJc w:val="left"/>
      <w:lvlText w:val="(%1)"/>
      <w:numFmt w:val="decimal"/>
      <w:start w:val="1"/>
    </w:lvl>
  </w:abstractNum>
  <w:abstractNum w:abstractNumId="45">
    <w:nsid w:val="5399C654"/>
    <w:multiLevelType w:val="hybridMultilevel"/>
    <w:lvl w:ilvl="0">
      <w:lvlJc w:val="left"/>
      <w:lvlText w:val="(%1)"/>
      <w:numFmt w:val="decimal"/>
      <w:start w:val="1"/>
    </w:lvl>
  </w:abstractNum>
  <w:abstractNum w:abstractNumId="46">
    <w:nsid w:val="20EE1348"/>
    <w:multiLevelType w:val="hybridMultilevel"/>
    <w:lvl w:ilvl="0">
      <w:lvlJc w:val="left"/>
      <w:lvlText w:val="(%1)"/>
      <w:numFmt w:val="upperLetter"/>
      <w:start w:val="1"/>
    </w:lvl>
  </w:abstractNum>
  <w:abstractNum w:abstractNumId="47">
    <w:nsid w:val="4427069A"/>
    <w:multiLevelType w:val="hybridMultilevel"/>
    <w:lvl w:ilvl="0">
      <w:lvlJc w:val="left"/>
      <w:lvlText w:val="(%1)"/>
      <w:numFmt w:val="upperLetter"/>
      <w:start w:val="1"/>
    </w:lvl>
  </w:abstractNum>
  <w:abstractNum w:abstractNumId="48">
    <w:nsid w:val="B37E80A"/>
    <w:multiLevelType w:val="hybridMultilevel"/>
    <w:lvl w:ilvl="0">
      <w:lvlJc w:val="left"/>
      <w:lvlText w:val="(%1)"/>
      <w:numFmt w:val="decimal"/>
      <w:start w:val="1"/>
    </w:lvl>
  </w:abstractNum>
  <w:abstractNum w:abstractNumId="49">
    <w:nsid w:val="2157F6BC"/>
    <w:multiLevelType w:val="hybridMultilevel"/>
    <w:lvl w:ilvl="0">
      <w:lvlJc w:val="left"/>
      <w:lvlText w:val="•"/>
      <w:numFmt w:val="bullet"/>
      <w:start w:val="1"/>
    </w:lvl>
  </w:abstractNum>
  <w:abstractNum w:abstractNumId="50">
    <w:nsid w:val="704E1DD5"/>
    <w:multiLevelType w:val="hybridMultilevel"/>
    <w:lvl w:ilvl="0">
      <w:lvlJc w:val="left"/>
      <w:lvlText w:val="•"/>
      <w:numFmt w:val="bullet"/>
      <w:start w:val="1"/>
    </w:lvl>
  </w:abstractNum>
  <w:abstractNum w:abstractNumId="51">
    <w:nsid w:val="57D2F10E"/>
    <w:multiLevelType w:val="hybridMultilevel"/>
    <w:lvl w:ilvl="0">
      <w:lvlJc w:val="left"/>
      <w:lvlText w:val="•"/>
      <w:numFmt w:val="bullet"/>
      <w:start w:val="1"/>
    </w:lvl>
  </w:abstractNum>
  <w:abstractNum w:abstractNumId="52">
    <w:nsid w:val="BFFAE18"/>
    <w:multiLevelType w:val="hybridMultilevel"/>
    <w:lvl w:ilvl="0">
      <w:lvlJc w:val="left"/>
      <w:lvlText w:val="%1."/>
      <w:numFmt w:val="decimal"/>
      <w:start w:val="1"/>
    </w:lvl>
  </w:abstractNum>
  <w:abstractNum w:abstractNumId="53">
    <w:nsid w:val="E3E47A8"/>
    <w:multiLevelType w:val="hybridMultilevel"/>
    <w:lvl w:ilvl="0">
      <w:lvlJc w:val="left"/>
      <w:lvlText w:val="•"/>
      <w:numFmt w:val="bullet"/>
      <w:start w:val="1"/>
    </w:lvl>
  </w:abstractNum>
  <w:abstractNum w:abstractNumId="54">
    <w:nsid w:val="2E48F04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49D0FEAC"/>
    <w:multiLevelType w:val="hybridMultilevel"/>
    <w:lvl w:ilvl="0">
      <w:lvlJc w:val="left"/>
      <w:lvlText w:val="•"/>
      <w:numFmt w:val="bullet"/>
      <w:start w:val="1"/>
    </w:lvl>
  </w:abstractNum>
  <w:abstractNum w:abstractNumId="56">
    <w:nsid w:val="4BEE5A5B"/>
    <w:multiLevelType w:val="hybridMultilevel"/>
    <w:lvl w:ilvl="0">
      <w:lvlJc w:val="left"/>
      <w:lvlText w:val="•"/>
      <w:numFmt w:val="bullet"/>
      <w:start w:val="1"/>
    </w:lvl>
  </w:abstractNum>
  <w:abstractNum w:abstractNumId="57">
    <w:nsid w:val="5551B9F3"/>
    <w:multiLevelType w:val="hybridMultilevel"/>
    <w:lvl w:ilvl="0">
      <w:lvlJc w:val="left"/>
      <w:lvlText w:val="(%1)"/>
      <w:numFmt w:val="lowerLetter"/>
      <w:start w:val="3"/>
    </w:lvl>
  </w:abstractNum>
  <w:abstractNum w:abstractNumId="58">
    <w:nsid w:val="24F6AB8E"/>
    <w:multiLevelType w:val="hybridMultilevel"/>
    <w:lvl w:ilvl="0">
      <w:lvlJc w:val="left"/>
      <w:lvlText w:val="•"/>
      <w:numFmt w:val="bullet"/>
      <w:start w:val="1"/>
    </w:lvl>
  </w:abstractNum>
  <w:abstractNum w:abstractNumId="59">
    <w:nsid w:val="634C574C"/>
    <w:multiLevelType w:val="hybridMultilevel"/>
    <w:lvl w:ilvl="0">
      <w:lvlJc w:val="left"/>
      <w:lvlText w:val="•"/>
      <w:numFmt w:val="bullet"/>
      <w:start w:val="1"/>
    </w:lvl>
  </w:abstractNum>
  <w:abstractNum w:abstractNumId="60">
    <w:nsid w:val="24E99DD7"/>
    <w:multiLevelType w:val="hybridMultilevel"/>
    <w:lvl w:ilvl="0">
      <w:lvlJc w:val="left"/>
      <w:lvlText w:val="•"/>
      <w:numFmt w:val="bullet"/>
      <w:start w:val="1"/>
    </w:lvl>
  </w:abstractNum>
  <w:abstractNum w:abstractNumId="61">
    <w:nsid w:val="2A31B62D"/>
    <w:multiLevelType w:val="hybridMultilevel"/>
    <w:lvl w:ilvl="0">
      <w:lvlJc w:val="left"/>
      <w:lvlText w:val="(%1)"/>
      <w:numFmt w:val="lowerLetter"/>
      <w:start w:val="25"/>
    </w:lvl>
  </w:abstractNum>
  <w:abstractNum w:abstractNumId="62">
    <w:nsid w:val="1849C29B"/>
    <w:multiLevelType w:val="hybridMultilevel"/>
    <w:lvl w:ilvl="0">
      <w:lvlJc w:val="left"/>
      <w:lvlText w:val="•"/>
      <w:numFmt w:val="bullet"/>
      <w:start w:val="1"/>
    </w:lvl>
  </w:abstractNum>
  <w:abstractNum w:abstractNumId="63">
    <w:nsid w:val="7DFF9D09"/>
    <w:multiLevelType w:val="hybridMultilevel"/>
    <w:lvl w:ilvl="0">
      <w:lvlJc w:val="left"/>
      <w:lvlText w:val="*"/>
      <w:numFmt w:val="bullet"/>
      <w:start w:val="1"/>
    </w:lvl>
  </w:abstractNum>
  <w:abstractNum w:abstractNumId="64">
    <w:nsid w:val="754342"/>
    <w:multiLevelType w:val="hybridMultilevel"/>
    <w:lvl w:ilvl="0">
      <w:lvlJc w:val="left"/>
      <w:lvlText w:val="**"/>
      <w:numFmt w:val="bullet"/>
      <w:start w:val="1"/>
    </w:lvl>
  </w:abstractNum>
  <w:abstractNum w:abstractNumId="65">
    <w:nsid w:val="69E7F3E5"/>
    <w:multiLevelType w:val="hybridMultilevel"/>
    <w:lvl w:ilvl="0">
      <w:lvlJc w:val="left"/>
      <w:lvlText w:val="•"/>
      <w:numFmt w:val="bullet"/>
      <w:start w:val="1"/>
    </w:lvl>
  </w:abstractNum>
  <w:abstractNum w:abstractNumId="66">
    <w:nsid w:val="2A6DE806"/>
    <w:multiLevelType w:val="hybridMultilevel"/>
    <w:lvl w:ilvl="0">
      <w:lvlJc w:val="left"/>
      <w:lvlText w:val="•"/>
      <w:numFmt w:val="bullet"/>
      <w:start w:val="1"/>
    </w:lvl>
  </w:abstractNum>
  <w:abstractNum w:abstractNumId="67">
    <w:nsid w:val="1816F8C4"/>
    <w:multiLevelType w:val="hybridMultilevel"/>
    <w:lvl w:ilvl="0">
      <w:lvlJc w:val="left"/>
      <w:lvlText w:val="•"/>
      <w:numFmt w:val="bullet"/>
      <w:start w:val="1"/>
    </w:lvl>
  </w:abstractNum>
  <w:abstractNum w:abstractNumId="68">
    <w:nsid w:val="37DF2233"/>
    <w:multiLevelType w:val="hybridMultilevel"/>
    <w:lvl w:ilvl="0">
      <w:lvlJc w:val="left"/>
      <w:lvlText w:val="•"/>
      <w:numFmt w:val="bullet"/>
      <w:start w:val="1"/>
    </w:lvl>
  </w:abstractNum>
  <w:abstractNum w:abstractNumId="69">
    <w:nsid w:val="7AB49DAF"/>
    <w:multiLevelType w:val="hybridMultilevel"/>
    <w:lvl w:ilvl="0">
      <w:lvlJc w:val="left"/>
      <w:lvlText w:val="•"/>
      <w:numFmt w:val="bullet"/>
      <w:start w:val="1"/>
    </w:lvl>
  </w:abstractNum>
  <w:abstractNum w:abstractNumId="70">
    <w:nsid w:val="759F82CD"/>
    <w:multiLevelType w:val="hybridMultilevel"/>
    <w:lvl w:ilvl="0">
      <w:lvlJc w:val="left"/>
      <w:lvlText w:val="•"/>
      <w:numFmt w:val="bullet"/>
      <w:start w:val="1"/>
    </w:lvl>
  </w:abstractNum>
  <w:abstractNum w:abstractNumId="71">
    <w:nsid w:val="61E74EA3"/>
    <w:multiLevelType w:val="hybridMultilevel"/>
    <w:lvl w:ilvl="0">
      <w:lvlJc w:val="left"/>
      <w:lvlText w:val="•"/>
      <w:numFmt w:val="bullet"/>
      <w:start w:val="1"/>
    </w:lvl>
  </w:abstractNum>
  <w:abstractNum w:abstractNumId="72">
    <w:nsid w:val="597B4D84"/>
    <w:multiLevelType w:val="hybridMultilevel"/>
    <w:lvl w:ilvl="0">
      <w:lvlJc w:val="left"/>
      <w:lvlText w:val="•"/>
      <w:numFmt w:val="bullet"/>
      <w:start w:val="1"/>
    </w:lvl>
  </w:abstractNum>
  <w:abstractNum w:abstractNumId="73">
    <w:nsid w:val="F819E7F"/>
    <w:multiLevelType w:val="hybridMultilevel"/>
    <w:lvl w:ilvl="0">
      <w:lvlJc w:val="left"/>
      <w:lvlText w:val="•"/>
      <w:numFmt w:val="bullet"/>
      <w:start w:val="1"/>
    </w:lvl>
  </w:abstractNum>
  <w:abstractNum w:abstractNumId="74">
    <w:nsid w:val="57C7D42D"/>
    <w:multiLevelType w:val="hybridMultilevel"/>
    <w:lvl w:ilvl="0">
      <w:lvlJc w:val="left"/>
      <w:lvlText w:val="•"/>
      <w:numFmt w:val="bullet"/>
      <w:start w:val="1"/>
    </w:lvl>
  </w:abstractNum>
  <w:abstractNum w:abstractNumId="75">
    <w:nsid w:val="312167AD"/>
    <w:multiLevelType w:val="hybridMultilevel"/>
    <w:lvl w:ilvl="0">
      <w:lvlJc w:val="left"/>
      <w:lvlText w:val="•"/>
      <w:numFmt w:val="bullet"/>
      <w:start w:val="1"/>
    </w:lvl>
  </w:abstractNum>
  <w:abstractNum w:abstractNumId="76">
    <w:nsid w:val="631B64D4"/>
    <w:multiLevelType w:val="hybridMultilevel"/>
    <w:lvl w:ilvl="0">
      <w:lvlJc w:val="left"/>
      <w:lvlText w:val="*"/>
      <w:numFmt w:val="bullet"/>
      <w:start w:val="1"/>
    </w:lvl>
  </w:abstractNum>
  <w:abstractNum w:abstractNumId="77">
    <w:nsid w:val="78B5E776"/>
    <w:multiLevelType w:val="hybridMultilevel"/>
    <w:lvl w:ilvl="0">
      <w:lvlJc w:val="left"/>
      <w:lvlText w:val="**"/>
      <w:numFmt w:val="bullet"/>
      <w:start w:val="1"/>
    </w:lvl>
  </w:abstractNum>
  <w:abstractNum w:abstractNumId="78">
    <w:nsid w:val="75486E47"/>
    <w:multiLevelType w:val="hybridMultilevel"/>
    <w:lvl w:ilvl="0">
      <w:lvlJc w:val="left"/>
      <w:lvlText w:val="•"/>
      <w:numFmt w:val="bullet"/>
      <w:start w:val="1"/>
    </w:lvl>
  </w:abstractNum>
  <w:abstractNum w:abstractNumId="79">
    <w:nsid w:val="6E534CDE"/>
    <w:multiLevelType w:val="hybridMultilevel"/>
    <w:lvl w:ilvl="0">
      <w:lvlJc w:val="left"/>
      <w:lvlText w:val="•"/>
      <w:numFmt w:val="bullet"/>
      <w:start w:val="1"/>
    </w:lvl>
    <w:lvl w:ilvl="1">
      <w:lvlJc w:val="left"/>
      <w:lvlText w:val="•"/>
      <w:numFmt w:val="bullet"/>
      <w:start w:val="1"/>
    </w:lvl>
  </w:abstractNum>
  <w:abstractNum w:abstractNumId="80">
    <w:nsid w:val="1A0DDE32"/>
    <w:multiLevelType w:val="hybridMultilevel"/>
    <w:lvl w:ilvl="0">
      <w:lvlJc w:val="left"/>
      <w:lvlText w:val="•"/>
      <w:numFmt w:val="bullet"/>
      <w:start w:val="1"/>
    </w:lvl>
    <w:lvl w:ilvl="1">
      <w:lvlJc w:val="left"/>
      <w:lvlText w:val="•"/>
      <w:numFmt w:val="bullet"/>
      <w:start w:val="1"/>
    </w:lvl>
  </w:abstractNum>
  <w:abstractNum w:abstractNumId="81">
    <w:nsid w:val="65968C1C"/>
    <w:multiLevelType w:val="hybridMultilevel"/>
    <w:lvl w:ilvl="0">
      <w:lvlJc w:val="left"/>
      <w:lvlText w:val="*"/>
      <w:numFmt w:val="bullet"/>
      <w:start w:val="1"/>
    </w:lvl>
  </w:abstractNum>
  <w:abstractNum w:abstractNumId="82">
    <w:nsid w:val="46263DEC"/>
    <w:multiLevelType w:val="hybridMultilevel"/>
    <w:lvl w:ilvl="0">
      <w:lvlJc w:val="left"/>
      <w:lvlText w:val="*"/>
      <w:numFmt w:val="bullet"/>
      <w:start w:val="1"/>
    </w:lvl>
  </w:abstractNum>
  <w:abstractNum w:abstractNumId="83">
    <w:nsid w:val="260D8C4A"/>
    <w:multiLevelType w:val="hybridMultilevel"/>
    <w:lvl w:ilvl="0">
      <w:lvlJc w:val="left"/>
      <w:lvlText w:val="•"/>
      <w:numFmt w:val="bullet"/>
      <w:start w:val="1"/>
    </w:lvl>
    <w:lvl w:ilvl="1">
      <w:lvlJc w:val="left"/>
      <w:lvlText w:val="•"/>
      <w:numFmt w:val="bullet"/>
      <w:start w:val="1"/>
    </w:lvl>
  </w:abstractNum>
  <w:abstractNum w:abstractNumId="84">
    <w:nsid w:val="73D4D3C4"/>
    <w:multiLevelType w:val="hybridMultilevel"/>
    <w:lvl w:ilvl="0">
      <w:lvlJc w:val="left"/>
      <w:lvlText w:val="•"/>
      <w:numFmt w:val="bullet"/>
      <w:start w:val="1"/>
    </w:lvl>
    <w:lvl w:ilvl="1">
      <w:lvlJc w:val="left"/>
      <w:lvlText w:val="•"/>
      <w:numFmt w:val="bullet"/>
      <w:start w:val="1"/>
    </w:lvl>
  </w:abstractNum>
  <w:abstractNum w:abstractNumId="85">
    <w:nsid w:val="746F2E30"/>
    <w:multiLevelType w:val="hybridMultilevel"/>
    <w:lvl w:ilvl="0">
      <w:lvlJc w:val="left"/>
      <w:lvlText w:val="•"/>
      <w:numFmt w:val="bullet"/>
      <w:start w:val="1"/>
    </w:lvl>
  </w:abstractNum>
  <w:abstractNum w:abstractNumId="86">
    <w:nsid w:val="6FDE8AF6"/>
    <w:multiLevelType w:val="hybridMultilevel"/>
    <w:lvl w:ilvl="0">
      <w:lvlJc w:val="left"/>
      <w:lvlText w:val="•"/>
      <w:numFmt w:val="bullet"/>
      <w:start w:val="1"/>
    </w:lvl>
  </w:abstractNum>
  <w:abstractNum w:abstractNumId="87">
    <w:nsid w:val="3FC32E20"/>
    <w:multiLevelType w:val="hybridMultilevel"/>
    <w:lvl w:ilvl="0">
      <w:lvlJc w:val="left"/>
      <w:lvlText w:val="•"/>
      <w:numFmt w:val="bullet"/>
      <w:start w:val="1"/>
    </w:lvl>
    <w:lvl w:ilvl="1">
      <w:lvlJc w:val="left"/>
      <w:lvlText w:val="•"/>
      <w:numFmt w:val="bullet"/>
      <w:start w:val="1"/>
    </w:lvl>
  </w:abstractNum>
  <w:abstractNum w:abstractNumId="88">
    <w:nsid w:val="49C0E823"/>
    <w:multiLevelType w:val="hybridMultilevel"/>
    <w:lvl w:ilvl="0">
      <w:lvlJc w:val="left"/>
      <w:lvlText w:val="•"/>
      <w:numFmt w:val="bullet"/>
      <w:start w:val="1"/>
    </w:lvl>
    <w:lvl w:ilvl="1">
      <w:lvlJc w:val="left"/>
      <w:lvlText w:val="•"/>
      <w:numFmt w:val="bullet"/>
      <w:start w:val="1"/>
    </w:lvl>
  </w:abstractNum>
  <w:abstractNum w:abstractNumId="89">
    <w:nsid w:val="14D53685"/>
    <w:multiLevelType w:val="hybridMultilevel"/>
    <w:lvl w:ilvl="0">
      <w:lvlJc w:val="left"/>
      <w:lvlText w:val="•"/>
      <w:numFmt w:val="bullet"/>
      <w:start w:val="1"/>
    </w:lvl>
  </w:abstractNum>
  <w:abstractNum w:abstractNumId="90">
    <w:nsid w:val="230F856C"/>
    <w:multiLevelType w:val="hybridMultilevel"/>
    <w:lvl w:ilvl="0">
      <w:lvlJc w:val="left"/>
      <w:lvlText w:val="•"/>
      <w:numFmt w:val="bullet"/>
      <w:start w:val="1"/>
    </w:lvl>
  </w:abstractNum>
  <w:abstractNum w:abstractNumId="91">
    <w:nsid w:val="6EAA85FB"/>
    <w:multiLevelType w:val="hybridMultilevel"/>
    <w:lvl w:ilvl="0">
      <w:lvlJc w:val="left"/>
      <w:lvlText w:val="•"/>
      <w:numFmt w:val="bullet"/>
      <w:start w:val="1"/>
    </w:lvl>
  </w:abstractNum>
  <w:abstractNum w:abstractNumId="92">
    <w:nsid w:val="3F06ECB2"/>
    <w:multiLevelType w:val="hybridMultilevel"/>
    <w:lvl w:ilvl="0">
      <w:lvlJc w:val="left"/>
      <w:lvlText w:val="•"/>
      <w:numFmt w:val="bullet"/>
      <w:start w:val="1"/>
    </w:lvl>
    <w:lvl w:ilvl="1">
      <w:lvlJc w:val="left"/>
      <w:lvlText w:val="•"/>
      <w:numFmt w:val="bullet"/>
      <w:start w:val="1"/>
    </w:lvl>
  </w:abstractNum>
  <w:abstractNum w:abstractNumId="93">
    <w:nsid w:val="3B594807"/>
    <w:multiLevelType w:val="hybridMultilevel"/>
    <w:lvl w:ilvl="0">
      <w:lvlJc w:val="left"/>
      <w:lvlText w:val="•"/>
      <w:numFmt w:val="bullet"/>
      <w:start w:val="1"/>
    </w:lvl>
    <w:lvl w:ilvl="1">
      <w:lvlJc w:val="left"/>
      <w:lvlText w:val="•"/>
      <w:numFmt w:val="bullet"/>
      <w:start w:val="1"/>
    </w:lvl>
  </w:abstractNum>
  <w:abstractNum w:abstractNumId="94">
    <w:nsid w:val="6CAA2304"/>
    <w:multiLevelType w:val="hybridMultilevel"/>
    <w:lvl w:ilvl="0">
      <w:lvlJc w:val="left"/>
      <w:lvlText w:val="*"/>
      <w:numFmt w:val="bullet"/>
      <w:start w:val="1"/>
    </w:lvl>
  </w:abstractNum>
  <w:abstractNum w:abstractNumId="95">
    <w:nsid w:val="3F7C2FF4"/>
    <w:multiLevelType w:val="hybridMultilevel"/>
    <w:lvl w:ilvl="0">
      <w:lvlJc w:val="left"/>
      <w:lvlText w:val="•"/>
      <w:numFmt w:val="bullet"/>
      <w:start w:val="1"/>
    </w:lvl>
  </w:abstractNum>
  <w:abstractNum w:abstractNumId="96">
    <w:nsid w:val="25413BEC"/>
    <w:multiLevelType w:val="hybridMultilevel"/>
    <w:lvl w:ilvl="0">
      <w:lvlJc w:val="left"/>
      <w:lvlText w:val="•"/>
      <w:numFmt w:val="bullet"/>
      <w:start w:val="1"/>
    </w:lvl>
  </w:abstractNum>
  <w:abstractNum w:abstractNumId="97">
    <w:nsid w:val="17180B0B"/>
    <w:multiLevelType w:val="hybridMultilevel"/>
    <w:lvl w:ilvl="0">
      <w:lvlJc w:val="left"/>
      <w:lvlText w:val="•"/>
      <w:numFmt w:val="bullet"/>
      <w:start w:val="1"/>
    </w:lvl>
  </w:abstractNum>
  <w:abstractNum w:abstractNumId="98">
    <w:nsid w:val="579328B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9">
    <w:nsid w:val="5D205E20"/>
    <w:multiLevelType w:val="hybridMultilevel"/>
    <w:lvl w:ilvl="0">
      <w:lvlJc w:val="left"/>
      <w:lvlText w:val="%1."/>
      <w:numFmt w:val="decimal"/>
      <w:start w:val="1"/>
    </w:lvl>
  </w:abstractNum>
  <w:abstractNum w:abstractNumId="100">
    <w:nsid w:val="11CCA8BA"/>
    <w:multiLevelType w:val="hybridMultilevel"/>
    <w:lvl w:ilvl="0">
      <w:lvlJc w:val="left"/>
      <w:lvlText w:val="•"/>
      <w:numFmt w:val="bullet"/>
      <w:start w:val="1"/>
    </w:lvl>
  </w:abstractNum>
  <w:abstractNum w:abstractNumId="101">
    <w:nsid w:val="4D32AB86"/>
    <w:multiLevelType w:val="hybridMultilevel"/>
    <w:lvl w:ilvl="0">
      <w:lvlJc w:val="left"/>
      <w:lvlText w:val="•"/>
      <w:numFmt w:val="bullet"/>
      <w:start w:val="1"/>
    </w:lvl>
  </w:abstractNum>
  <w:abstractNum w:abstractNumId="102">
    <w:nsid w:val="3F07ACC3"/>
    <w:multiLevelType w:val="hybridMultilevel"/>
    <w:lvl w:ilvl="0">
      <w:lvlJc w:val="left"/>
      <w:lvlText w:val="•"/>
      <w:numFmt w:val="bullet"/>
      <w:start w:val="1"/>
    </w:lvl>
  </w:abstractNum>
  <w:abstractNum w:abstractNumId="103">
    <w:nsid w:val="6B47F63E"/>
    <w:multiLevelType w:val="hybridMultilevel"/>
    <w:lvl w:ilvl="0">
      <w:lvlJc w:val="left"/>
      <w:lvlText w:val="•"/>
      <w:numFmt w:val="bullet"/>
      <w:start w:val="1"/>
    </w:lvl>
  </w:abstractNum>
  <w:abstractNum w:abstractNumId="104">
    <w:nsid w:val="5CB44A05"/>
    <w:multiLevelType w:val="hybridMultilevel"/>
    <w:lvl w:ilvl="0">
      <w:lvlJc w:val="left"/>
      <w:lvlText w:val="•"/>
      <w:numFmt w:val="bullet"/>
      <w:start w:val="1"/>
    </w:lvl>
  </w:abstractNum>
  <w:abstractNum w:abstractNumId="105">
    <w:nsid w:val="16CF80F1"/>
    <w:multiLevelType w:val="hybridMultilevel"/>
    <w:lvl w:ilvl="0">
      <w:lvlJc w:val="left"/>
      <w:lvlText w:val="•"/>
      <w:numFmt w:val="bullet"/>
      <w:start w:val="1"/>
    </w:lvl>
  </w:abstractNum>
  <w:abstractNum w:abstractNumId="106">
    <w:nsid w:val="1C695DEC"/>
    <w:multiLevelType w:val="hybridMultilevel"/>
    <w:lvl w:ilvl="0">
      <w:lvlJc w:val="left"/>
      <w:lvlText w:val="•"/>
      <w:numFmt w:val="bullet"/>
      <w:start w:val="1"/>
    </w:lvl>
  </w:abstractNum>
  <w:abstractNum w:abstractNumId="107">
    <w:nsid w:val="3FCFAED9"/>
    <w:multiLevelType w:val="hybridMultilevel"/>
    <w:lvl w:ilvl="0">
      <w:lvlJc w:val="left"/>
      <w:lvlText w:val="•"/>
      <w:numFmt w:val="bullet"/>
      <w:start w:val="1"/>
    </w:lvl>
  </w:abstractNum>
  <w:abstractNum w:abstractNumId="108">
    <w:nsid w:val="F856867"/>
    <w:multiLevelType w:val="hybridMultilevel"/>
    <w:lvl w:ilvl="0">
      <w:lvlJc w:val="left"/>
      <w:lvlText w:val="•"/>
      <w:numFmt w:val="bullet"/>
      <w:start w:val="1"/>
    </w:lvl>
    <w:lvl w:ilvl="1">
      <w:lvlJc w:val="left"/>
      <w:lvlText w:val="•"/>
      <w:numFmt w:val="bullet"/>
      <w:start w:val="1"/>
    </w:lvl>
  </w:abstractNum>
  <w:abstractNum w:abstractNumId="109">
    <w:nsid w:val="11B1CC33"/>
    <w:multiLevelType w:val="hybridMultilevel"/>
    <w:lvl w:ilvl="0">
      <w:lvlJc w:val="left"/>
      <w:lvlText w:val="•"/>
      <w:numFmt w:val="bullet"/>
      <w:start w:val="1"/>
    </w:lvl>
  </w:abstractNum>
  <w:abstractNum w:abstractNumId="110">
    <w:nsid w:val="2E22FBB7"/>
    <w:multiLevelType w:val="hybridMultilevel"/>
    <w:lvl w:ilvl="0">
      <w:lvlJc w:val="left"/>
      <w:lvlText w:val="•"/>
      <w:numFmt w:val="bullet"/>
      <w:start w:val="1"/>
    </w:lvl>
    <w:lvl w:ilvl="1">
      <w:lvlJc w:val="left"/>
      <w:lvlText w:val="•"/>
      <w:numFmt w:val="bullet"/>
      <w:start w:val="1"/>
    </w:lvl>
  </w:abstractNum>
  <w:abstractNum w:abstractNumId="111">
    <w:nsid w:val="29934699"/>
    <w:multiLevelType w:val="hybridMultilevel"/>
    <w:lvl w:ilvl="0">
      <w:lvlJc w:val="left"/>
      <w:lvlText w:val="•"/>
      <w:numFmt w:val="bullet"/>
      <w:start w:val="1"/>
    </w:lvl>
    <w:lvl w:ilvl="1">
      <w:lvlJc w:val="left"/>
      <w:lvlText w:val="•"/>
      <w:numFmt w:val="bullet"/>
      <w:start w:val="1"/>
    </w:lvl>
  </w:abstractNum>
  <w:abstractNum w:abstractNumId="112">
    <w:nsid w:val="77485850"/>
    <w:multiLevelType w:val="hybridMultilevel"/>
    <w:lvl w:ilvl="0">
      <w:lvlJc w:val="left"/>
      <w:lvlText w:val="•"/>
      <w:numFmt w:val="bullet"/>
      <w:start w:val="1"/>
    </w:lvl>
    <w:lvl w:ilvl="1">
      <w:lvlJc w:val="left"/>
      <w:lvlText w:val="•"/>
      <w:numFmt w:val="bullet"/>
      <w:start w:val="1"/>
    </w:lvl>
  </w:abstractNum>
  <w:abstractNum w:abstractNumId="113">
    <w:nsid w:val="744939A3"/>
    <w:multiLevelType w:val="hybridMultilevel"/>
    <w:lvl w:ilvl="0">
      <w:lvlJc w:val="left"/>
      <w:lvlText w:val="•"/>
      <w:numFmt w:val="bullet"/>
      <w:start w:val="1"/>
    </w:lvl>
  </w:abstractNum>
  <w:abstractNum w:abstractNumId="114">
    <w:nsid w:val="4FA0D2E3"/>
    <w:multiLevelType w:val="hybridMultilevel"/>
    <w:lvl w:ilvl="0">
      <w:lvlJc w:val="left"/>
      <w:lvlText w:val="•"/>
      <w:numFmt w:val="bullet"/>
      <w:start w:val="1"/>
    </w:lvl>
    <w:lvl w:ilvl="1">
      <w:lvlJc w:val="left"/>
      <w:lvlText w:val="•"/>
      <w:numFmt w:val="bullet"/>
      <w:start w:val="1"/>
    </w:lvl>
  </w:abstractNum>
  <w:abstractNum w:abstractNumId="115">
    <w:nsid w:val="6B1D2C14"/>
    <w:multiLevelType w:val="hybridMultilevel"/>
    <w:lvl w:ilvl="0">
      <w:lvlJc w:val="left"/>
      <w:lvlText w:val="•"/>
      <w:numFmt w:val="bullet"/>
      <w:start w:val="1"/>
    </w:lvl>
    <w:lvl w:ilvl="1">
      <w:lvlJc w:val="left"/>
      <w:lvlText w:val="•"/>
      <w:numFmt w:val="bullet"/>
      <w:start w:val="1"/>
    </w:lvl>
  </w:abstractNum>
  <w:abstractNum w:abstractNumId="116">
    <w:nsid w:val="68B867D3"/>
    <w:multiLevelType w:val="hybridMultilevel"/>
    <w:lvl w:ilvl="0">
      <w:lvlJc w:val="left"/>
      <w:lvlText w:val="•"/>
      <w:numFmt w:val="bullet"/>
      <w:start w:val="1"/>
    </w:lvl>
    <w:lvl w:ilvl="1">
      <w:lvlJc w:val="left"/>
      <w:lvlText w:val="•"/>
      <w:numFmt w:val="bullet"/>
      <w:start w:val="1"/>
    </w:lvl>
  </w:abstractNum>
  <w:abstractNum w:abstractNumId="117">
    <w:nsid w:val="3F7F5DD9"/>
    <w:multiLevelType w:val="hybridMultilevel"/>
    <w:lvl w:ilvl="0">
      <w:lvlJc w:val="left"/>
      <w:lvlText w:val="•"/>
      <w:numFmt w:val="bullet"/>
      <w:start w:val="1"/>
    </w:lvl>
    <w:lvl w:ilvl="1">
      <w:lvlJc w:val="left"/>
      <w:lvlText w:val="•"/>
      <w:numFmt w:val="bullet"/>
      <w:start w:val="1"/>
    </w:lvl>
  </w:abstractNum>
  <w:abstractNum w:abstractNumId="118">
    <w:nsid w:val="2AE05A34"/>
    <w:multiLevelType w:val="hybridMultilevel"/>
    <w:lvl w:ilvl="0">
      <w:lvlJc w:val="left"/>
      <w:lvlText w:val="(%1)"/>
      <w:numFmt w:val="lowerRoman"/>
      <w:start w:val="3"/>
    </w:lvl>
  </w:abstractNum>
  <w:abstractNum w:abstractNumId="119">
    <w:nsid w:val="32794FF7"/>
    <w:multiLevelType w:val="hybridMultilevel"/>
    <w:lvl w:ilvl="0">
      <w:lvlJc w:val="left"/>
      <w:lvlText w:val="(%1)"/>
      <w:numFmt w:val="lowerRoman"/>
      <w:start w:val="3"/>
    </w:lvl>
  </w:abstractNum>
  <w:abstractNum w:abstractNumId="120">
    <w:nsid w:val="5454945E"/>
    <w:multiLevelType w:val="hybridMultilevel"/>
    <w:lvl w:ilvl="0">
      <w:lvlJc w:val="left"/>
      <w:lvlText w:val="(%1)"/>
      <w:numFmt w:val="lowerLetter"/>
      <w:start w:val="25"/>
    </w:lvl>
  </w:abstractNum>
  <w:abstractNum w:abstractNumId="121">
    <w:nsid w:val="4DEFDFA0"/>
    <w:multiLevelType w:val="hybridMultilevel"/>
    <w:lvl w:ilvl="0">
      <w:lvlJc w:val="left"/>
      <w:lvlText w:val="(%1)"/>
      <w:numFmt w:val="lowerRoman"/>
      <w:start w:val="3"/>
    </w:lvl>
  </w:abstractNum>
  <w:abstractNum w:abstractNumId="122">
    <w:nsid w:val="2123D5F2"/>
    <w:multiLevelType w:val="hybridMultilevel"/>
    <w:lvl w:ilvl="0">
      <w:lvlJc w:val="left"/>
      <w:lvlText w:val="(%1)"/>
      <w:numFmt w:val="lowerRoman"/>
      <w:start w:val="3"/>
    </w:lvl>
  </w:abstractNum>
  <w:abstractNum w:abstractNumId="123">
    <w:nsid w:val="135B8110"/>
    <w:multiLevelType w:val="hybridMultilevel"/>
    <w:lvl w:ilvl="0">
      <w:lvlJc w:val="left"/>
      <w:lvlText w:val="•"/>
      <w:numFmt w:val="bullet"/>
      <w:start w:val="1"/>
    </w:lvl>
  </w:abstractNum>
  <w:abstractNum w:abstractNumId="124">
    <w:nsid w:val="94927A8"/>
    <w:multiLevelType w:val="hybridMultilevel"/>
    <w:lvl w:ilvl="0">
      <w:lvlJc w:val="left"/>
      <w:lvlText w:val="•"/>
      <w:numFmt w:val="bullet"/>
      <w:start w:val="1"/>
    </w:lvl>
  </w:abstractNum>
  <w:abstractNum w:abstractNumId="125">
    <w:nsid w:val="DCDF8F6"/>
    <w:multiLevelType w:val="hybridMultilevel"/>
    <w:lvl w:ilvl="0">
      <w:lvlJc w:val="left"/>
      <w:lvlText w:val="•"/>
      <w:numFmt w:val="bullet"/>
      <w:start w:val="1"/>
    </w:lvl>
  </w:abstractNum>
  <w:abstractNum w:abstractNumId="126">
    <w:nsid w:val="52D7B105"/>
    <w:multiLevelType w:val="hybridMultilevel"/>
    <w:lvl w:ilvl="0">
      <w:lvlJc w:val="left"/>
      <w:lvlText w:val="•"/>
      <w:numFmt w:val="bullet"/>
      <w:start w:val="1"/>
    </w:lvl>
  </w:abstractNum>
  <w:abstractNum w:abstractNumId="127">
    <w:nsid w:val="2E8A6394"/>
    <w:multiLevelType w:val="hybridMultilevel"/>
    <w:lvl w:ilvl="0">
      <w:lvlJc w:val="left"/>
      <w:lvlText w:val="•"/>
      <w:numFmt w:val="bullet"/>
      <w:start w:val="1"/>
    </w:lvl>
  </w:abstractNum>
  <w:abstractNum w:abstractNumId="128">
    <w:nsid w:val="24E60401"/>
    <w:multiLevelType w:val="hybridMultilevel"/>
    <w:lvl w:ilvl="0">
      <w:lvlJc w:val="left"/>
      <w:lvlText w:val="•"/>
      <w:numFmt w:val="bullet"/>
      <w:start w:val="1"/>
    </w:lvl>
  </w:abstractNum>
  <w:abstractNum w:abstractNumId="129">
    <w:nsid w:val="2A6AD9BE"/>
    <w:multiLevelType w:val="hybridMultilevel"/>
    <w:lvl w:ilvl="0">
      <w:lvlJc w:val="left"/>
      <w:lvlText w:val="•"/>
      <w:numFmt w:val="bullet"/>
      <w:start w:val="1"/>
    </w:lvl>
  </w:abstractNum>
  <w:abstractNum w:abstractNumId="130">
    <w:nsid w:val="BAAC1B4"/>
    <w:multiLevelType w:val="hybridMultilevel"/>
    <w:lvl w:ilvl="0">
      <w:lvlJc w:val="left"/>
      <w:lvlText w:val="(%1)"/>
      <w:numFmt w:val="lowerRoman"/>
      <w:start w:val="1"/>
    </w:lvl>
  </w:abstractNum>
  <w:abstractNum w:abstractNumId="131">
    <w:nsid w:val="36B2ACBC"/>
    <w:multiLevelType w:val="hybridMultilevel"/>
    <w:lvl w:ilvl="0">
      <w:lvlJc w:val="left"/>
      <w:lvlText w:val="(%1)"/>
      <w:numFmt w:val="lowerRoman"/>
      <w:start w:val="4"/>
    </w:lvl>
  </w:abstractNum>
  <w:abstractNum w:abstractNumId="132">
    <w:nsid w:val="779D8544"/>
    <w:multiLevelType w:val="hybridMultilevel"/>
    <w:lvl w:ilvl="0">
      <w:lvlJc w:val="left"/>
      <w:lvlText w:val="•"/>
      <w:numFmt w:val="bullet"/>
      <w:start w:val="1"/>
    </w:lvl>
  </w:abstractNum>
  <w:abstractNum w:abstractNumId="133">
    <w:nsid w:val="4AB26E78"/>
    <w:multiLevelType w:val="hybridMultilevel"/>
    <w:lvl w:ilvl="0">
      <w:lvlJc w:val="left"/>
      <w:lvlText w:val="•"/>
      <w:numFmt w:val="bullet"/>
      <w:start w:val="1"/>
    </w:lvl>
  </w:abstractNum>
  <w:abstractNum w:abstractNumId="134">
    <w:nsid w:val="21FAA2FA"/>
    <w:multiLevelType w:val="hybridMultilevel"/>
    <w:lvl w:ilvl="0">
      <w:lvlJc w:val="left"/>
      <w:lvlText w:val="•"/>
      <w:numFmt w:val="bullet"/>
      <w:start w:val="1"/>
    </w:lvl>
  </w:abstractNum>
  <w:abstractNum w:abstractNumId="135">
    <w:nsid w:val="5451CF49"/>
    <w:multiLevelType w:val="hybridMultilevel"/>
    <w:lvl w:ilvl="0">
      <w:lvlJc w:val="left"/>
      <w:lvlText w:val="•"/>
      <w:numFmt w:val="bullet"/>
      <w:start w:val="1"/>
    </w:lvl>
  </w:abstractNum>
  <w:abstractNum w:abstractNumId="136">
    <w:nsid w:val="6181EF69"/>
    <w:multiLevelType w:val="hybridMultilevel"/>
    <w:lvl w:ilvl="0">
      <w:lvlJc w:val="left"/>
      <w:lvlText w:val="•"/>
      <w:numFmt w:val="bullet"/>
      <w:start w:val="1"/>
    </w:lvl>
  </w:abstractNum>
  <w:abstractNum w:abstractNumId="137">
    <w:nsid w:val="3E6400E6"/>
    <w:multiLevelType w:val="hybridMultilevel"/>
    <w:lvl w:ilvl="0">
      <w:lvlJc w:val="left"/>
      <w:lvlText w:val="•"/>
      <w:numFmt w:val="bullet"/>
      <w:start w:val="1"/>
    </w:lvl>
  </w:abstractNum>
  <w:abstractNum w:abstractNumId="138">
    <w:nsid w:val="14217E23"/>
    <w:multiLevelType w:val="hybridMultilevel"/>
    <w:lvl w:ilvl="0">
      <w:lvlJc w:val="left"/>
      <w:lvlText w:val="(%1)"/>
      <w:numFmt w:val="decimal"/>
      <w:start w:val="1"/>
    </w:lvl>
  </w:abstractNum>
  <w:abstractNum w:abstractNumId="139">
    <w:nsid w:val="710757D0"/>
    <w:multiLevelType w:val="hybridMultilevel"/>
    <w:lvl w:ilvl="0">
      <w:lvlJc w:val="left"/>
      <w:lvlText w:val="(%1)"/>
      <w:numFmt w:val="decimal"/>
      <w:start w:val="3"/>
    </w:lvl>
    <w:lvl w:ilvl="1">
      <w:lvlJc w:val="left"/>
      <w:lvlText w:val="(%2)"/>
      <w:numFmt w:val="lowerLetter"/>
      <w:start w:val="1"/>
    </w:lvl>
  </w:abstractNum>
  <w:abstractNum w:abstractNumId="140">
    <w:nsid w:val="5015CD1A"/>
    <w:multiLevelType w:val="hybridMultilevel"/>
    <w:lvl w:ilvl="0">
      <w:lvlJc w:val="left"/>
      <w:lvlText w:val="(%1)"/>
      <w:numFmt w:val="decimal"/>
      <w:start w:val="1"/>
    </w:lvl>
  </w:abstractNum>
  <w:abstractNum w:abstractNumId="141">
    <w:nsid w:val="424479DA"/>
    <w:multiLevelType w:val="hybridMultilevel"/>
    <w:lvl w:ilvl="0">
      <w:lvlJc w:val="left"/>
      <w:lvlText w:val="(%1)"/>
      <w:numFmt w:val="decimal"/>
      <w:start w:val="4"/>
    </w:lvl>
  </w:abstractNum>
  <w:abstractNum w:abstractNumId="142">
    <w:nsid w:val="1A9A9E69"/>
    <w:multiLevelType w:val="hybridMultilevel"/>
    <w:lvl w:ilvl="0">
      <w:lvlJc w:val="left"/>
      <w:lvlText w:val="•"/>
      <w:numFmt w:val="bullet"/>
      <w:start w:val="1"/>
    </w:lvl>
  </w:abstractNum>
  <w:abstractNum w:abstractNumId="143">
    <w:nsid w:val="475E256A"/>
    <w:multiLevelType w:val="hybridMultilevel"/>
    <w:lvl w:ilvl="0">
      <w:lvlJc w:val="left"/>
      <w:lvlText w:val="•"/>
      <w:numFmt w:val="bullet"/>
      <w:start w:val="1"/>
    </w:lvl>
  </w:abstractNum>
  <w:abstractNum w:abstractNumId="144">
    <w:nsid w:val="368DB37E"/>
    <w:multiLevelType w:val="hybridMultilevel"/>
    <w:lvl w:ilvl="0">
      <w:lvlJc w:val="left"/>
      <w:lvlText w:val="•"/>
      <w:numFmt w:val="bullet"/>
      <w:start w:val="1"/>
    </w:lvl>
  </w:abstractNum>
  <w:abstractNum w:abstractNumId="145">
    <w:nsid w:val="6A3B714C"/>
    <w:multiLevelType w:val="hybridMultilevel"/>
    <w:lvl w:ilvl="0">
      <w:lvlJc w:val="left"/>
      <w:lvlText w:val="•"/>
      <w:numFmt w:val="bullet"/>
      <w:start w:val="1"/>
    </w:lvl>
  </w:abstractNum>
  <w:abstractNum w:abstractNumId="146">
    <w:nsid w:val="327B517E"/>
    <w:multiLevelType w:val="hybridMultilevel"/>
    <w:lvl w:ilvl="0">
      <w:lvlJc w:val="left"/>
      <w:lvlText w:val="•"/>
      <w:numFmt w:val="bullet"/>
      <w:start w:val="1"/>
    </w:lvl>
  </w:abstractNum>
  <w:abstractNum w:abstractNumId="147">
    <w:nsid w:val="1F461B51"/>
    <w:multiLevelType w:val="hybridMultilevel"/>
    <w:lvl w:ilvl="0">
      <w:lvlJc w:val="left"/>
      <w:lvlText w:val="•"/>
      <w:numFmt w:val="bullet"/>
      <w:start w:val="1"/>
    </w:lvl>
  </w:abstractNum>
  <w:abstractNum w:abstractNumId="148">
    <w:nsid w:val="29BACF25"/>
    <w:multiLevelType w:val="hybridMultilevel"/>
    <w:lvl w:ilvl="0">
      <w:lvlJc w:val="left"/>
      <w:lvlText w:val="(%1)"/>
      <w:numFmt w:val="decimal"/>
      <w:start w:val="1"/>
    </w:lvl>
    <w:lvl w:ilvl="1">
      <w:lvlJc w:val="left"/>
      <w:lvlText w:val="(%2)"/>
      <w:numFmt w:val="lowerLetter"/>
      <w:start w:val="1"/>
    </w:lvl>
  </w:abstractNum>
  <w:abstractNum w:abstractNumId="149">
    <w:nsid w:val="5D5BABB3"/>
    <w:multiLevelType w:val="hybridMultilevel"/>
    <w:lvl w:ilvl="0">
      <w:lvlJc w:val="left"/>
      <w:lvlText w:val="(%1)"/>
      <w:numFmt w:val="lowerRoman"/>
      <w:start w:val="3"/>
    </w:lvl>
  </w:abstractNum>
  <w:abstractNum w:abstractNumId="150">
    <w:nsid w:val="51BF6B48"/>
    <w:multiLevelType w:val="hybridMultilevel"/>
    <w:lvl w:ilvl="0">
      <w:lvlJc w:val="left"/>
      <w:lvlText w:val="(%1)"/>
      <w:numFmt w:val="lowerLetter"/>
      <w:start w:val="4"/>
    </w:lvl>
  </w:abstractNum>
  <w:abstractNum w:abstractNumId="151">
    <w:nsid w:val="7E0F6384"/>
    <w:multiLevelType w:val="hybridMultilevel"/>
    <w:lvl w:ilvl="0">
      <w:lvlJc w:val="left"/>
      <w:lvlText w:val="•"/>
      <w:numFmt w:val="bullet"/>
      <w:start w:val="1"/>
    </w:lvl>
  </w:abstractNum>
  <w:abstractNum w:abstractNumId="152">
    <w:nsid w:val="2B4B8B53"/>
    <w:multiLevelType w:val="hybridMultilevel"/>
    <w:lvl w:ilvl="0">
      <w:lvlJc w:val="left"/>
      <w:lvlText w:val="•"/>
      <w:numFmt w:val="bullet"/>
      <w:start w:val="1"/>
    </w:lvl>
  </w:abstractNum>
  <w:abstractNum w:abstractNumId="153">
    <w:nsid w:val="72E3413A"/>
    <w:multiLevelType w:val="hybridMultilevel"/>
    <w:lvl w:ilvl="0">
      <w:lvlJc w:val="left"/>
      <w:lvlText w:val="(%1)"/>
      <w:numFmt w:val="lowerRoman"/>
      <w:start w:val="2"/>
    </w:lvl>
  </w:abstractNum>
  <w:abstractNum w:abstractNumId="154">
    <w:nsid w:val="116AE494"/>
    <w:multiLevelType w:val="hybridMultilevel"/>
    <w:lvl w:ilvl="0">
      <w:lvlJc w:val="left"/>
      <w:lvlText w:val="•"/>
      <w:numFmt w:val="bullet"/>
      <w:start w:val="1"/>
    </w:lvl>
  </w:abstractNum>
  <w:abstractNum w:abstractNumId="155">
    <w:nsid w:val="3494B2FB"/>
    <w:multiLevelType w:val="hybridMultilevel"/>
    <w:lvl w:ilvl="0">
      <w:lvlJc w:val="left"/>
      <w:lvlText w:val="*"/>
      <w:numFmt w:val="bullet"/>
      <w:start w:val="1"/>
    </w:lvl>
  </w:abstractNum>
  <w:abstractNum w:abstractNumId="156">
    <w:nsid w:val="B13A31"/>
    <w:multiLevelType w:val="hybridMultilevel"/>
    <w:lvl w:ilvl="0">
      <w:lvlJc w:val="left"/>
      <w:lvlText w:val="(%1)"/>
      <w:numFmt w:val="decimal"/>
      <w:start w:val="1"/>
    </w:lvl>
  </w:abstractNum>
  <w:abstractNum w:abstractNumId="157">
    <w:nsid w:val="64429599"/>
    <w:multiLevelType w:val="hybridMultilevel"/>
    <w:lvl w:ilvl="0">
      <w:lvlJc w:val="left"/>
      <w:lvlText w:val="(%1)"/>
      <w:numFmt w:val="decimal"/>
      <w:start w:val="5"/>
    </w:lvl>
  </w:abstractNum>
  <w:abstractNum w:abstractNumId="158">
    <w:nsid w:val="631F1690"/>
    <w:multiLevelType w:val="hybridMultilevel"/>
    <w:lvl w:ilvl="0">
      <w:lvlJc w:val="left"/>
      <w:lvlText w:val="*"/>
      <w:numFmt w:val="bullet"/>
      <w:start w:val="1"/>
    </w:lvl>
  </w:abstractNum>
  <w:abstractNum w:abstractNumId="159">
    <w:nsid w:val="25973E32"/>
    <w:multiLevelType w:val="hybridMultilevel"/>
    <w:lvl w:ilvl="0">
      <w:lvlJc w:val="left"/>
      <w:lvlText w:val="*"/>
      <w:numFmt w:val="bullet"/>
      <w:start w:val="1"/>
    </w:lvl>
  </w:abstractNum>
  <w:abstractNum w:abstractNumId="160">
    <w:nsid w:val="EAD6F57"/>
    <w:multiLevelType w:val="hybridMultilevel"/>
    <w:lvl w:ilvl="0">
      <w:lvlJc w:val="left"/>
      <w:lvlText w:val="**"/>
      <w:numFmt w:val="bullet"/>
      <w:start w:val="1"/>
    </w:lvl>
  </w:abstractNum>
  <w:abstractNum w:abstractNumId="161">
    <w:nsid w:val="6EC9D844"/>
    <w:multiLevelType w:val="hybridMultilevel"/>
    <w:lvl w:ilvl="0">
      <w:lvlJc w:val="left"/>
      <w:lvlText w:val="(%1)"/>
      <w:numFmt w:val="decimal"/>
      <w:start w:val="1"/>
    </w:lvl>
  </w:abstractNum>
  <w:abstractNum w:abstractNumId="162">
    <w:nsid w:val="5C49EAEE"/>
    <w:multiLevelType w:val="hybridMultilevel"/>
    <w:lvl w:ilvl="0">
      <w:lvlJc w:val="left"/>
      <w:lvlText w:val="(%1)"/>
      <w:numFmt w:val="decimal"/>
      <w:start w:val="6"/>
    </w:lvl>
  </w:abstractNum>
  <w:abstractNum w:abstractNumId="163">
    <w:nsid w:val="64AF49B"/>
    <w:multiLevelType w:val="hybridMultilevel"/>
    <w:lvl w:ilvl="0">
      <w:lvlJc w:val="left"/>
      <w:lvlText w:val="(%1)"/>
      <w:numFmt w:val="decimal"/>
      <w:start w:val="10"/>
    </w:lvl>
  </w:abstractNum>
  <w:abstractNum w:abstractNumId="164">
    <w:nsid w:val="397C46BC"/>
    <w:multiLevelType w:val="hybridMultilevel"/>
    <w:lvl w:ilvl="0">
      <w:lvlJc w:val="left"/>
      <w:lvlText w:val="(%1)"/>
      <w:numFmt w:val="decimal"/>
      <w:start w:val="16"/>
    </w:lvl>
  </w:abstractNum>
  <w:abstractNum w:abstractNumId="165">
    <w:nsid w:val="7E448DE9"/>
    <w:multiLevelType w:val="hybridMultilevel"/>
    <w:lvl w:ilvl="0">
      <w:lvlJc w:val="left"/>
      <w:lvlText w:val="*"/>
      <w:numFmt w:val="bullet"/>
      <w:start w:val="1"/>
    </w:lvl>
  </w:abstractNum>
  <w:abstractNum w:abstractNumId="166">
    <w:nsid w:val="5A9CC3E5"/>
    <w:multiLevelType w:val="hybridMultilevel"/>
    <w:lvl w:ilvl="0">
      <w:lvlJc w:val="left"/>
      <w:lvlText w:val="•"/>
      <w:numFmt w:val="bullet"/>
      <w:start w:val="1"/>
    </w:lvl>
  </w:abstractNum>
  <w:abstractNum w:abstractNumId="167">
    <w:nsid w:val="1AFE3625"/>
    <w:multiLevelType w:val="hybridMultilevel"/>
    <w:lvl w:ilvl="0">
      <w:lvlJc w:val="left"/>
      <w:lvlText w:val="•"/>
      <w:numFmt w:val="bullet"/>
      <w:start w:val="1"/>
    </w:lvl>
  </w:abstractNum>
  <w:abstractNum w:abstractNumId="168">
    <w:nsid w:val="3CA88ECF"/>
    <w:multiLevelType w:val="hybridMultilevel"/>
    <w:lvl w:ilvl="0">
      <w:lvlJc w:val="left"/>
      <w:lvlText w:val="(%1)"/>
      <w:numFmt w:val="decimal"/>
      <w:start w:val="2"/>
    </w:lvl>
  </w:abstractNum>
  <w:abstractNum w:abstractNumId="169">
    <w:nsid w:val="6EBE4208"/>
    <w:multiLevelType w:val="hybridMultilevel"/>
    <w:lvl w:ilvl="0">
      <w:lvlJc w:val="left"/>
      <w:lvlText w:val="•"/>
      <w:numFmt w:val="bullet"/>
      <w:start w:val="1"/>
    </w:lvl>
  </w:abstractNum>
  <w:abstractNum w:abstractNumId="170">
    <w:nsid w:val="C058DF5"/>
    <w:multiLevelType w:val="hybridMultilevel"/>
    <w:lvl w:ilvl="0">
      <w:lvlJc w:val="left"/>
      <w:lvlText w:val="•"/>
      <w:numFmt w:val="bullet"/>
      <w:start w:val="1"/>
    </w:lvl>
  </w:abstractNum>
  <w:abstractNum w:abstractNumId="171">
    <w:nsid w:val="CBE5BE9"/>
    <w:multiLevelType w:val="hybridMultilevel"/>
    <w:lvl w:ilvl="0">
      <w:lvlJc w:val="left"/>
      <w:lvlText w:val="(%1)"/>
      <w:numFmt w:val="lowerRoman"/>
      <w:start w:val="1"/>
    </w:lvl>
  </w:abstractNum>
  <w:abstractNum w:abstractNumId="172">
    <w:nsid w:val="3102BBE2"/>
    <w:multiLevelType w:val="hybridMultilevel"/>
    <w:lvl w:ilvl="0">
      <w:lvlJc w:val="left"/>
      <w:lvlText w:val="(%1)"/>
      <w:numFmt w:val="lowerLetter"/>
      <w:start w:val="1"/>
    </w:lvl>
  </w:abstractNum>
  <w:abstractNum w:abstractNumId="173">
    <w:nsid w:val="26A02C5E"/>
    <w:multiLevelType w:val="hybridMultilevel"/>
    <w:lvl w:ilvl="0">
      <w:lvlJc w:val="left"/>
      <w:lvlText w:val="•"/>
      <w:numFmt w:val="bullet"/>
      <w:start w:val="1"/>
    </w:lvl>
  </w:abstractNum>
  <w:abstractNum w:abstractNumId="174">
    <w:nsid w:val="541C8153"/>
    <w:multiLevelType w:val="hybridMultilevel"/>
    <w:lvl w:ilvl="0">
      <w:lvlJc w:val="left"/>
      <w:lvlText w:val="•"/>
      <w:numFmt w:val="bullet"/>
      <w:start w:val="1"/>
    </w:lvl>
  </w:abstractNum>
  <w:abstractNum w:abstractNumId="175">
    <w:nsid w:val="67906F60"/>
    <w:multiLevelType w:val="hybridMultilevel"/>
    <w:lvl w:ilvl="0">
      <w:lvlJc w:val="left"/>
      <w:lvlText w:val="•"/>
      <w:numFmt w:val="bullet"/>
      <w:start w:val="1"/>
    </w:lvl>
  </w:abstractNum>
  <w:abstractNum w:abstractNumId="176">
    <w:nsid w:val="10DB9DAA"/>
    <w:multiLevelType w:val="hybridMultilevel"/>
    <w:lvl w:ilvl="0">
      <w:lvlJc w:val="left"/>
      <w:lvlText w:val="•"/>
      <w:numFmt w:val="bullet"/>
      <w:start w:val="1"/>
    </w:lvl>
  </w:abstractNum>
  <w:abstractNum w:abstractNumId="177">
    <w:nsid w:val="697D2D2"/>
    <w:multiLevelType w:val="hybridMultilevel"/>
    <w:lvl w:ilvl="0">
      <w:lvlJc w:val="left"/>
      <w:lvlText w:val="•"/>
      <w:numFmt w:val="bullet"/>
      <w:start w:val="1"/>
    </w:lvl>
  </w:abstractNum>
  <w:abstractNum w:abstractNumId="178">
    <w:nsid w:val="6D68AB2"/>
    <w:multiLevelType w:val="hybridMultilevel"/>
    <w:lvl w:ilvl="0">
      <w:lvlJc w:val="left"/>
      <w:lvlText w:val="(%1)"/>
      <w:numFmt w:val="lowerRoman"/>
      <w:start w:val="1"/>
    </w:lvl>
  </w:abstractNum>
  <w:abstractNum w:abstractNumId="179">
    <w:nsid w:val="3A966CD0"/>
    <w:multiLevelType w:val="hybridMultilevel"/>
    <w:lvl w:ilvl="0">
      <w:lvlJc w:val="left"/>
      <w:lvlText w:val="(%1)"/>
      <w:numFmt w:val="lowerRoman"/>
      <w:start w:val="1"/>
    </w:lvl>
  </w:abstractNum>
  <w:abstractNum w:abstractNumId="180">
    <w:nsid w:val="63F37E85"/>
    <w:multiLevelType w:val="hybridMultilevel"/>
    <w:lvl w:ilvl="0">
      <w:lvlJc w:val="left"/>
      <w:lvlText w:val="•"/>
      <w:numFmt w:val="bullet"/>
      <w:start w:val="1"/>
    </w:lvl>
  </w:abstractNum>
  <w:abstractNum w:abstractNumId="181">
    <w:nsid w:val="5895F5FA"/>
    <w:multiLevelType w:val="hybridMultilevel"/>
    <w:lvl w:ilvl="0">
      <w:lvlJc w:val="left"/>
      <w:lvlText w:val="(%1)"/>
      <w:numFmt w:val="lowerRoman"/>
      <w:start w:val="1"/>
    </w:lvl>
  </w:abstractNum>
  <w:abstractNum w:abstractNumId="182">
    <w:nsid w:val="38A5D054"/>
    <w:multiLevelType w:val="hybridMultilevel"/>
    <w:lvl w:ilvl="0">
      <w:lvlJc w:val="left"/>
      <w:lvlText w:val="•"/>
      <w:numFmt w:val="bullet"/>
      <w:start w:val="1"/>
    </w:lvl>
  </w:abstractNum>
  <w:abstractNum w:abstractNumId="183">
    <w:nsid w:val="F3F09D8"/>
    <w:multiLevelType w:val="hybridMultilevel"/>
    <w:lvl w:ilvl="0">
      <w:lvlJc w:val="left"/>
      <w:lvlText w:val="•"/>
      <w:numFmt w:val="bullet"/>
      <w:start w:val="1"/>
    </w:lvl>
  </w:abstractNum>
  <w:abstractNum w:abstractNumId="184">
    <w:nsid w:val="4B793735"/>
    <w:multiLevelType w:val="hybridMultilevel"/>
    <w:lvl w:ilvl="0">
      <w:lvlJc w:val="left"/>
      <w:lvlText w:val="•"/>
      <w:numFmt w:val="bullet"/>
      <w:start w:val="1"/>
    </w:lvl>
  </w:abstractNum>
  <w:abstractNum w:abstractNumId="185">
    <w:nsid w:val="4A10B4E8"/>
    <w:multiLevelType w:val="hybridMultilevel"/>
    <w:lvl w:ilvl="0">
      <w:lvlJc w:val="left"/>
      <w:lvlText w:val="(%1)"/>
      <w:numFmt w:val="lowerRoman"/>
      <w:start w:val="10"/>
    </w:lvl>
  </w:abstractNum>
  <w:abstractNum w:abstractNumId="186">
    <w:nsid w:val="43D3BCD4"/>
    <w:multiLevelType w:val="hybridMultilevel"/>
    <w:lvl w:ilvl="0">
      <w:lvlJc w:val="left"/>
      <w:lvlText w:val="(%1)"/>
      <w:numFmt w:val="decimal"/>
      <w:start w:val="1"/>
    </w:lvl>
  </w:abstractNum>
  <w:abstractNum w:abstractNumId="187">
    <w:nsid w:val="4C2A7166"/>
    <w:multiLevelType w:val="hybridMultilevel"/>
    <w:lvl w:ilvl="0">
      <w:lvlJc w:val="left"/>
      <w:lvlText w:val="(%1)"/>
      <w:numFmt w:val="lowerRoman"/>
      <w:start w:val="1"/>
    </w:lvl>
  </w:abstractNum>
  <w:abstractNum w:abstractNumId="188">
    <w:nsid w:val="2E534A82"/>
    <w:multiLevelType w:val="hybridMultilevel"/>
    <w:lvl w:ilvl="0">
      <w:lvlJc w:val="left"/>
      <w:lvlText w:val="(%1)"/>
      <w:numFmt w:val="decimal"/>
      <w:start w:val="1"/>
    </w:lvl>
  </w:abstractNum>
  <w:abstractNum w:abstractNumId="189">
    <w:nsid w:val="26F2D364"/>
    <w:multiLevelType w:val="hybridMultilevel"/>
    <w:lvl w:ilvl="0">
      <w:lvlJc w:val="left"/>
      <w:lvlText w:val="(%1)"/>
      <w:numFmt w:val="decimal"/>
      <w:start w:val="1"/>
    </w:lvl>
  </w:abstractNum>
  <w:abstractNum w:abstractNumId="190">
    <w:nsid w:val="71C1AF98"/>
    <w:multiLevelType w:val="hybridMultilevel"/>
    <w:lvl w:ilvl="0">
      <w:lvlJc w:val="left"/>
      <w:lvlText w:val="(%1)"/>
      <w:numFmt w:val="decimal"/>
      <w:start w:val="1"/>
    </w:lvl>
  </w:abstractNum>
  <w:abstractNum w:abstractNumId="191">
    <w:nsid w:val="3D00B9D9"/>
    <w:multiLevelType w:val="hybridMultilevel"/>
    <w:lvl w:ilvl="0">
      <w:lvlJc w:val="left"/>
      <w:lvlText w:val="•"/>
      <w:numFmt w:val="bullet"/>
      <w:start w:val="1"/>
    </w:lvl>
  </w:abstractNum>
  <w:abstractNum w:abstractNumId="192">
    <w:nsid w:val="15BCABA8"/>
    <w:multiLevelType w:val="hybridMultilevel"/>
    <w:lvl w:ilvl="0">
      <w:lvlJc w:val="left"/>
      <w:lvlText w:val="(%1)"/>
      <w:numFmt w:val="upperLetter"/>
      <w:start w:val="1"/>
    </w:lvl>
  </w:abstractNum>
  <w:abstractNum w:abstractNumId="193">
    <w:nsid w:val="4E0B9A87"/>
    <w:multiLevelType w:val="hybridMultilevel"/>
    <w:lvl w:ilvl="0">
      <w:lvlJc w:val="left"/>
      <w:lvlText w:val="(%1)"/>
      <w:numFmt w:val="lowerLetter"/>
      <w:start w:val="1"/>
    </w:lvl>
  </w:abstractNum>
  <w:abstractNum w:abstractNumId="194">
    <w:nsid w:val="434BAE75"/>
    <w:multiLevelType w:val="hybridMultilevel"/>
    <w:lvl w:ilvl="0">
      <w:lvlJc w:val="left"/>
      <w:lvlText w:val="(%1)"/>
      <w:numFmt w:val="lowerRoman"/>
      <w:start w:val="2"/>
    </w:lvl>
  </w:abstractNum>
  <w:abstractNum w:abstractNumId="195">
    <w:nsid w:val="4F38F265"/>
    <w:multiLevelType w:val="hybridMultilevel"/>
    <w:lvl w:ilvl="0">
      <w:lvlJc w:val="left"/>
      <w:lvlText w:val="$"/>
      <w:numFmt w:val="bullet"/>
      <w:start w:val="1"/>
    </w:lvl>
  </w:abstractNum>
  <w:abstractNum w:abstractNumId="196">
    <w:nsid w:val="4C502870"/>
    <w:multiLevelType w:val="hybridMultilevel"/>
    <w:lvl w:ilvl="0">
      <w:lvlJc w:val="left"/>
      <w:lvlText w:val="$"/>
      <w:numFmt w:val="bullet"/>
      <w:start w:val="1"/>
    </w:lvl>
  </w:abstractNum>
  <w:abstractNum w:abstractNumId="197">
    <w:nsid w:val="1DE8725A"/>
    <w:multiLevelType w:val="hybridMultilevel"/>
    <w:lvl w:ilvl="0">
      <w:lvlJc w:val="left"/>
      <w:lvlText w:val="$"/>
      <w:numFmt w:val="bullet"/>
      <w:start w:val="1"/>
    </w:lvl>
  </w:abstractNum>
  <w:abstractNum w:abstractNumId="198">
    <w:nsid w:val="6A37288A"/>
    <w:multiLevelType w:val="hybridMultilevel"/>
    <w:lvl w:ilvl="0">
      <w:lvlJc w:val="left"/>
      <w:lvlText w:val="$"/>
      <w:numFmt w:val="bullet"/>
      <w:start w:val="1"/>
    </w:lvl>
  </w:abstractNum>
  <w:abstractNum w:abstractNumId="199">
    <w:nsid w:val="8F8B73F"/>
    <w:multiLevelType w:val="hybridMultilevel"/>
    <w:lvl w:ilvl="0">
      <w:lvlJc w:val="left"/>
      <w:lvlText w:val="•"/>
      <w:numFmt w:val="bullet"/>
      <w:start w:val="1"/>
    </w:lvl>
  </w:abstractNum>
  <w:abstractNum w:abstractNumId="200">
    <w:nsid w:val="CA6B462"/>
    <w:multiLevelType w:val="hybridMultilevel"/>
    <w:lvl w:ilvl="0">
      <w:lvlJc w:val="left"/>
      <w:lvlText w:val="(%1)"/>
      <w:numFmt w:val="upperLetter"/>
      <w:start w:val="1"/>
    </w:lvl>
  </w:abstractNum>
  <w:abstractNum w:abstractNumId="201">
    <w:nsid w:val="763CB680"/>
    <w:multiLevelType w:val="hybridMultilevel"/>
    <w:lvl w:ilvl="0">
      <w:lvlJc w:val="left"/>
      <w:lvlText w:val="•"/>
      <w:numFmt w:val="bullet"/>
      <w:start w:val="1"/>
    </w:lvl>
  </w:abstractNum>
  <w:abstractNum w:abstractNumId="202">
    <w:nsid w:val="15B71329"/>
    <w:multiLevelType w:val="hybridMultilevel"/>
    <w:lvl w:ilvl="0">
      <w:lvlJc w:val="left"/>
      <w:lvlText w:val="•"/>
      <w:numFmt w:val="bullet"/>
      <w:start w:val="1"/>
    </w:lvl>
  </w:abstractNum>
  <w:abstractNum w:abstractNumId="203">
    <w:nsid w:val="3DA97044"/>
    <w:multiLevelType w:val="hybridMultilevel"/>
    <w:lvl w:ilvl="0">
      <w:lvlJc w:val="left"/>
      <w:lvlText w:val="•"/>
      <w:numFmt w:val="bullet"/>
      <w:start w:val="1"/>
    </w:lvl>
  </w:abstractNum>
  <w:abstractNum w:abstractNumId="204">
    <w:nsid w:val="1CDCE2DE"/>
    <w:multiLevelType w:val="hybridMultilevel"/>
    <w:lvl w:ilvl="0">
      <w:lvlJc w:val="left"/>
      <w:lvlText w:val="(%1)"/>
      <w:numFmt w:val="upperLetter"/>
      <w:start w:val="1"/>
    </w:lvl>
  </w:abstractNum>
  <w:abstractNum w:abstractNumId="205">
    <w:nsid w:val="69D3947C"/>
    <w:multiLevelType w:val="hybridMultilevel"/>
    <w:lvl w:ilvl="0">
      <w:lvlJc w:val="left"/>
      <w:lvlText w:val="•"/>
      <w:numFmt w:val="bullet"/>
      <w:start w:val="1"/>
    </w:lvl>
  </w:abstractNum>
  <w:abstractNum w:abstractNumId="206">
    <w:nsid w:val="2539DFA5"/>
    <w:multiLevelType w:val="hybridMultilevel"/>
    <w:lvl w:ilvl="0">
      <w:lvlJc w:val="left"/>
      <w:lvlText w:val="•"/>
      <w:numFmt w:val="bullet"/>
      <w:start w:val="1"/>
    </w:lvl>
  </w:abstractNum>
  <w:abstractNum w:abstractNumId="207">
    <w:nsid w:val="2DB88089"/>
    <w:multiLevelType w:val="hybridMultilevel"/>
    <w:lvl w:ilvl="0">
      <w:lvlJc w:val="left"/>
      <w:lvlText w:val="•"/>
      <w:numFmt w:val="bullet"/>
      <w:start w:val="1"/>
    </w:lvl>
  </w:abstractNum>
  <w:abstractNum w:abstractNumId="208">
    <w:nsid w:val="706B674E"/>
    <w:multiLevelType w:val="hybridMultilevel"/>
    <w:lvl w:ilvl="0">
      <w:lvlJc w:val="left"/>
      <w:lvlText w:val="**"/>
      <w:numFmt w:val="bullet"/>
      <w:start w:val="1"/>
    </w:lvl>
  </w:abstractNum>
  <w:abstractNum w:abstractNumId="209">
    <w:nsid w:val="2C106A57"/>
    <w:multiLevelType w:val="hybridMultilevel"/>
    <w:lvl w:ilvl="0">
      <w:lvlJc w:val="left"/>
      <w:lvlText w:val="#"/>
      <w:numFmt w:val="bullet"/>
      <w:start w:val="1"/>
    </w:lvl>
  </w:abstractNum>
  <w:abstractNum w:abstractNumId="210">
    <w:nsid w:val="684EED59"/>
    <w:multiLevelType w:val="hybridMultilevel"/>
    <w:lvl w:ilvl="0">
      <w:lvlJc w:val="left"/>
      <w:lvlText w:val="%1."/>
      <w:numFmt w:val="upperLetter"/>
      <w:start w:val="1"/>
    </w:lvl>
    <w:lvl w:ilvl="1">
      <w:lvlJc w:val="left"/>
      <w:lvlText w:val="(%2)"/>
      <w:numFmt w:val="lowerRoman"/>
      <w:start w:val="1"/>
    </w:lvl>
  </w:abstractNum>
  <w:abstractNum w:abstractNumId="211">
    <w:nsid w:val="545EE5D3"/>
    <w:multiLevelType w:val="hybridMultilevel"/>
    <w:lvl w:ilvl="0">
      <w:lvlJc w:val="left"/>
      <w:lvlText w:val="%1."/>
      <w:numFmt w:val="upperLetter"/>
      <w:start w:val="5"/>
    </w:lvl>
    <w:lvl w:ilvl="1">
      <w:lvlJc w:val="left"/>
      <w:lvlText w:val="(%2)"/>
      <w:numFmt w:val="lowerRoman"/>
      <w:start w:val="1"/>
    </w:lvl>
  </w:abstractNum>
  <w:abstractNum w:abstractNumId="212">
    <w:nsid w:val="4A66051"/>
    <w:multiLevelType w:val="hybridMultilevel"/>
    <w:lvl w:ilvl="0">
      <w:lvlJc w:val="left"/>
      <w:lvlText w:val="%1"/>
      <w:numFmt w:val="upperLetter"/>
      <w:start w:val="1"/>
    </w:lvl>
    <w:lvl w:ilvl="1">
      <w:lvlJc w:val="left"/>
      <w:lvlText w:val="(%2)"/>
      <w:numFmt w:val="lowerRoman"/>
      <w:start w:val="4"/>
    </w:lvl>
  </w:abstractNum>
  <w:abstractNum w:abstractNumId="213">
    <w:nsid w:val="20F4BDAD"/>
    <w:multiLevelType w:val="hybridMultilevel"/>
    <w:lvl w:ilvl="0">
      <w:lvlJc w:val="left"/>
      <w:lvlText w:val="%1."/>
      <w:numFmt w:val="upperLetter"/>
      <w:start w:val="6"/>
    </w:lvl>
    <w:lvl w:ilvl="1">
      <w:lvlJc w:val="left"/>
      <w:lvlText w:val="%2"/>
      <w:numFmt w:val="lowerRoman"/>
      <w:start w:val="1"/>
    </w:lvl>
  </w:abstractNum>
  <w:abstractNum w:abstractNumId="214">
    <w:nsid w:val="639DEFAC"/>
    <w:multiLevelType w:val="hybridMultilevel"/>
    <w:lvl w:ilvl="0">
      <w:lvlJc w:val="left"/>
      <w:lvlText w:val="(%1)"/>
      <w:numFmt w:val="lowerRoman"/>
      <w:start w:val="1"/>
    </w:lvl>
  </w:abstractNum>
  <w:abstractNum w:abstractNumId="215">
    <w:nsid w:val="501F9786"/>
    <w:multiLevelType w:val="hybridMultilevel"/>
    <w:lvl w:ilvl="0">
      <w:lvlJc w:val="left"/>
      <w:lvlText w:val="(%1)"/>
      <w:numFmt w:val="lowerLetter"/>
      <w:start w:val="10"/>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9" Type="http://schemas.openxmlformats.org/officeDocument/2006/relationships/image" Target="media/image578.png"/><Relationship Id="rId601" Type="http://schemas.openxmlformats.org/officeDocument/2006/relationships/image" Target="media/image579.png"/><Relationship Id="rId611" Type="http://schemas.openxmlformats.org/officeDocument/2006/relationships/image" Target="media/image580.png"/><Relationship Id="rId624" Type="http://schemas.openxmlformats.org/officeDocument/2006/relationships/image" Target="media/image581.png"/><Relationship Id="rId638" Type="http://schemas.openxmlformats.org/officeDocument/2006/relationships/image" Target="media/image582.png"/><Relationship Id="rId644" Type="http://schemas.openxmlformats.org/officeDocument/2006/relationships/image" Target="media/image583.png"/><Relationship Id="rId645" Type="http://schemas.openxmlformats.org/officeDocument/2006/relationships/image" Target="media/image584.png"/><Relationship Id="rId646" Type="http://schemas.openxmlformats.org/officeDocument/2006/relationships/image" Target="media/image585.png"/><Relationship Id="rId647" Type="http://schemas.openxmlformats.org/officeDocument/2006/relationships/image" Target="media/image586.png"/><Relationship Id="rId648" Type="http://schemas.openxmlformats.org/officeDocument/2006/relationships/image" Target="media/image587.png"/><Relationship Id="rId649" Type="http://schemas.openxmlformats.org/officeDocument/2006/relationships/image" Target="media/image588.png"/><Relationship Id="rId650" Type="http://schemas.openxmlformats.org/officeDocument/2006/relationships/image" Target="media/image589.png"/><Relationship Id="rId651" Type="http://schemas.openxmlformats.org/officeDocument/2006/relationships/image" Target="media/image590.png"/><Relationship Id="rId652" Type="http://schemas.openxmlformats.org/officeDocument/2006/relationships/image" Target="media/image591.png"/><Relationship Id="rId653" Type="http://schemas.openxmlformats.org/officeDocument/2006/relationships/image" Target="media/image592.png"/><Relationship Id="rId654" Type="http://schemas.openxmlformats.org/officeDocument/2006/relationships/image" Target="media/image593.png"/><Relationship Id="rId655" Type="http://schemas.openxmlformats.org/officeDocument/2006/relationships/image" Target="media/image594.png"/><Relationship Id="rId656" Type="http://schemas.openxmlformats.org/officeDocument/2006/relationships/image" Target="media/image595.png"/><Relationship Id="rId657" Type="http://schemas.openxmlformats.org/officeDocument/2006/relationships/image" Target="media/image596.png"/><Relationship Id="rId658" Type="http://schemas.openxmlformats.org/officeDocument/2006/relationships/image" Target="media/image597.png"/><Relationship Id="rId659" Type="http://schemas.openxmlformats.org/officeDocument/2006/relationships/image" Target="media/image598.png"/><Relationship Id="rId660" Type="http://schemas.openxmlformats.org/officeDocument/2006/relationships/image" Target="media/image599.png"/><Relationship Id="rId661" Type="http://schemas.openxmlformats.org/officeDocument/2006/relationships/image" Target="media/image600.png"/><Relationship Id="rId662" Type="http://schemas.openxmlformats.org/officeDocument/2006/relationships/image" Target="media/image601.jpeg"/><Relationship Id="rId663" Type="http://schemas.openxmlformats.org/officeDocument/2006/relationships/image" Target="media/image602.png"/><Relationship Id="rId664" Type="http://schemas.openxmlformats.org/officeDocument/2006/relationships/image" Target="media/image603.png"/><Relationship Id="rId665" Type="http://schemas.openxmlformats.org/officeDocument/2006/relationships/image" Target="media/image604.jpeg"/><Relationship Id="rId666" Type="http://schemas.openxmlformats.org/officeDocument/2006/relationships/image" Target="media/image605.png"/><Relationship Id="rId667" Type="http://schemas.openxmlformats.org/officeDocument/2006/relationships/image" Target="media/image606.jpeg"/><Relationship Id="rId668" Type="http://schemas.openxmlformats.org/officeDocument/2006/relationships/image" Target="media/image607.png"/><Relationship Id="rId669" Type="http://schemas.openxmlformats.org/officeDocument/2006/relationships/image" Target="media/image608.jpeg"/><Relationship Id="rId585" Type="http://schemas.openxmlformats.org/officeDocument/2006/relationships/hyperlink" Target="http://www.sec.gov/Archives/edgar/data/1635088/000119312521239461/d65062ds4a.htm#rom65062_39" TargetMode="External"/><Relationship Id="rId586" Type="http://schemas.openxmlformats.org/officeDocument/2006/relationships/hyperlink" Target="http://www.sec.gov/Archives/edgar/data/1635088/000119312521205193/d65062dex22.htm#cov" TargetMode="External"/><Relationship Id="rId587" Type="http://schemas.openxmlformats.org/officeDocument/2006/relationships/hyperlink" Target="http://www.sec.gov/Archives/edgar/data/1635088/000119312521205193/d65062dex23.htm#cov" TargetMode="External"/><Relationship Id="rId588" Type="http://schemas.openxmlformats.org/officeDocument/2006/relationships/hyperlink" Target="http://www.sec.gov/Archives/edgar/data/1635088/000119312521205193/d65062dex24.htm" TargetMode="External"/><Relationship Id="rId590" Type="http://schemas.openxmlformats.org/officeDocument/2006/relationships/hyperlink" Target="http://www.sec.gov/Archives/edgar/data/1635088/000110465919059171/a19-21684_1ex7d04.htm" TargetMode="External"/><Relationship Id="rId591" Type="http://schemas.openxmlformats.org/officeDocument/2006/relationships/hyperlink" Target="http://www.sec.gov/Archives/edgar/data/1635088/000119312521162191/d65062dex26.htm" TargetMode="External"/><Relationship Id="rId592" Type="http://schemas.openxmlformats.org/officeDocument/2006/relationships/hyperlink" Target="http://www.sec.gov/Archives/edgar/data/1635088/000119312521162191/d65062dex27.htm" TargetMode="External"/><Relationship Id="rId593" Type="http://schemas.openxmlformats.org/officeDocument/2006/relationships/hyperlink" Target="http://www.sec.gov/Archives/edgar/data/1635088/000119312521162191/d65062dex28.htm" TargetMode="External"/><Relationship Id="rId594" Type="http://schemas.openxmlformats.org/officeDocument/2006/relationships/hyperlink" Target="http://www.sec.gov/Archives/edgar/data/1635088/000119312521235175/d65062ds4a.htm#rom65062_39a" TargetMode="External"/><Relationship Id="rId595" Type="http://schemas.openxmlformats.org/officeDocument/2006/relationships/hyperlink" Target="http://www.sec.gov/Archives/edgar/data/1635088/000119312521205193/d65062dex31.htm" TargetMode="External"/><Relationship Id="rId596" Type="http://schemas.openxmlformats.org/officeDocument/2006/relationships/hyperlink" Target="http://www.sec.gov/Archives/edgar/data/1635088/000119312521162191/d65062dex32.htm" TargetMode="External"/><Relationship Id="rId597" Type="http://schemas.openxmlformats.org/officeDocument/2006/relationships/hyperlink" Target="http://www.sec.gov/Archives/edgar/data/1819263/000104746920004991/a2242417zex-4_1.htm" TargetMode="External"/><Relationship Id="rId598" Type="http://schemas.openxmlformats.org/officeDocument/2006/relationships/hyperlink" Target="http://www.sec.gov/Archives/edgar/data/1819263/000104746920004991/a2242417zex-4_2.htm" TargetMode="External"/><Relationship Id="rId599" Type="http://schemas.openxmlformats.org/officeDocument/2006/relationships/hyperlink" Target="http://www.sec.gov/Archives/edgar/data/1819263/000104746920004991/a2242417zex-4_3.htm" TargetMode="External"/><Relationship Id="rId600" Type="http://schemas.openxmlformats.org/officeDocument/2006/relationships/hyperlink" Target="http://www.sec.gov/Archives/edgar/data/1819263/000110465920114035/tm2033018d1_ex4-1.htm" TargetMode="External"/><Relationship Id="rId602" Type="http://schemas.openxmlformats.org/officeDocument/2006/relationships/hyperlink" Target="http://www.sec.gov/Archives/edgar/data/1635088/000119312521235175/d65062dex45.htm" TargetMode="External"/><Relationship Id="rId603" Type="http://schemas.openxmlformats.org/officeDocument/2006/relationships/hyperlink" Target="http://www.sec.gov/Archives/edgar/data/1635088/000119312521235175/d65062dex46.htm" TargetMode="External"/><Relationship Id="rId604" Type="http://schemas.openxmlformats.org/officeDocument/2006/relationships/hyperlink" Target="http://www.sec.gov/Archives/edgar/data/1635088/000119312521235175/d65062dex47.htm" TargetMode="External"/><Relationship Id="rId605" Type="http://schemas.openxmlformats.org/officeDocument/2006/relationships/hyperlink" Target="http://www.sec.gov/Archives/edgar/data/1635088/000119312521235175/d65062ds4a.htm#rom65062_41" TargetMode="External"/><Relationship Id="rId606" Type="http://schemas.openxmlformats.org/officeDocument/2006/relationships/hyperlink" Target="http://www.sec.gov/Archives/edgar/data/1635088/000119312521235175/d65062ds4a.htm#rom65062_40" TargetMode="External"/><Relationship Id="rId607" Type="http://schemas.openxmlformats.org/officeDocument/2006/relationships/hyperlink" Target="http://www.sec.gov/Archives/edgar/data/1635088/000119312521235175/d65062ds4a.htm#rom65062_43" TargetMode="External"/><Relationship Id="rId608" Type="http://schemas.openxmlformats.org/officeDocument/2006/relationships/hyperlink" Target="http://www.sec.gov/Archives/edgar/data/1635088/000119312521235175/d65062ds4a.htm#rom65062_42" TargetMode="External"/><Relationship Id="rId609" Type="http://schemas.openxmlformats.org/officeDocument/2006/relationships/hyperlink" Target="http://www.sec.gov/Archives/edgar/data/1819263/000110465920114035/tm2033018d1_ex10-1.htm" TargetMode="External"/><Relationship Id="rId610" Type="http://schemas.openxmlformats.org/officeDocument/2006/relationships/hyperlink" Target="http://www.sec.gov/Archives/edgar/data/1764013/000119312519321147/d839382dex106.htm" TargetMode="External"/><Relationship Id="rId612" Type="http://schemas.openxmlformats.org/officeDocument/2006/relationships/hyperlink" Target="http://www.sec.gov/Archives/edgar/data/1635088/000119312521162191/d65062dex107.htm" TargetMode="External"/><Relationship Id="rId613" Type="http://schemas.openxmlformats.org/officeDocument/2006/relationships/hyperlink" Target="http://www.sec.gov/Archives/edgar/data/1635088/000119312521162191/d65062dex108.htm" TargetMode="External"/><Relationship Id="rId614" Type="http://schemas.openxmlformats.org/officeDocument/2006/relationships/hyperlink" Target="http://www.sec.gov/Archives/edgar/data/1635088/000119312521162191/d65062dex109.htm" TargetMode="External"/><Relationship Id="rId615" Type="http://schemas.openxmlformats.org/officeDocument/2006/relationships/hyperlink" Target="http://www.sec.gov/Archives/edgar/data/1635088/000119312521162191/d65062dex1010.htm" TargetMode="External"/><Relationship Id="rId616" Type="http://schemas.openxmlformats.org/officeDocument/2006/relationships/hyperlink" Target="http://www.sec.gov/Archives/edgar/data/1635088/000119312521162191/d65062dex1011.htm" TargetMode="External"/><Relationship Id="rId617" Type="http://schemas.openxmlformats.org/officeDocument/2006/relationships/hyperlink" Target="http://www.sec.gov/Archives/edgar/data/1635088/000119312521205193/d65062dex1012.htm" TargetMode="External"/><Relationship Id="rId618" Type="http://schemas.openxmlformats.org/officeDocument/2006/relationships/hyperlink" Target="http://www.sec.gov/Archives/edgar/data/1635088/000119312521205193/d65062dex1013.htm" TargetMode="External"/><Relationship Id="rId619" Type="http://schemas.openxmlformats.org/officeDocument/2006/relationships/hyperlink" Target="http://www.sec.gov/Archives/edgar/data/1447028/000144702820000118/a2020-q210xqex103cross.htm" TargetMode="External"/><Relationship Id="rId620" Type="http://schemas.openxmlformats.org/officeDocument/2006/relationships/hyperlink" Target="http://www.sec.gov/Archives/edgar/data/1447028/000144702820000118/a2020-q210xqex1041stam.htm" TargetMode="External"/><Relationship Id="rId621" Type="http://schemas.openxmlformats.org/officeDocument/2006/relationships/hyperlink" Target="http://www.sec.gov/Archives/edgar/data/1447028/000144702820000118/a2020-q210xqex105secon.htm" TargetMode="External"/><Relationship Id="rId622" Type="http://schemas.openxmlformats.org/officeDocument/2006/relationships/hyperlink" Target="http://www.sec.gov/Archives/edgar/data/1635088/000119312521205193/d65062dex1017.htm" TargetMode="External"/><Relationship Id="rId623" Type="http://schemas.openxmlformats.org/officeDocument/2006/relationships/hyperlink" Target="http://www.sec.gov/Archives/edgar/data/1635088/000119312521205193/d65062dex1018.htm" TargetMode="External"/><Relationship Id="rId625" Type="http://schemas.openxmlformats.org/officeDocument/2006/relationships/hyperlink" Target="http://www.sec.gov/Archives/edgar/data/1635088/000119312521205193/d65062dex1019.htm" TargetMode="External"/><Relationship Id="rId626" Type="http://schemas.openxmlformats.org/officeDocument/2006/relationships/hyperlink" Target="http://www.sec.gov/Archives/edgar/data/1635088/000119312521205193/d65062dex1020.htm" TargetMode="External"/><Relationship Id="rId627" Type="http://schemas.openxmlformats.org/officeDocument/2006/relationships/hyperlink" Target="http://www.sec.gov/Archives/edgar/data/1635088/000119312521205193/d65062dex1021.htm" TargetMode="External"/><Relationship Id="rId628" Type="http://schemas.openxmlformats.org/officeDocument/2006/relationships/hyperlink" Target="http://www.sec.gov/Archives/edgar/data/1635088/000119312521205193/d65062dex1022.htm" TargetMode="External"/><Relationship Id="rId629" Type="http://schemas.openxmlformats.org/officeDocument/2006/relationships/hyperlink" Target="http://www.sec.gov/Archives/edgar/data/1635088/000119312521205193/d65062dex1023.htm" TargetMode="External"/><Relationship Id="rId630" Type="http://schemas.openxmlformats.org/officeDocument/2006/relationships/hyperlink" Target="http://www.sec.gov/Archives/edgar/data/1635088/000119312521205193/d65062dex1024.htm" TargetMode="External"/><Relationship Id="rId631" Type="http://schemas.openxmlformats.org/officeDocument/2006/relationships/hyperlink" Target="http://www.sec.gov/Archives/edgar/data/1635088/000119312521162191/d65062dex1025.htm" TargetMode="External"/><Relationship Id="rId632" Type="http://schemas.openxmlformats.org/officeDocument/2006/relationships/hyperlink" Target="http://www.sec.gov/Archives/edgar/data/1635088/000095010321015700/dp159512_ex9901.htm" TargetMode="External"/><Relationship Id="rId633" Type="http://schemas.openxmlformats.org/officeDocument/2006/relationships/hyperlink" Target="http://www.sec.gov/Archives/edgar/data/1635088/000119312521162191/d65062dex1027.htm" TargetMode="External"/><Relationship Id="rId634" Type="http://schemas.openxmlformats.org/officeDocument/2006/relationships/hyperlink" Target="http://www.sec.gov/Archives/edgar/data/1635088/000119312521162191/d65062dex1028.htm" TargetMode="External"/><Relationship Id="rId635" Type="http://schemas.openxmlformats.org/officeDocument/2006/relationships/hyperlink" Target="http://www.sec.gov/Archives/edgar/data/1635088/000119312521162191/d65062dex1029.htm" TargetMode="External"/><Relationship Id="rId636" Type="http://schemas.openxmlformats.org/officeDocument/2006/relationships/hyperlink" Target="http://www.sec.gov/Archives/edgar/data/1635088/000119312521162191/d65062dex1030.htm" TargetMode="External"/><Relationship Id="rId637" Type="http://schemas.openxmlformats.org/officeDocument/2006/relationships/hyperlink" Target="http://www.sec.gov/Archives/edgar/data/1635088/000119312521205193/d65062dex1031.htm#cov" TargetMode="External"/><Relationship Id="rId639" Type="http://schemas.openxmlformats.org/officeDocument/2006/relationships/hyperlink" Target="http://www.sec.gov/Archives/edgar/data/1635088/000119312521205193/d65062dex1032.htm" TargetMode="External"/><Relationship Id="rId640" Type="http://schemas.openxmlformats.org/officeDocument/2006/relationships/hyperlink" Target="http://www.sec.gov/Archives/edgar/data/1635088/000119312521205193/d65062ds4a.htm#anxee" TargetMode="External"/><Relationship Id="rId641" Type="http://schemas.openxmlformats.org/officeDocument/2006/relationships/hyperlink" Target="http://www.sec.gov/Archives/edgar/data/1635088/000119312521288885/d230641dex101.htm" TargetMode="External"/><Relationship Id="rId642" Type="http://schemas.openxmlformats.org/officeDocument/2006/relationships/hyperlink" Target="http://www.sec.gov/Archives/edgar/data/1635088/000095010321015700/dp159512_ex9902.htm" TargetMode="External"/><Relationship Id="rId643" Type="http://schemas.openxmlformats.org/officeDocument/2006/relationships/hyperlink" Target="http://www.sec.gov/Archives/edgar/data/1635088/000119312521205193/d6506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2021-10-29T16:39:25Z</dcterms:created>
  <dcterms:modified xsi:type="dcterms:W3CDTF">2021-10-29T16:39:25Z</dcterms:modified>
</cp:coreProperties>
</file>