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2, 2026</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Roivant Sciences Ltd.</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180" w:type="dxa"/>
        <w:tblCellMar>
          <w:top w:w="0" w:type="dxa"/>
          <w:left w:w="0" w:type="dxa"/>
          <w:bottom w:w="0" w:type="dxa"/>
          <w:right w:w="0" w:type="dxa"/>
        </w:tblCellMar>
      </w:tblPr>
      <w:tr>
        <w:trPr>
          <w:trHeight w:val="216"/>
        </w:trPr>
        <w:tc>
          <w:tcPr>
            <w:tcW w:w="392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9"/>
              </w:rPr>
              <w:t>Bermuda</w:t>
            </w:r>
          </w:p>
        </w:tc>
        <w:tc>
          <w:tcPr>
            <w:tcW w:w="3260" w:type="dxa"/>
            <w:vAlign w:val="bottom"/>
          </w:tcPr>
          <w:p>
            <w:pPr>
              <w:jc w:val="right"/>
              <w:ind w:right="1210"/>
              <w:spacing w:after="0"/>
              <w:rPr>
                <w:sz w:val="20"/>
                <w:szCs w:val="20"/>
                <w:color w:val="auto"/>
              </w:rPr>
            </w:pPr>
            <w:r>
              <w:rPr>
                <w:rFonts w:ascii="Times New Roman" w:cs="Times New Roman" w:eastAsia="Times New Roman" w:hAnsi="Times New Roman"/>
                <w:sz w:val="18"/>
                <w:szCs w:val="18"/>
                <w:b w:val="1"/>
                <w:bCs w:val="1"/>
                <w:color w:val="auto"/>
              </w:rPr>
              <w:t>001-40782</w:t>
            </w:r>
          </w:p>
        </w:tc>
        <w:tc>
          <w:tcPr>
            <w:tcW w:w="3420" w:type="dxa"/>
            <w:vAlign w:val="bottom"/>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98-1173944</w:t>
            </w:r>
          </w:p>
        </w:tc>
      </w:tr>
      <w:tr>
        <w:trPr>
          <w:trHeight w:val="238"/>
        </w:trPr>
        <w:tc>
          <w:tcPr>
            <w:tcW w:w="3920" w:type="dxa"/>
            <w:vAlign w:val="bottom"/>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w:t>
            </w:r>
          </w:p>
        </w:tc>
        <w:tc>
          <w:tcPr>
            <w:tcW w:w="32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(Commission File Number)</w:t>
            </w:r>
          </w:p>
        </w:tc>
        <w:tc>
          <w:tcPr>
            <w:tcW w:w="3420" w:type="dxa"/>
            <w:vAlign w:val="bottom"/>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rPr>
              <w:t>(I.R.S. Employer Identification No.)</w:t>
            </w:r>
          </w:p>
        </w:tc>
      </w:tr>
      <w:tr>
        <w:trPr>
          <w:trHeight w:val="410"/>
        </w:trPr>
        <w:tc>
          <w:tcPr>
            <w:tcW w:w="3920" w:type="dxa"/>
            <w:vAlign w:val="bottom"/>
          </w:tcPr>
          <w:p>
            <w:pPr>
              <w:spacing w:after="0"/>
              <w:rPr>
                <w:sz w:val="24"/>
                <w:szCs w:val="24"/>
                <w:color w:val="auto"/>
              </w:rPr>
            </w:pPr>
          </w:p>
        </w:tc>
        <w:tc>
          <w:tcPr>
            <w:tcW w:w="32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7th Floor</w:t>
            </w:r>
          </w:p>
        </w:tc>
        <w:tc>
          <w:tcPr>
            <w:tcW w:w="3420" w:type="dxa"/>
            <w:vAlign w:val="bottom"/>
          </w:tcPr>
          <w:p>
            <w:pPr>
              <w:spacing w:after="0"/>
              <w:rPr>
                <w:sz w:val="24"/>
                <w:szCs w:val="24"/>
                <w:color w:val="auto"/>
              </w:rPr>
            </w:pPr>
          </w:p>
        </w:tc>
      </w:tr>
      <w:tr>
        <w:trPr>
          <w:trHeight w:val="216"/>
        </w:trPr>
        <w:tc>
          <w:tcPr>
            <w:tcW w:w="3920" w:type="dxa"/>
            <w:vAlign w:val="bottom"/>
          </w:tcPr>
          <w:p>
            <w:pPr>
              <w:spacing w:after="0"/>
              <w:rPr>
                <w:sz w:val="18"/>
                <w:szCs w:val="18"/>
                <w:color w:val="auto"/>
              </w:rPr>
            </w:pPr>
          </w:p>
        </w:tc>
        <w:tc>
          <w:tcPr>
            <w:tcW w:w="32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50 Broadway</w:t>
            </w:r>
          </w:p>
        </w:tc>
        <w:tc>
          <w:tcPr>
            <w:tcW w:w="3420" w:type="dxa"/>
            <w:vAlign w:val="bottom"/>
          </w:tcPr>
          <w:p>
            <w:pPr>
              <w:spacing w:after="0"/>
              <w:rPr>
                <w:sz w:val="18"/>
                <w:szCs w:val="18"/>
                <w:color w:val="auto"/>
              </w:rPr>
            </w:pPr>
          </w:p>
        </w:tc>
      </w:tr>
      <w:tr>
        <w:trPr>
          <w:trHeight w:val="216"/>
        </w:trPr>
        <w:tc>
          <w:tcPr>
            <w:tcW w:w="3920" w:type="dxa"/>
            <w:vAlign w:val="bottom"/>
          </w:tcPr>
          <w:p>
            <w:pPr>
              <w:spacing w:after="0"/>
              <w:rPr>
                <w:sz w:val="18"/>
                <w:szCs w:val="18"/>
                <w:color w:val="auto"/>
              </w:rPr>
            </w:pPr>
          </w:p>
        </w:tc>
        <w:tc>
          <w:tcPr>
            <w:tcW w:w="32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London SW1H 0DB</w:t>
            </w:r>
          </w:p>
        </w:tc>
        <w:tc>
          <w:tcPr>
            <w:tcW w:w="3420" w:type="dxa"/>
            <w:vAlign w:val="bottom"/>
          </w:tcPr>
          <w:p>
            <w:pPr>
              <w:spacing w:after="0"/>
              <w:rPr>
                <w:sz w:val="18"/>
                <w:szCs w:val="18"/>
                <w:color w:val="auto"/>
              </w:rPr>
            </w:pPr>
          </w:p>
        </w:tc>
      </w:tr>
      <w:tr>
        <w:trPr>
          <w:trHeight w:val="238"/>
        </w:trPr>
        <w:tc>
          <w:tcPr>
            <w:tcW w:w="3920" w:type="dxa"/>
            <w:vAlign w:val="bottom"/>
          </w:tcPr>
          <w:p>
            <w:pPr>
              <w:spacing w:after="0"/>
              <w:rPr>
                <w:sz w:val="20"/>
                <w:szCs w:val="20"/>
                <w:color w:val="auto"/>
              </w:rPr>
            </w:pPr>
          </w:p>
        </w:tc>
        <w:tc>
          <w:tcPr>
            <w:tcW w:w="32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United Kingdom</w:t>
            </w:r>
          </w:p>
        </w:tc>
        <w:tc>
          <w:tcPr>
            <w:tcW w:w="3420" w:type="dxa"/>
            <w:vAlign w:val="bottom"/>
          </w:tcPr>
          <w:p>
            <w:pPr>
              <w:spacing w:after="0"/>
              <w:rPr>
                <w:sz w:val="20"/>
                <w:szCs w:val="20"/>
                <w:color w:val="auto"/>
              </w:rPr>
            </w:pPr>
          </w:p>
        </w:tc>
      </w:tr>
      <w:tr>
        <w:trPr>
          <w:trHeight w:val="410"/>
        </w:trPr>
        <w:tc>
          <w:tcPr>
            <w:tcW w:w="3920" w:type="dxa"/>
            <w:vAlign w:val="bottom"/>
          </w:tcPr>
          <w:p>
            <w:pPr>
              <w:spacing w:after="0"/>
              <w:rPr>
                <w:sz w:val="24"/>
                <w:szCs w:val="24"/>
                <w:color w:val="auto"/>
              </w:rPr>
            </w:pPr>
          </w:p>
        </w:tc>
        <w:tc>
          <w:tcPr>
            <w:tcW w:w="32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1 Pennsylvania Plaza</w:t>
            </w:r>
          </w:p>
        </w:tc>
        <w:tc>
          <w:tcPr>
            <w:tcW w:w="3420" w:type="dxa"/>
            <w:vAlign w:val="bottom"/>
          </w:tcPr>
          <w:p>
            <w:pPr>
              <w:spacing w:after="0"/>
              <w:rPr>
                <w:sz w:val="24"/>
                <w:szCs w:val="24"/>
                <w:color w:val="auto"/>
              </w:rPr>
            </w:pPr>
          </w:p>
        </w:tc>
      </w:tr>
      <w:tr>
        <w:trPr>
          <w:trHeight w:val="216"/>
        </w:trPr>
        <w:tc>
          <w:tcPr>
            <w:tcW w:w="3920" w:type="dxa"/>
            <w:vAlign w:val="bottom"/>
          </w:tcPr>
          <w:p>
            <w:pPr>
              <w:spacing w:after="0"/>
              <w:rPr>
                <w:sz w:val="18"/>
                <w:szCs w:val="18"/>
                <w:color w:val="auto"/>
              </w:rPr>
            </w:pPr>
          </w:p>
        </w:tc>
        <w:tc>
          <w:tcPr>
            <w:tcW w:w="32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Floor 54</w:t>
            </w:r>
          </w:p>
        </w:tc>
        <w:tc>
          <w:tcPr>
            <w:tcW w:w="3420" w:type="dxa"/>
            <w:vAlign w:val="bottom"/>
          </w:tcPr>
          <w:p>
            <w:pPr>
              <w:spacing w:after="0"/>
              <w:rPr>
                <w:sz w:val="18"/>
                <w:szCs w:val="18"/>
                <w:color w:val="auto"/>
              </w:rPr>
            </w:pPr>
          </w:p>
        </w:tc>
      </w:tr>
      <w:tr>
        <w:trPr>
          <w:trHeight w:val="220"/>
        </w:trPr>
        <w:tc>
          <w:tcPr>
            <w:tcW w:w="3920" w:type="dxa"/>
            <w:vAlign w:val="bottom"/>
          </w:tcPr>
          <w:p>
            <w:pPr>
              <w:spacing w:after="0"/>
              <w:rPr>
                <w:sz w:val="19"/>
                <w:szCs w:val="19"/>
                <w:color w:val="auto"/>
              </w:rPr>
            </w:pPr>
          </w:p>
        </w:tc>
        <w:tc>
          <w:tcPr>
            <w:tcW w:w="32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New York, NY 10119</w:t>
            </w:r>
          </w:p>
        </w:tc>
        <w:tc>
          <w:tcPr>
            <w:tcW w:w="3420" w:type="dxa"/>
            <w:vAlign w:val="bottom"/>
          </w:tcPr>
          <w:p>
            <w:pPr>
              <w:spacing w:after="0"/>
              <w:rPr>
                <w:sz w:val="19"/>
                <w:szCs w:val="19"/>
                <w:color w:val="auto"/>
              </w:rPr>
            </w:pPr>
          </w:p>
        </w:tc>
      </w:tr>
      <w:tr>
        <w:trPr>
          <w:trHeight w:val="398"/>
        </w:trPr>
        <w:tc>
          <w:tcPr>
            <w:tcW w:w="3920" w:type="dxa"/>
            <w:vAlign w:val="bottom"/>
          </w:tcPr>
          <w:p>
            <w:pPr>
              <w:spacing w:after="0"/>
              <w:rPr>
                <w:sz w:val="24"/>
                <w:szCs w:val="24"/>
                <w:color w:val="auto"/>
              </w:rPr>
            </w:pPr>
          </w:p>
        </w:tc>
        <w:tc>
          <w:tcPr>
            <w:tcW w:w="32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United States</w:t>
            </w:r>
            <w:r>
              <w:rPr>
                <w:rFonts w:ascii="Times New Roman" w:cs="Times New Roman" w:eastAsia="Times New Roman" w:hAnsi="Times New Roman"/>
                <w:sz w:val="29"/>
                <w:szCs w:val="29"/>
                <w:b w:val="1"/>
                <w:bCs w:val="1"/>
                <w:color w:val="auto"/>
                <w:w w:val="98"/>
                <w:vertAlign w:val="superscript"/>
              </w:rPr>
              <w:t>1</w:t>
            </w:r>
          </w:p>
        </w:tc>
        <w:tc>
          <w:tcPr>
            <w:tcW w:w="3420" w:type="dxa"/>
            <w:vAlign w:val="bottom"/>
          </w:tcPr>
          <w:p>
            <w:pPr>
              <w:spacing w:after="0"/>
              <w:rPr>
                <w:sz w:val="24"/>
                <w:szCs w:val="24"/>
                <w:color w:val="auto"/>
              </w:rPr>
            </w:pPr>
          </w:p>
        </w:tc>
      </w:tr>
    </w:tbl>
    <w:p>
      <w:pPr>
        <w:spacing w:after="0" w:line="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Viaduktstrasse 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4051 Basel</w:t>
      </w:r>
    </w:p>
    <w:p>
      <w:pPr>
        <w:jc w:val="center"/>
        <w:spacing w:after="0" w:line="192" w:lineRule="auto"/>
        <w:rPr>
          <w:sz w:val="20"/>
          <w:szCs w:val="20"/>
          <w:color w:val="auto"/>
        </w:rPr>
      </w:pPr>
      <w:r>
        <w:rPr>
          <w:rFonts w:ascii="Times New Roman" w:cs="Times New Roman" w:eastAsia="Times New Roman" w:hAnsi="Times New Roman"/>
          <w:sz w:val="18"/>
          <w:szCs w:val="18"/>
          <w:b w:val="1"/>
          <w:bCs w:val="1"/>
          <w:color w:val="auto"/>
        </w:rPr>
        <w:t>Switzerland</w:t>
      </w:r>
      <w:r>
        <w:rPr>
          <w:rFonts w:ascii="Times New Roman" w:cs="Times New Roman" w:eastAsia="Times New Roman" w:hAnsi="Times New Roman"/>
          <w:sz w:val="29"/>
          <w:szCs w:val="29"/>
          <w:b w:val="1"/>
          <w:bCs w:val="1"/>
          <w:color w:val="auto"/>
          <w:vertAlign w:val="superscript"/>
        </w:rPr>
        <w:t>1</w:t>
      </w:r>
    </w:p>
    <w:p>
      <w:pPr>
        <w:jc w:val="center"/>
        <w:spacing w:after="0"/>
        <w:rPr>
          <w:sz w:val="20"/>
          <w:szCs w:val="20"/>
          <w:color w:val="auto"/>
        </w:rPr>
      </w:pPr>
      <w:r>
        <w:rPr>
          <w:rFonts w:ascii="Times New Roman" w:cs="Times New Roman" w:eastAsia="Times New Roman" w:hAnsi="Times New Roman"/>
          <w:sz w:val="18"/>
          <w:szCs w:val="18"/>
          <w:b w:val="1"/>
          <w:bCs w:val="1"/>
          <w:color w:val="auto"/>
        </w:rPr>
        <w:t>(Addresses of principal executive offices, and Zip Code)</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+44 207 400-3347</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540" w:firstLine="332"/>
        <w:spacing w:after="0" w:line="498" w:lineRule="auto"/>
        <w:tabs>
          <w:tab w:leader="none" w:pos="64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4"/>
        </w:trPr>
        <w:tc>
          <w:tcPr>
            <w:tcW w:w="36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Common Shares, $0.0000000341740141 per</w:t>
            </w:r>
          </w:p>
        </w:tc>
        <w:tc>
          <w:tcPr>
            <w:tcW w:w="220" w:type="dxa"/>
            <w:vAlign w:val="bottom"/>
          </w:tcPr>
          <w:p>
            <w:pPr>
              <w:spacing w:after="0"/>
              <w:rPr>
                <w:sz w:val="16"/>
                <w:szCs w:val="16"/>
                <w:color w:val="auto"/>
              </w:rPr>
            </w:pPr>
          </w:p>
        </w:tc>
        <w:tc>
          <w:tcPr>
            <w:tcW w:w="358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7"/>
              </w:rPr>
              <w:t>ROIV</w:t>
            </w:r>
          </w:p>
        </w:tc>
        <w:tc>
          <w:tcPr>
            <w:tcW w:w="220" w:type="dxa"/>
            <w:vAlign w:val="bottom"/>
          </w:tcPr>
          <w:p>
            <w:pPr>
              <w:spacing w:after="0"/>
              <w:rPr>
                <w:sz w:val="16"/>
                <w:szCs w:val="16"/>
                <w:color w:val="auto"/>
              </w:rPr>
            </w:pPr>
          </w:p>
        </w:tc>
        <w:tc>
          <w:tcPr>
            <w:tcW w:w="36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The Nasdaq Global Select Market</w:t>
            </w:r>
          </w:p>
        </w:tc>
      </w:tr>
      <w:tr>
        <w:trPr>
          <w:trHeight w:val="238"/>
        </w:trPr>
        <w:tc>
          <w:tcPr>
            <w:tcW w:w="38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3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20" w:type="dxa"/>
            <w:vAlign w:val="bottom"/>
          </w:tcPr>
          <w:p>
            <w:pPr>
              <w:spacing w:after="0"/>
              <w:rPr>
                <w:sz w:val="20"/>
                <w:szCs w:val="20"/>
                <w:color w:val="auto"/>
              </w:rPr>
            </w:pPr>
          </w:p>
        </w:tc>
      </w:tr>
    </w:tbl>
    <w:p>
      <w:pPr>
        <w:spacing w:after="0" w:line="198" w:lineRule="exact"/>
        <w:rPr>
          <w:sz w:val="24"/>
          <w:szCs w:val="24"/>
          <w:color w:val="auto"/>
        </w:rPr>
      </w:pPr>
    </w:p>
    <w:p>
      <w:pPr>
        <w:jc w:val="both"/>
        <w:ind w:right="5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23"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0" w:lineRule="exact"/>
        <w:rPr>
          <w:sz w:val="24"/>
          <w:szCs w:val="24"/>
          <w:color w:val="auto"/>
        </w:rPr>
      </w:pPr>
    </w:p>
    <w:p>
      <w:pPr>
        <w:ind w:left="180" w:hanging="172"/>
        <w:spacing w:after="0"/>
        <w:tabs>
          <w:tab w:leader="none" w:pos="180" w:val="left"/>
        </w:tabs>
        <w:numPr>
          <w:ilvl w:val="0"/>
          <w:numId w:val="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Addresses of wholly-owned subsidiaries of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1" w:name="page2"/>
    <w:bookmarkEnd w:id="1"/>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2.02.</w:t>
        <w:tab/>
        <w:t>Results of Operations and Financial Condition</w:t>
      </w:r>
    </w:p>
    <w:p>
      <w:pPr>
        <w:spacing w:after="0" w:line="22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On April 2, 2026, Roivant Sciences Ltd. (the “Company”) announced preliminary unaudited consolidated cash, cash equivalents and marketable securities as of March 31, 2026 of approximately $4.3 billion. For the three months ended March 31, 2026, the Company repurchased 3,956,362 common shares for an aggregate purchase price of approximately $109.7 million (excluding fees and commission).</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information in this Item 2.02 is unaudited and preliminary and does not present all information necessary for an understanding of the Company’s results of operations for the fiscal year ended March 31, 2026. The audit of the Company’s financial statements for the fiscal year ended March 31, 2026 is ongoing and could result in changes to the information in this Item 2.02.</w:t>
      </w:r>
    </w:p>
    <w:p>
      <w:pPr>
        <w:spacing w:after="0" w:line="17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information furnished under this Item 2.02 shall not be deemed “filed” for purposes of Section 18 of the Securities Exchange Act of 1934 or subject to the liabilities of that section or Sections 11 and 12(a)(2) of the Securities Act of 1933. The information in this Item 2.02 shall not be deemed incorporated by reference into any other filing with the SEC made by the Company, whether made before or after the date hereof, regardless of any general incorporation language in such filing.</w:t>
      </w:r>
    </w:p>
    <w:p>
      <w:pPr>
        <w:spacing w:after="0" w:line="176"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7.01.</w:t>
        <w:tab/>
        <w:t>Regulation FD Disclosure</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April 2, 2026, the Company issued a press release announcing a new Phase 2b/3 clinical program at Priovant for brepocitinib in lichen planopilaris. The press release also reported the topline results from Immunovant’s two Phase 3 clinical studies evaluating batoclimab as an investigational treatment for adults with active, moderate-to-severe thyroid eye disease. A copy of the press release is attached as Exhibit 99.1 hereto and is incorporated by reference in this Item 7.01.</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information furnished under this Item 7.01, including Exhibit 99.1, shall not be deemed “filed” for purposes of Section 18 of the Securities Exchange Act of 1934 or subject to the liabilities of that section or Sections 11 and 12(a)(2) of the Securities Act of 1933. The information in this Item 7.01, including Exhibit 99.1, shall not be deemed incorporated by reference into any other filing with the SEC made by the Company, whether made before or after the date hereof, regardless of any general incorporation language in such filing.</w:t>
      </w:r>
    </w:p>
    <w:p>
      <w:pPr>
        <w:spacing w:after="0" w:line="176"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9.01.</w:t>
        <w:tab/>
        <w:t>Financial Statements and Exhibits</w:t>
      </w:r>
    </w:p>
    <w:p>
      <w:pPr>
        <w:spacing w:after="0" w:line="229"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(d)</w:t>
      </w:r>
      <w:r>
        <w:rPr>
          <w:sz w:val="20"/>
          <w:szCs w:val="20"/>
          <w:color w:val="auto"/>
        </w:rPr>
        <w:tab/>
      </w:r>
      <w:r>
        <w:rPr>
          <w:rFonts w:ascii="Times New Roman" w:cs="Times New Roman" w:eastAsia="Times New Roman" w:hAnsi="Times New Roman"/>
          <w:sz w:val="17"/>
          <w:szCs w:val="17"/>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176"/>
        </w:trPr>
        <w:tc>
          <w:tcPr>
            <w:tcW w:w="1020" w:type="dxa"/>
            <w:vAlign w:val="bottom"/>
            <w:tcBorders>
              <w:top w:val="single" w:sz="8" w:color="auto"/>
            </w:tcBorders>
            <w:gridSpan w:val="2"/>
          </w:tcPr>
          <w:p>
            <w:pPr>
              <w:spacing w:after="0" w:line="176"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20" w:type="dxa"/>
            <w:vAlign w:val="bottom"/>
          </w:tcPr>
          <w:p>
            <w:pPr>
              <w:spacing w:after="0"/>
              <w:rPr>
                <w:sz w:val="15"/>
                <w:szCs w:val="15"/>
                <w:color w:val="auto"/>
              </w:rPr>
            </w:pPr>
          </w:p>
        </w:tc>
        <w:tc>
          <w:tcPr>
            <w:tcW w:w="10100" w:type="dxa"/>
            <w:vAlign w:val="bottom"/>
            <w:tcBorders>
              <w:top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Press Release, dated April 2, 2026.</w:t>
            </w:r>
          </w:p>
        </w:tc>
      </w:tr>
      <w:tr>
        <w:trPr>
          <w:trHeight w:val="237"/>
        </w:trPr>
        <w:tc>
          <w:tcPr>
            <w:tcW w:w="3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 Inline XBRL document).</w:t>
            </w:r>
          </w:p>
        </w:tc>
      </w:tr>
      <w:tr>
        <w:trPr>
          <w:trHeight w:val="398"/>
        </w:trPr>
        <w:tc>
          <w:tcPr>
            <w:tcW w:w="3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ROIVANT SCIENCES LTD.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Keyur Parekh</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Keyur Parekh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-127635</wp:posOffset>
            </wp:positionV>
            <wp:extent cx="335153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37"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Roivant Announces Expansion of Brepocitinib Development Program with New Phase 2b/3 Trial in Lichen Planopilaris (LPP) and Phase 3 Study Results for Batoclimab in Thyroid Eye Disease (TED)</w:t>
      </w:r>
    </w:p>
    <w:p>
      <w:pPr>
        <w:spacing w:after="0" w:line="159" w:lineRule="exact"/>
        <w:rPr>
          <w:sz w:val="20"/>
          <w:szCs w:val="20"/>
          <w:color w:val="auto"/>
        </w:rPr>
      </w:pPr>
    </w:p>
    <w:p>
      <w:pPr>
        <w:ind w:left="660" w:right="140" w:hanging="328"/>
        <w:spacing w:after="0" w:line="312" w:lineRule="auto"/>
        <w:tabs>
          <w:tab w:leader="none" w:pos="6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Lichen planopilaris (LPP) is a highly morbid inflammatory scalp disorder that causes generally irreversible scarring hair loss, often accompanied by profound pain, itch, and burning sensations; no FDA-approved therapies exist for LPP, highlighting a critical unmet therapeutic need</w:t>
      </w:r>
    </w:p>
    <w:p>
      <w:pPr>
        <w:spacing w:after="0" w:line="139"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LPP marks the fourth indication in brepocitinib’s expanding late-stage development program</w:t>
      </w:r>
    </w:p>
    <w:p>
      <w:pPr>
        <w:spacing w:after="0" w:line="225"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lines of evidence, including strong mechanistic rationale and clinically meaningful results in an investigator-initiated placebo-controlled study of brepocitinib in LPP, support rapid development of brepocitinib in this indication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seamless Phase 2b/3 potentially registrational trial of brepocitinib in LPP enrolled its first subjects in March 2026</w:t>
      </w:r>
    </w:p>
    <w:p>
      <w:pPr>
        <w:spacing w:after="0" w:line="225" w:lineRule="exact"/>
        <w:rPr>
          <w:rFonts w:ascii="Times New Roman" w:cs="Times New Roman" w:eastAsia="Times New Roman" w:hAnsi="Times New Roman"/>
          <w:sz w:val="18"/>
          <w:szCs w:val="18"/>
          <w:color w:val="auto"/>
        </w:rPr>
      </w:pPr>
    </w:p>
    <w:p>
      <w:pPr>
        <w:ind w:left="660" w:right="74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Immunovant’s Phase 3 studies of batoclimab in thyroid eye disease (TED) each failed to meet their primary endpoint; safety results were consistent with previous findings</w:t>
      </w:r>
    </w:p>
    <w:p>
      <w:pPr>
        <w:spacing w:after="0" w:line="161"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in the TED studies demonstrated greater levels of proptosis improvement from baseline after the initial 12-week high-dose period than after the following 12-week low-dose period, supporting the benefit of deeper IgG suppression. The hyperthyroid patients in the TED studies showed similar response rates of thyroid hormone normalization to those seen in the batoclimab Phase 2 study in Graves’ disease</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Immunovant remains focused on rapid advancement of IMVT-1402 in multiple indications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Roivant will host an investor call to discuss these updates today, April 2, 2026, at 8:00 a.m. ET</w:t>
      </w:r>
    </w:p>
    <w:p>
      <w:pPr>
        <w:spacing w:after="0" w:line="221"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BASEL, Switzerland and LONDON and NEW YORK, April 2, 2026 </w:t>
      </w:r>
      <w:r>
        <w:rPr>
          <w:rFonts w:ascii="Times New Roman" w:cs="Times New Roman" w:eastAsia="Times New Roman" w:hAnsi="Times New Roman"/>
          <w:sz w:val="18"/>
          <w:szCs w:val="18"/>
          <w:color w:val="auto"/>
        </w:rPr>
        <w:t>– Roivant (Nasdaq: ROIV) today announced a new Phase 2b/3 clinical program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brepocitinib in lichen planopilaris (LPP), a highly morbid inflammatory scalp disorder affecting approximately 100,000 adults in the United States, and reported the topline results from Immunovant’s two Phase 3 (GO) clinical studies evaluating batoclimab as an investigational treatment for adults with active, moderate-to-severe thyroid eye disease (TED).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Brepocitinib in LPP</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LPP inflammation targets the stem cell-rich bulge region of the hair follicle (the permanent portion responsible for hair growth), resulting in generally irreversible hair loss and permanent scarring. LPP is also associated with other burdensome symptoms, including pain, burning, itching, and scaling and an increased risk of comorbidities such as other autoimmune diseases and skin cancers. There are currently no FDA-approved therapies to treat LPP.</w:t>
      </w:r>
    </w:p>
    <w:p>
      <w:pPr>
        <w:spacing w:after="0" w:line="1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“Lichen planopilaris (LPP) is what my colleagues and I refer to as a ‘trichologic emergency,’” said Dr. Kristen Lo Sicco, Chief of the Skin and Cancer Unit at NYU Langone Health, Board Member of the Scarring Alopecia Foundation, and Associate Professor of Dermatology at the Ronald O. Perelman Department of Dermatology at NYU Grossman School of Medicine. “Absent early diagnosis and aggressive intervention, patients experience rapid hair loss that is generally irreversible, leaves permanent scarring, and is often accompanied by erythema, scaling, pain, itching and burning sensations. Untreated LPP also leads to increased risk of skin cancers and other comorbidities. Efficacious FDA-approved treatments are urgently needed.”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4" w:name="page5"/>
    <w:bookmarkEnd w:id="4"/>
    <w:p>
      <w:pPr>
        <w:ind w:right="80"/>
        <w:spacing w:after="0" w:line="258" w:lineRule="auto"/>
        <w:rPr>
          <w:sz w:val="20"/>
          <w:szCs w:val="20"/>
          <w:color w:val="auto"/>
        </w:rPr>
      </w:pPr>
      <w:r>
        <w:rPr>
          <w:rFonts w:ascii="Times New Roman" w:cs="Times New Roman" w:eastAsia="Times New Roman" w:hAnsi="Times New Roman"/>
          <w:sz w:val="18"/>
          <w:szCs w:val="18"/>
          <w:color w:val="auto"/>
        </w:rPr>
        <w:t>Priovant recently began enrolling subjects in a seamless Phase 2b/3 study of brepocitinib in LPP, with the first subjects enrolled in March 2026. This program marks Priovant’s fourth indication in late-stage clinical development, alongside dermatomyositis (DM), non-infectious uveitis (NIU) and cutaneous sarcoidosis (CS). The U.S. Food and Drug Administration (FDA) recently granted Priority Review to brepocitinib’s New Drug Application (NDA) for DM and assigned a Prescription Drug User Fee Act (PDUFA) target action date in the third quarter of calendar year 2026. Topline Phase 3 data in NIU and Phase 3 study initiation in CS are expected in the second half of calendar year 2026.</w:t>
      </w:r>
    </w:p>
    <w:p>
      <w:pPr>
        <w:spacing w:after="0" w:line="18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“Expanding brepocitinib into lichen planopilaris continues our strategy of developing brepocitinib in highly morbid orphan conditions with limited treatment options and distinctive mechanistic benefits of dual JAK1/TYK2 inhibition,” said Ben Zimmer, Priovant CEO. “Moreover, as we look ahead to our expected product launch in DM in September, we see LPP as a strategic fit into a multi-indication rheum-derm rare disease franchise anchored by DM, with overlapping prescriber bases and thought leaders.”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Immunovant Phase 3 Studies in TED</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Based on the pre-specified statistical analysis plan, the studies failed to meet their primary endpoint of ≥2mm proptosis responder rate at Week 24, following 12 weeks of high-dose and 12 weeks of low-dose batoclimab treatment. Safety results were consistent with previous findings, and no new safety signals were identified.</w:t>
      </w:r>
    </w:p>
    <w:p>
      <w:pPr>
        <w:spacing w:after="0" w:line="17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Patients in the TED studies had greater levels of proptosis improvement from baseline after the initial 12-week high-dose period than after the following 12-week low-dose period, supporting the benefit of deeper IgG suppression.</w:t>
      </w:r>
    </w:p>
    <w:p>
      <w:pPr>
        <w:spacing w:after="0" w:line="16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subset of hyperthyroid patients in the TED studies showed similar response rates of thyroid hormone normalization to those seen in the batoclimab Phase 2 study in Graves’ disease.</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Immunovant remains focused on rapidly advancing the clinical development of IMVT-1402, an investigational FcRn blocker, across multiple autoimmune diseases with significant unmet need, with Graves’ disease as a key strategic priority. Recent Phase 2 proof-of-concept data highlighted FcRn blockade as a potentially disease-modifying approach in Graves’ disease. Topline data from the potentially registrational studies of IMVT-1402 in Graves’ disease are expected in calendar year 2027.</w:t>
      </w:r>
    </w:p>
    <w:p>
      <w:pPr>
        <w:spacing w:after="0" w:line="180"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Immunovant intends to review future plans for the development of batoclimab with its partner HanAll Biopharma Co., Ltd. (HanAll) and to provide an update on the program, in conjunction with HanAll, at a future 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Conference Call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Roivant will host a live conference call and webcast at 8:00 a.m. ET on Thursday, April 2, 2026, to discuss these updates.</w:t>
      </w:r>
    </w:p>
    <w:p>
      <w:pPr>
        <w:spacing w:after="0" w:line="225"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 xml:space="preserve">To access the conference call by phone, please register online using this </w:t>
      </w:r>
      <w:r>
        <w:rPr>
          <w:rFonts w:ascii="Times New Roman" w:cs="Times New Roman" w:eastAsia="Times New Roman" w:hAnsi="Times New Roman"/>
          <w:sz w:val="18"/>
          <w:szCs w:val="18"/>
          <w:u w:val="single" w:color="auto"/>
          <w:color w:val="auto"/>
        </w:rPr>
        <w:t>registration link</w:t>
      </w:r>
      <w:r>
        <w:rPr>
          <w:rFonts w:ascii="Times New Roman" w:cs="Times New Roman" w:eastAsia="Times New Roman" w:hAnsi="Times New Roman"/>
          <w:sz w:val="18"/>
          <w:szCs w:val="18"/>
          <w:color w:val="auto"/>
        </w:rPr>
        <w:t>. The presentation and webcast details will also be available under “Events &amp; Presentations” in the Investors section of the Roivant website at https://investor.roivant.com/news-events/events. The archived webcast will be available on Roivant’s website after the conference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About Roivant</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Roivant (Nasdaq: ROIV) is a biopharmaceutical company that aims to improve the lives of patients by accelerating the development and commercialization of medicines that matter. Roivant’s pipeline includes brepocitinib, a potent small molecule inhibitor of JAK1 and TYK2 in development for the treatment of dermatomyositis, non-infectious uveitis, cutaneous sarcoidosis and lichen planopilaris; IMVT-1402 and batoclimab, fully human monoclonal antibodies targeting FcRn in development across several IgG-mediated autoimmune indications; and mosliciguat, an inhaled sGC activator in development for pulmonary hypertension associated with interstitial lung disease. We advance our pipeline by creating nimble subsidiaries or “Vants” to develop and commercialize our medicines and technologies. Beyond therapeutics, Roivant also incubates discovery-stage companies and health technology startups complementary to its biopharmaceutical business. For more information, visit https://roivant.com.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Roivant Forward-Looking Statements</w:t>
      </w:r>
    </w:p>
    <w:p>
      <w:pPr>
        <w:spacing w:after="0" w:line="229"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This press release contains forward-looking statements. Statements in this press release may include statements that are not historical facts and are considered forward-looking within the meaning of Section 27A of the Securities Act of 1933, as amended (the “Securities Act”), and Section 21E of the Securities Exchange Act of 1934, as amended (the “Exchange Act”), which are usually identified by the use of words such as “anticipate,” “believe,” “continue,” “could,” “estimate,” “expect,” “intends,” “may,” “might,” “plan,” “possible,” “potential,” “predict,” “project,” “should,” “would” and variations of such words or similar expressions. The words may identify forward-looking statements, but the absence of these words does not mean that a statement is not forward-looking. We intend these forward-looking statements to be covered by the safe harbor provisions for forward-looking statements contained in Section 27A of the Securities Act and Section 21E of the Exchange Act.</w:t>
      </w:r>
    </w:p>
    <w:p>
      <w:pPr>
        <w:spacing w:after="0" w:line="18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forward-looking statements include, but are not limited to, statements regarding our or our management team’s expectations, hopes, beliefs, intentions or strategies regarding the future, and statements that are not historical facts, including statements about the clinical and therapeutic potential of our product candidates, the availability and success of topline results from our ongoing clinical trials and any commercial potential of our product candidates following applicable regulatory approvals. In addition, any statements that refer to projections, forecasts or other characterizations of future events, results or circumstances, including any underlying assumptions, are forward-looking statements. Actual results may differ materially from those contemplated in these statements due to a variety of risks, uncertainties and other factors.</w:t>
      </w:r>
    </w:p>
    <w:p>
      <w:pPr>
        <w:spacing w:after="0" w:line="18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Although we believe that our plans, intentions, expectations and strategies as reflected in or suggested by those forward-looking statements are reasonable, we can give no assurance that the plans, intentions, expectations or strategies will be attained or achieved. Furthermore, actual results may differ materially from those described in the forward-looking statements and will be affected by a number of risks, uncertainties and assumptions, including, but not limited to, those risks set forth in the Risk Factors section of our filings with the U.S. Securities and Exchange Commission. Moreover, we operate in a very competitive and rapidly changing environment in which new risks emerge from time to time. These forward-looking statements are based upon the current expectations and beliefs of our management as of the date of this press release, and are subject to certain risks and uncertainties that could cause actual results to differ materially from those described in the forward-looking statements. Except as required by applicable law, we assume no obligation to update publicly any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244475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Keyur Parekh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keyur.parekh@roivant.com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Media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Stephanie Lee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stephanie.lee@roivant.com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2026-04-02T06:03:45Z</dcterms:created>
  <dcterms:modified xsi:type="dcterms:W3CDTF">2026-04-02T06:03:45Z</dcterms:modified>
</cp:coreProperties>
</file>