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Roivant Sciences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Axovant Sciences Ltd.</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AXON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74"/>
        <w:spacing w:after="0" w:line="268" w:lineRule="auto"/>
        <w:rPr>
          <w:sz w:val="20"/>
          <w:szCs w:val="20"/>
          <w:color w:val="auto"/>
        </w:rPr>
      </w:pPr>
      <w:r>
        <w:rPr>
          <w:rFonts w:ascii="Arial" w:cs="Arial" w:eastAsia="Arial" w:hAnsi="Arial"/>
          <w:sz w:val="18"/>
          <w:szCs w:val="18"/>
          <w:color w:val="0000FF"/>
        </w:rPr>
        <w:t>CLARENDON HOUSE, 2 CHURCH STREET</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HAMILTON  D0</w:t>
            </w:r>
          </w:p>
        </w:tc>
        <w:tc>
          <w:tcPr>
            <w:tcW w:w="920" w:type="dxa"/>
            <w:vAlign w:val="bottom"/>
          </w:tcPr>
          <w:p>
            <w:pPr>
              <w:ind w:left="440"/>
              <w:spacing w:after="0"/>
              <w:rPr>
                <w:sz w:val="20"/>
                <w:szCs w:val="20"/>
                <w:color w:val="auto"/>
              </w:rPr>
            </w:pPr>
            <w:r>
              <w:rPr>
                <w:rFonts w:ascii="Arial" w:cs="Arial" w:eastAsia="Arial" w:hAnsi="Arial"/>
                <w:sz w:val="18"/>
                <w:szCs w:val="18"/>
                <w:color w:val="0000FF"/>
                <w:w w:val="86"/>
              </w:rPr>
              <w:t>HM 11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267"/>
              <w:spacing w:after="0"/>
              <w:rPr>
                <w:sz w:val="20"/>
                <w:szCs w:val="20"/>
                <w:color w:val="auto"/>
              </w:rPr>
            </w:pPr>
            <w:r>
              <w:rPr>
                <w:rFonts w:ascii="Arial" w:cs="Arial" w:eastAsia="Arial" w:hAnsi="Arial"/>
                <w:sz w:val="18"/>
                <w:szCs w:val="18"/>
                <w:color w:val="0000FF"/>
              </w:rPr>
              <w:t>75,000,000</w:t>
            </w:r>
          </w:p>
        </w:tc>
        <w:tc>
          <w:tcPr>
            <w:tcW w:w="5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/s/Alison Haggerty, Attorney-</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06/10/2015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Divakar Gupta and Alison Haggerty of Cooley LLP, Christine Mikail Cvijic of Axovant Sciences, Inc. and any employee of Axovant Sciences Ltd. (the "Company") (or its wholly-owned subsidiaries) as may be designated by Christine Mikail Cvijic, signing individually, the undersigned's true and lawful attorneys-in fact and agents to:</w:t>
      </w:r>
    </w:p>
    <w:p>
      <w:pPr>
        <w:spacing w:after="0" w:line="210" w:lineRule="exact"/>
        <w:rPr>
          <w:sz w:val="20"/>
          <w:szCs w:val="20"/>
          <w:color w:val="auto"/>
        </w:rPr>
      </w:pPr>
    </w:p>
    <w:p>
      <w:pPr>
        <w:ind w:right="6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 ID or Forms</w:t>
      </w:r>
    </w:p>
    <w:p>
      <w:pPr>
        <w:ind w:right="1779"/>
        <w:spacing w:after="0" w:line="237" w:lineRule="auto"/>
        <w:rPr>
          <w:sz w:val="20"/>
          <w:szCs w:val="20"/>
          <w:color w:val="auto"/>
        </w:rPr>
      </w:pPr>
      <w:r>
        <w:rPr>
          <w:rFonts w:ascii="Courier New" w:cs="Courier New" w:eastAsia="Courier New" w:hAnsi="Courier New"/>
          <w:sz w:val="18"/>
          <w:szCs w:val="18"/>
          <w:color w:val="auto"/>
        </w:rPr>
        <w:t>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any of its wholly-owned subsidiaries, or Cooley LLP, as applicable.</w:t>
      </w:r>
    </w:p>
    <w:p>
      <w:pPr>
        <w:spacing w:after="0" w:line="210"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20, 2015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Roivant Sciences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By:/s/Marianne L. Romeo</w:t>
      </w:r>
    </w:p>
    <w:p>
      <w:pPr>
        <w:spacing w:after="0" w:line="238" w:lineRule="auto"/>
        <w:rPr>
          <w:sz w:val="20"/>
          <w:szCs w:val="20"/>
          <w:color w:val="auto"/>
        </w:rPr>
      </w:pPr>
      <w:r>
        <w:rPr>
          <w:rFonts w:ascii="Courier New" w:cs="Courier New" w:eastAsia="Courier New" w:hAnsi="Courier New"/>
          <w:sz w:val="18"/>
          <w:szCs w:val="18"/>
          <w:color w:val="auto"/>
        </w:rPr>
        <w:t>Name: Marianne L. Romeo</w:t>
      </w:r>
    </w:p>
    <w:p>
      <w:pPr>
        <w:spacing w:after="0"/>
        <w:rPr>
          <w:sz w:val="20"/>
          <w:szCs w:val="20"/>
          <w:color w:val="auto"/>
        </w:rPr>
      </w:pPr>
      <w:r>
        <w:rPr>
          <w:rFonts w:ascii="Courier New" w:cs="Courier New" w:eastAsia="Courier New" w:hAnsi="Courier New"/>
          <w:sz w:val="18"/>
          <w:szCs w:val="18"/>
          <w:color w:val="auto"/>
        </w:rPr>
        <w:t>Title: Head, Global Transactions &amp; Risk Management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5088" TargetMode="External"/><Relationship Id="rId12" Type="http://schemas.openxmlformats.org/officeDocument/2006/relationships/hyperlink" Target="http://www.sec.gov/cgi-bin/browse-edgar?action=getcompany&amp;CIK=00016360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2019-12-24T03:04:53Z</dcterms:created>
  <dcterms:modified xsi:type="dcterms:W3CDTF">2019-12-24T03:04:53Z</dcterms:modified>
</cp:coreProperties>
</file>