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the fiscal year ended March 31, 2026</w:t>
      </w:r>
    </w:p>
    <w:p>
      <w:pPr>
        <w:spacing w:after="0" w:line="31" w:lineRule="exact"/>
        <w:rPr>
          <w:sz w:val="24"/>
          <w:szCs w:val="24"/>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___________to___________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001-40782</w:t>
      </w:r>
    </w:p>
    <w:p>
      <w:pPr>
        <w:spacing w:after="0" w:line="9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98-1173944</w:t>
            </w:r>
          </w:p>
        </w:tc>
      </w:tr>
      <w:tr>
        <w:trPr>
          <w:trHeight w:val="248"/>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504"/>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1440" w:type="dxa"/>
            <w:vAlign w:val="bottom"/>
          </w:tcPr>
          <w:p>
            <w:pPr>
              <w:spacing w:after="0"/>
              <w:rPr>
                <w:sz w:val="24"/>
                <w:szCs w:val="24"/>
                <w:color w:val="auto"/>
              </w:rPr>
            </w:pPr>
          </w:p>
        </w:tc>
      </w:tr>
      <w:tr>
        <w:trPr>
          <w:trHeight w:val="216"/>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8"/>
              </w:rPr>
              <w:t>50 Broadway</w:t>
            </w:r>
          </w:p>
        </w:tc>
        <w:tc>
          <w:tcPr>
            <w:tcW w:w="1440" w:type="dxa"/>
            <w:vAlign w:val="bottom"/>
          </w:tcPr>
          <w:p>
            <w:pPr>
              <w:spacing w:after="0"/>
              <w:rPr>
                <w:sz w:val="18"/>
                <w:szCs w:val="18"/>
                <w:color w:val="auto"/>
              </w:rPr>
            </w:pPr>
          </w:p>
        </w:tc>
      </w:tr>
      <w:tr>
        <w:trPr>
          <w:trHeight w:val="216"/>
        </w:trPr>
        <w:tc>
          <w:tcPr>
            <w:tcW w:w="63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London SW1H 0DB</w:t>
            </w:r>
          </w:p>
        </w:tc>
        <w:tc>
          <w:tcPr>
            <w:tcW w:w="1440" w:type="dxa"/>
            <w:vAlign w:val="bottom"/>
          </w:tcPr>
          <w:p>
            <w:pPr>
              <w:spacing w:after="0"/>
              <w:rPr>
                <w:sz w:val="18"/>
                <w:szCs w:val="18"/>
                <w:color w:val="auto"/>
              </w:rPr>
            </w:pPr>
          </w:p>
        </w:tc>
      </w:tr>
      <w:tr>
        <w:trPr>
          <w:trHeight w:val="238"/>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440" w:type="dxa"/>
            <w:vAlign w:val="bottom"/>
          </w:tcPr>
          <w:p>
            <w:pPr>
              <w:spacing w:after="0"/>
              <w:rPr>
                <w:sz w:val="20"/>
                <w:szCs w:val="20"/>
                <w:color w:val="auto"/>
              </w:rPr>
            </w:pPr>
          </w:p>
        </w:tc>
      </w:tr>
      <w:tr>
        <w:trPr>
          <w:trHeight w:val="243"/>
        </w:trPr>
        <w:tc>
          <w:tcPr>
            <w:tcW w:w="63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48"/>
        </w:trPr>
        <w:tc>
          <w:tcPr>
            <w:tcW w:w="63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1 Pennsylvania Plaza</w:t>
            </w:r>
          </w:p>
        </w:tc>
        <w:tc>
          <w:tcPr>
            <w:tcW w:w="1440" w:type="dxa"/>
            <w:vAlign w:val="bottom"/>
          </w:tcPr>
          <w:p>
            <w:pPr>
              <w:spacing w:after="0"/>
              <w:rPr>
                <w:sz w:val="21"/>
                <w:szCs w:val="21"/>
                <w:color w:val="auto"/>
              </w:rPr>
            </w:pPr>
          </w:p>
        </w:tc>
      </w:tr>
      <w:tr>
        <w:trPr>
          <w:trHeight w:val="216"/>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54th Floor</w:t>
            </w:r>
          </w:p>
        </w:tc>
        <w:tc>
          <w:tcPr>
            <w:tcW w:w="1440" w:type="dxa"/>
            <w:vAlign w:val="bottom"/>
          </w:tcPr>
          <w:p>
            <w:pPr>
              <w:spacing w:after="0"/>
              <w:rPr>
                <w:sz w:val="18"/>
                <w:szCs w:val="18"/>
                <w:color w:val="auto"/>
              </w:rPr>
            </w:pPr>
          </w:p>
        </w:tc>
      </w:tr>
      <w:tr>
        <w:trPr>
          <w:trHeight w:val="216"/>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440" w:type="dxa"/>
            <w:vAlign w:val="bottom"/>
          </w:tcPr>
          <w:p>
            <w:pPr>
              <w:spacing w:after="0"/>
              <w:rPr>
                <w:sz w:val="18"/>
                <w:szCs w:val="18"/>
                <w:color w:val="auto"/>
              </w:rPr>
            </w:pPr>
          </w:p>
        </w:tc>
      </w:tr>
      <w:tr>
        <w:trPr>
          <w:trHeight w:val="321"/>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7"/>
              </w:rPr>
              <w:t>United States</w:t>
            </w:r>
            <w:r>
              <w:rPr>
                <w:rFonts w:ascii="Times New Roman" w:cs="Times New Roman" w:eastAsia="Times New Roman" w:hAnsi="Times New Roman"/>
                <w:sz w:val="23"/>
                <w:szCs w:val="23"/>
                <w:b w:val="1"/>
                <w:bCs w:val="1"/>
                <w:color w:val="auto"/>
                <w:w w:val="97"/>
                <w:vertAlign w:val="superscript"/>
              </w:rPr>
              <w:t>1</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10119</w:t>
            </w:r>
          </w:p>
        </w:tc>
      </w:tr>
      <w:tr>
        <w:trPr>
          <w:trHeight w:val="408"/>
        </w:trPr>
        <w:tc>
          <w:tcPr>
            <w:tcW w:w="63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Viaduktstrasse 8</w:t>
            </w:r>
          </w:p>
        </w:tc>
        <w:tc>
          <w:tcPr>
            <w:tcW w:w="1440" w:type="dxa"/>
            <w:vAlign w:val="bottom"/>
          </w:tcPr>
          <w:p>
            <w:pPr>
              <w:spacing w:after="0"/>
              <w:rPr>
                <w:sz w:val="24"/>
                <w:szCs w:val="24"/>
                <w:color w:val="auto"/>
              </w:rPr>
            </w:pPr>
          </w:p>
        </w:tc>
      </w:tr>
      <w:tr>
        <w:trPr>
          <w:trHeight w:val="216"/>
        </w:trPr>
        <w:tc>
          <w:tcPr>
            <w:tcW w:w="63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rPr>
              <w:t>4051 Basel</w:t>
            </w:r>
          </w:p>
        </w:tc>
        <w:tc>
          <w:tcPr>
            <w:tcW w:w="1440" w:type="dxa"/>
            <w:vAlign w:val="bottom"/>
          </w:tcPr>
          <w:p>
            <w:pPr>
              <w:spacing w:after="0"/>
              <w:rPr>
                <w:sz w:val="18"/>
                <w:szCs w:val="18"/>
                <w:color w:val="auto"/>
              </w:rPr>
            </w:pPr>
          </w:p>
        </w:tc>
      </w:tr>
      <w:tr>
        <w:trPr>
          <w:trHeight w:val="270"/>
        </w:trPr>
        <w:tc>
          <w:tcPr>
            <w:tcW w:w="63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8"/>
              </w:rPr>
              <w:t>Switzerland</w:t>
            </w:r>
            <w:r>
              <w:rPr>
                <w:rFonts w:ascii="Times New Roman" w:cs="Times New Roman" w:eastAsia="Times New Roman" w:hAnsi="Times New Roman"/>
                <w:sz w:val="23"/>
                <w:szCs w:val="23"/>
                <w:b w:val="1"/>
                <w:bCs w:val="1"/>
                <w:color w:val="auto"/>
                <w:w w:val="98"/>
                <w:vertAlign w:val="superscript"/>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8"/>
        </w:trPr>
        <w:tc>
          <w:tcPr>
            <w:tcW w:w="63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91"/>
        </w:trPr>
        <w:tc>
          <w:tcPr>
            <w:tcW w:w="638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+44 207 400 3347</w:t>
            </w:r>
          </w:p>
        </w:tc>
        <w:tc>
          <w:tcPr>
            <w:tcW w:w="1440" w:type="dxa"/>
            <w:vAlign w:val="bottom"/>
          </w:tcPr>
          <w:p>
            <w:pPr>
              <w:spacing w:after="0"/>
              <w:rPr>
                <w:sz w:val="24"/>
                <w:szCs w:val="24"/>
                <w:color w:val="auto"/>
              </w:rPr>
            </w:pPr>
          </w:p>
        </w:tc>
      </w:tr>
      <w:tr>
        <w:trPr>
          <w:trHeight w:val="238"/>
        </w:trPr>
        <w:tc>
          <w:tcPr>
            <w:tcW w:w="63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40" w:type="dxa"/>
            <w:vAlign w:val="bottom"/>
          </w:tcPr>
          <w:p>
            <w:pPr>
              <w:spacing w:after="0"/>
              <w:rPr>
                <w:sz w:val="20"/>
                <w:szCs w:val="20"/>
                <w:color w:val="auto"/>
              </w:rPr>
            </w:pPr>
          </w:p>
        </w:tc>
      </w:tr>
    </w:tbl>
    <w:p>
      <w:pPr>
        <w:spacing w:after="0" w:line="9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4"/>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Shares, $0.0000000341740141 per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ROIV</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38"/>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2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1440" w:right="359" w:bottom="128" w:gutter="0" w:footer="0" w:header="0"/>
        </w:sectPr>
      </w:pPr>
    </w:p>
    <w:bookmarkStart w:id="1" w:name="page2"/>
    <w:bookmarkEnd w:id="1"/>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20"/>
              <w:spacing w:after="0"/>
              <w:rPr>
                <w:sz w:val="20"/>
                <w:szCs w:val="20"/>
                <w:color w:val="auto"/>
              </w:rPr>
            </w:pPr>
            <w:r>
              <w:rPr>
                <w:rFonts w:ascii="Wingdings" w:cs="Wingdings" w:eastAsia="Wingdings" w:hAnsi="Wingdings"/>
                <w:sz w:val="18"/>
                <w:szCs w:val="18"/>
                <w:b w:val="1"/>
                <w:bCs w:val="1"/>
                <w:color w:val="auto"/>
              </w:rPr>
              <w:t>x</w:t>
            </w:r>
          </w:p>
        </w:tc>
        <w:tc>
          <w:tcPr>
            <w:tcW w:w="51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20"/>
              <w:spacing w:after="0"/>
              <w:rPr>
                <w:sz w:val="20"/>
                <w:szCs w:val="20"/>
                <w:color w:val="auto"/>
              </w:rPr>
            </w:pPr>
            <w:r>
              <w:rPr>
                <w:rFonts w:ascii="Wingdings" w:cs="Wingdings" w:eastAsia="Wingdings" w:hAnsi="Wingdings"/>
                <w:sz w:val="18"/>
                <w:szCs w:val="18"/>
                <w:b w:val="1"/>
                <w:bCs w:val="1"/>
                <w:color w:val="auto"/>
              </w:rPr>
              <w:t>o</w:t>
            </w:r>
          </w:p>
        </w:tc>
        <w:tc>
          <w:tcPr>
            <w:tcW w:w="51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19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51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As of September 30, 2025 (the last business day of the registrant’s most recently completed second fiscal quarter), the aggregate market value of the registrant’s common shares, par value $0.0000000341740141 per share (the “common shares”), held by non-affiliates of the registrant was approximately $9.8 billion, based on the closing price of the common shares on The Nasdaq Global Select Market on September 30, 2025 of $15.13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12, 2026 there were 719,270,385 common shares outstanding.</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Specified portions of the registrant’s proxy statement to be issued in conjunction with the registrant’s 2026 Annual Meeting of Shareholders, which is expected to be filed not later than 120 days after the registrant’s fiscal year ended March 31, 2026, are incorporated by reference into Part III of this Annual Report on Form 10-K. Except as expressly incorporated by reference, the registrant’s proxy statement shall not be deemed to be a part of this Annual Report on Form 10-K.</w:t>
      </w:r>
    </w:p>
    <w:p>
      <w:pPr>
        <w:spacing w:after="0" w:line="338"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Addresses of wholly-owned 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2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4"/>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1C.</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Cybersecurity</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Properties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405"/>
        </w:trPr>
        <w:tc>
          <w:tcPr>
            <w:tcW w:w="1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gridSpan w:val="2"/>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gridSpan w:val="2"/>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gridSpan w:val="2"/>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9C.</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405"/>
        </w:trPr>
        <w:tc>
          <w:tcPr>
            <w:tcW w:w="1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Executive Compensation</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gridSpan w:val="2"/>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gridSpan w:val="2"/>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405"/>
        </w:trPr>
        <w:tc>
          <w:tcPr>
            <w:tcW w:w="1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16.</w:t>
            </w: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Form 10-K Summary</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spacing w:after="0"/>
              <w:rPr>
                <w:sz w:val="17"/>
                <w:szCs w:val="17"/>
                <w:color w:val="auto"/>
              </w:rPr>
            </w:pPr>
          </w:p>
        </w:tc>
        <w:tc>
          <w:tcPr>
            <w:tcW w:w="894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unless otherwise stated or as the context requires, references to “Roivant,” the “Company,” “we,” “us,” “our” or similar references refer to Roivant Sciences Ltd., together with its consolidated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statements, including matters discussed under Part I, Item 1A. “Risk Factors,” Part I, Item 3. “Legal Proceedings” and Part II, Item 7. “Management’s Discussion and Analysis of Financial Condition and Results of Operations” and in other sections of this report, that are “forward-looking statements” within the meaning of Section 27A of the Securities Act of 1933 (the “Securities Act”) and Section 21E of the Securities Exchange Act of 1934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183"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limited operating history and the inherent uncertainties and risks involved in biopharmaceutical product development and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new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will likely incur significant losses for the foreseeable future and may never achieve sustained profitability;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Immunovant relies on a license agreement with HanAll Biopharma Co., Ltd. to provide the rights to the core intellectual property relating to IMVT-1402 and batoclimab;</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capital and personnel across our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Vant 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payments we may owe in connection with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and other governmental trade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uncertain and rapidly changing global and regional economic, political and public health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divestitures and other strategic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cash, cash equivalents and marketable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holdings of cash, cash equivalents and marketable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need for additional capital to fund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potential for future growth relying on a number of assumptions, some or all of which may not be realized;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inadequacy or uncertainty of funding levels for the Food and Drug Administration (“FDA”), United States Patent and Trademark Office (“USPTO”), Securities and Exchange Commission (“SEC”) or other government agencies;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or certain of our Vants’ manufacturing, laboratory research or clinical trial activities taking place in Asia and the possibility of a significant disruption in that region, such as a trade war or political unrest;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targeting biotechnology companies with ties to certain foreign adversaries, including the BIOSECURE Act;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which are very expensive, time-consuming, difficult to design and implement and involve uncertain outcomes;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not supporting our proposed claims for our product candidates or regulatory approvals on a timely basis or at all, and the results of earlier studies and trials not being predictive of future trial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preliminary or topline data from our clinical trials changing as more patient data become available and are subject to audit or verification procedures;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we may encounter enrolling and retaining patients in clinical trials, which could delay or otherwise adversely affect clinical development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candidate manufacturing or formulation that could result in additional costs or delays;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obtaining approval of a new drug is an extensive, lengthy, expensive and inherently uncertain process and the FDA or another regulatory authority may delay, limit or deny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clinical trials to demonstrate substantial evidence of the safety and efficacy of our product candidates;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side effects caused by our product candidates that halt their clinical development, delay or prevent their regulatory approval, limit the scope of any approved label or market acceptance following regulatory approval or result in negative consequences;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non-U.S. regulatory authorities being lengthy, time consuming and inherently unpredictable, and gaining approval for a product candidate in one country or jurisdiction does not guarantee that we will make efforts to, or be able to, obtain approval for or commercialize it in any other jurisdiction, which would limit our ability to realize our full market potential;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remaining subject to extensive regulatory scrutiny following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development of product candidates for the treatment of conditions for which there is little clinical experience and, in some cases, our use of new endpoints or methodologies;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or continuously improve our quality management program;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Breakthrough Therapy Designation, Fast Track Designation or Orphan Drug Designation by the FDA or similar status granted by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 for our product candidates not guaranteeing that they will achieve market acceptance by physicians, patients, third-party payors or others in the medical community necessary for commercial success;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supervise and monitor our clinical trials to perform in a satisfactory manner or to comply with applicable requirements;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not having our own manufacturing capabilities and reliance on third parties to produce clinical and commercial supplies of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an environment of rapid technological and scientific change, and the possibility that our competitors may achieve certain regulatory approvals before us or develop therapies that are safer, more advanced or more effective than ours;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key personnel and our ability to attract, motivate and retain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use of artificial intelligence (“AI”) could expose us to liability or adversely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other intellectual property protection for our technology and product candidates;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issue of the patent applications that we own or in-license with respect to our product candidates if their validity, patentability, enforceability, breadth or strength of protection is threatened or if they fail to provide meaningful exclusivity for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inadequacy of the length of our patent terms to protect the competitive position of our product candidates for an adequate amount of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our performance does not meet market expectations, the price of our securities may decline;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we fail to maintain proper and effective internal control over financial reporting, our ability to produce accurate and timely financial statements could be impaired, investors may lose confidence in our financial reporting and the trading price of our common shares may decline;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of the percentage ownership of our shareholders caused by future sales and issuances of our or the Vants’ equity securities or rights to purchase equity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perception of future sales, of our common shares by us or our existing shareholders, and the impact thereof on the price of our common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potential litigation, including but not limited to our expectations regarding the outcome of any such litigation and costs and expenses associated with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and uncertainties, including those described under Part I, Item 1A. “Risk Factors.”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In addition, investors and others should note that we may announce material business and financial information to our investors using our investor relations website (https://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investor.roivant.com/), filings we make with the Securities and Exchange Commission, webcasts, press releases and conference calls. We use these mediums, including our website, to communicate with our shareholders and the public about our company, our product candidates and other matters. It is possible that the information that we make available may be deemed to be material information. We therefore encourage investors and others interested in our company to review the information that we make available on our website. Information contained on, or that can be accessed through,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consider carefully the risks described under “Risk Factors” in Part I, Item 1A. of this Annual Report on Form 10-K. A summary of the risks that could materially and adversely affect our business, financial condition, operating results and prospects include the following:</w:t>
      </w:r>
    </w:p>
    <w:p>
      <w:pPr>
        <w:spacing w:after="0" w:line="162" w:lineRule="exact"/>
        <w:rPr>
          <w:sz w:val="20"/>
          <w:szCs w:val="20"/>
          <w:color w:val="auto"/>
        </w:rPr>
      </w:pPr>
    </w:p>
    <w:p>
      <w:pPr>
        <w:ind w:left="820" w:right="20" w:hanging="488"/>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limited operating history and the inherent uncertainties and risks involved in biopharmaceutical product development and commercialization may make it difficult for us to execute on our business model and for you to assess our future prospects.</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acquire or in-license new product candidates, and newly acquired or in-licensed product candidates may not perform as expected in clinical trials or be successful in eventually achieving marketing approvals.</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likely incur significant operating losses for the foreseeable future and may never achieve sustained profitability.</w:t>
      </w:r>
    </w:p>
    <w:p>
      <w:pPr>
        <w:spacing w:after="0" w:line="22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 relies on the HanAll Agreement to provide the rights to the core intellectual property relating to IMVT-1402 and batoclimab. Any termination or loss of significant rights under the HanAll Agreement would adversely affect Immunovant’s development and commercialization of IMVT-1402 and batoclimab.</w:t>
      </w:r>
    </w:p>
    <w:p>
      <w:pPr>
        <w:spacing w:after="0" w:line="17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allocation of capital and personnel across our businesses.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Vant structure.</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potential future payments we may owe in connection with our product candidates.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and other governmental trade policies could negatively affect our business and results of operations.</w:t>
      </w:r>
    </w:p>
    <w:p>
      <w:pPr>
        <w:spacing w:after="0" w:line="225"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uncertain and rapidly changing global and regional economic, political and public health conditions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acquisitions, divestitures and other strategic transactions.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use of our cash, cash equivalents and marketable securities.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our significant holdings of cash, cash equivalents and marketable securities.</w:t>
      </w:r>
    </w:p>
    <w:p>
      <w:pPr>
        <w:spacing w:after="0" w:line="225"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have a need for additional capital under our current operating plans as a result of our current liquidity position, we may face risks in the future relating to the need for additional capital to fund our operations.</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potential for future growth rely on a number of assumptions, some or all of which may not be realized.</w:t>
      </w:r>
    </w:p>
    <w:p>
      <w:pPr>
        <w:spacing w:after="0" w:line="22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or uncertain funding levels for the FDA, USPTO, SEC or other government agencies, including from government shut downs or significant changes in leadership personnel or policies, could hinder, delay or result in the suspension of those agencies’ operations, which could harm our business.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hanging="488"/>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or certain of our Vants’ manufacturing, laboratory research or clinical trial activities takes place in Asia. A significant disruption in that region, such as a trade war or political unrest, could materially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targeting biotechnology companies with ties to certain foreign adversaries, including the BIOSECURE Act, could materially adversely affect our business, supply chain and results of operations.</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175"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support our proposed claims for our product candidates or regulatory approvals on a timely basis or at all, and the results of earlier studies and trials may not be predictive of future trial results.</w:t>
      </w:r>
    </w:p>
    <w:p>
      <w:pPr>
        <w:spacing w:after="0" w:line="161"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preliminary or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enrolling and retaining patients in clinical trials and clinical development activities could thereby be delayed or otherwise adversely affected.</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methods of product manufacturing or formulation may result in additional costs or delays.</w:t>
      </w:r>
    </w:p>
    <w:p>
      <w:pPr>
        <w:spacing w:after="0" w:line="225"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of a new drug is an extensive, lengthy, expensive and inherently uncertain process, and the FDA or another regulatory authority may delay, limit or deny approval. We cannot give any assurance that any of our product candidates will receive regulatory approval, which is necessary before they can be commercialized. If we are unable to obtain regulatory approval in one or more jurisdictions for any of our product candidates, our business will be substantially harmed.</w:t>
      </w:r>
    </w:p>
    <w:p>
      <w:pPr>
        <w:spacing w:after="0" w:line="179"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halt their clinical development, delay or prevent their regulatory approval, limit the scope of any approved label or market acceptance following regulatory approval or result in significant negative consequences.</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non-U.S. regulatory authorities are lengthy, time consuming and inherently unpredictable, and gaining approval for a product candidate in one country or jurisdiction does not guarantee that we will make efforts to, or be able to, obtain approval for or commercialize it in any other jurisdiction, which would limit our ability to realize our full market potential.</w:t>
      </w:r>
    </w:p>
    <w:p>
      <w:pPr>
        <w:spacing w:after="0" w:line="17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regulatory approvals, our products will remain subject to extensive regulatory scrutiny.</w:t>
      </w:r>
    </w:p>
    <w:p>
      <w:pPr>
        <w:spacing w:after="0" w:line="22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product candidates for the treatment of conditions for which there is little clinical experience and, in some cases, use new endpoints or methodologies, and the FDA or other regulatory authorities may not consider the endpoints of these clinical trials to provide clinically meaningful results.</w:t>
      </w:r>
    </w:p>
    <w:p>
      <w:pPr>
        <w:spacing w:after="0" w:line="175"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or continuously improve our quality management program could have an adverse effect upon our business, subject us to regulatory actions and cause patients to lose confidence in us or our product candidates, among other negative consequences.</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Breakthrough Therapy Designation, Fast Track Designation or Orphan Drug Designation by the FDA or similar status granted by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hanging="488"/>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 for our product candidates does not guarantee that they will achieve market acceptance by physicians, patients, third-party payors or others in the medical community necessary for commercial success.</w:t>
      </w:r>
    </w:p>
    <w:p>
      <w:pPr>
        <w:spacing w:after="0" w:line="161"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supervise and monitor our clinical trials, and if those third parties perform in an unsatisfactory manner or fail to comply with applicable requirements, it may harm our business.</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our own manufacturing capabilities and rely on third parties to produce clinical and commercial supplies of our product candidates.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obtained the industry and market data included in this Annual Report on Form 10-K from our own research as well as from industry and general publications, surveys and studies conducted by third parties. Industry and general publications, studies and surveys generally state that the information contained therein has been obtained from sources believed to be reliable, but the accuracy and completeness of such information is not guaranteed. These third parties may, in the future, alter the manner in which they conduct surveys and studies regarding the markets in which we operate our business. As a result, you should carefully consider the inherent risks and uncertainties associated with the industry and market data contained in this Annual Report on Form 10-K, including those discussed in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Roivant is a biopharmaceutical company that aims to improve the lives of patients by accelerating the development and commercialization of medicines that matter. Roivant’s pipeline includes brepocitinib, a potent small molecule inhibitor of JAK1 and TYK2 currently under review at the FDA for the treatment of dermatomyositis and also in late stage development for the treatment of non-infectious uveitis, cutaneous sarcoidosis and lichen planopilaris; IMVT-1402, a fully human monoclonal antibody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76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selected product candidates from our pipeline.</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6"/>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Candidate</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Vant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w:t>
            </w:r>
          </w:p>
        </w:tc>
      </w:tr>
      <w:tr>
        <w:trPr>
          <w:trHeight w:val="34"/>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Dermatomyositis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PDUFA Date 3Q</w:t>
            </w:r>
          </w:p>
        </w:tc>
      </w:tr>
      <w:tr>
        <w:trPr>
          <w:trHeight w:val="241"/>
        </w:trPr>
        <w:tc>
          <w:tcPr>
            <w:tcW w:w="2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Non-Infectious Uveitis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3*</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Cutaneous Sarcoidosis</w:t>
            </w:r>
          </w:p>
        </w:tc>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3*</w:t>
            </w: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Lichen Planopilaris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2b/3*</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Difficult-to-Treat</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2/3*</w:t>
            </w:r>
          </w:p>
        </w:tc>
      </w:tr>
      <w:tr>
        <w:trPr>
          <w:trHeight w:val="241"/>
        </w:trPr>
        <w:tc>
          <w:tcPr>
            <w:tcW w:w="2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Rheumatoid Arthritis</w:t>
            </w:r>
          </w:p>
        </w:tc>
        <w:tc>
          <w:tcPr>
            <w:tcW w:w="1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Graves’ Disease</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2/3*</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Myasthenia Gravis</w:t>
            </w:r>
          </w:p>
        </w:tc>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2/3*</w:t>
            </w: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Chronic Inflammatory Demyelinating</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2/3*</w:t>
            </w:r>
          </w:p>
        </w:tc>
      </w:t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Polyneuropathy</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Sjögren’s Disease</w:t>
            </w:r>
          </w:p>
        </w:tc>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2/3*</w:t>
            </w: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Cutaneous Lupus Erythematosus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2</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Mosliciguat</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Pulmonary Hypertension associated with</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Pulmovant</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Inhaled</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2</w:t>
            </w:r>
          </w:p>
        </w:tc>
      </w:tr>
      <w:tr>
        <w:trPr>
          <w:trHeight w:val="234"/>
        </w:trPr>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Interstitial Lung Disease</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7"/>
        </w:trPr>
        <w:tc>
          <w:tcPr>
            <w:tcW w:w="2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Note: All product candidates in our current pipeline are investigational and subject to health authority approval. The “Phase” for a specific product candidate referenced above reflects both ongoing clinical trials and expected upcoming trials.</w:t>
      </w:r>
    </w:p>
    <w:p>
      <w:pPr>
        <w:spacing w:after="0" w:line="158"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registrational or potentially registrational trials.</w:t>
      </w:r>
    </w:p>
    <w:p>
      <w:pPr>
        <w:spacing w:after="0" w:line="223"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The Vant Model</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Vant model unlocks key strategic advantages for Roivant and, we believe, ultimately enables us to develop transformative medicines for diseases for which there are no approved therapies or where the current standard of care treatment has significant limitations faster than our competitors. We believe we are uniquely positioned to accomplish this by:</w:t>
      </w:r>
    </w:p>
    <w:p>
      <w:pPr>
        <w:spacing w:after="0" w:line="172" w:lineRule="exact"/>
        <w:rPr>
          <w:sz w:val="20"/>
          <w:szCs w:val="20"/>
          <w:color w:val="auto"/>
        </w:rPr>
      </w:pPr>
    </w:p>
    <w:p>
      <w:pPr>
        <w:ind w:left="980" w:hanging="324"/>
        <w:spacing w:after="0" w:line="28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business development expertise to identify and in-license promising drug candidates: </w:t>
      </w:r>
      <w:r>
        <w:rPr>
          <w:rFonts w:ascii="Times New Roman" w:cs="Times New Roman" w:eastAsia="Times New Roman" w:hAnsi="Times New Roman"/>
          <w:sz w:val="18"/>
          <w:szCs w:val="18"/>
          <w:color w:val="auto"/>
        </w:rPr>
        <w:t>We assembled our product candidate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pipeline by leveraging our business development expertise and vast network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of industry relationships to relentlessly pursue opportunities to in-license or acquire programs where we believe we can deliver successful outcomes on accelerated timelines. Our pipeline expansion has been enabled by our strong track record of rapid and high-quality execution, as well as our ability to maintain a robust balance sheet to fund programs through development.</w:t>
      </w:r>
    </w:p>
    <w:p>
      <w:pPr>
        <w:spacing w:after="0" w:line="172" w:lineRule="exact"/>
        <w:rPr>
          <w:sz w:val="20"/>
          <w:szCs w:val="20"/>
          <w:color w:val="auto"/>
        </w:rPr>
      </w:pPr>
    </w:p>
    <w:p>
      <w:pPr>
        <w:jc w:val="both"/>
        <w:ind w:left="980" w:hanging="324"/>
        <w:spacing w:after="0" w:line="259"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Creating nimble, entrepreneurial Vants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Vants operate similarly to independent biotechnology companies where each management team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focused on its respective mission and is economically incentivized to maximize value through Vant-specific equity grants. Each of our Vant teams is built with deep relevant expertise to ensure successful execution of its particular development strategy. The Vant model is designed to facilitate rapid decision making and calculated risk taking, by empowering, aligning and incentivizing Vant teams around the outcomes of their specific product candidates.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Allocating capital to maximize R&amp;D efficiency: </w:t>
      </w:r>
      <w:r>
        <w:rPr>
          <w:rFonts w:ascii="Times New Roman" w:cs="Times New Roman" w:eastAsia="Times New Roman" w:hAnsi="Times New Roman"/>
          <w:sz w:val="18"/>
          <w:szCs w:val="18"/>
          <w:color w:val="auto"/>
        </w:rPr>
        <w:t>We apply an objective, rigorous decision-making framework across the drug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designed to ensure resources and capital are continuously directed towards programs we believe have the highest probability of success and away from those that fail to meet our rigorous internal hurdles. We centralize capital allocation decisions at the Roivant level, while distributing operational decisions to the Vants, allowing us to strategically deploy capital in high growth areas, regardless of potentially competing operational priorities.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Maintaining a diversified pipeline with various risk profiles: </w:t>
      </w:r>
      <w:r>
        <w:rPr>
          <w:rFonts w:ascii="Times New Roman" w:cs="Times New Roman" w:eastAsia="Times New Roman" w:hAnsi="Times New Roman"/>
          <w:sz w:val="18"/>
          <w:szCs w:val="18"/>
          <w:color w:val="auto"/>
        </w:rPr>
        <w:t>We have built a broad and differentiated pipeline that includes several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across different therapeutic areas, phases of development, modalities and geographies. This approach limits our exposure to concentrated scientific and biological risks and allows us to pursue multiple innovative hypotheses across our portfolio as we seek to develop therapies for patient populations with high unmet need.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Designing creative “win-win” deal structures: </w:t>
      </w:r>
      <w:r>
        <w:rPr>
          <w:rFonts w:ascii="Times New Roman" w:cs="Times New Roman" w:eastAsia="Times New Roman" w:hAnsi="Times New Roman"/>
          <w:sz w:val="18"/>
          <w:szCs w:val="18"/>
          <w:color w:val="auto"/>
        </w:rPr>
        <w:t>We structure our partnerships to balance risk and the potential for future value creation.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 a significant proportion of near-term expenses go toward development, allowing us to stage our investment and align incentives as well as limit losses in the event of a setback. Our scale and proven track record of developing successful product candidates assures partners we are uniquely capable of maximizing value for patients and investors.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and deploying proprietary technologies: </w:t>
      </w:r>
      <w:r>
        <w:rPr>
          <w:rFonts w:ascii="Times New Roman" w:cs="Times New Roman" w:eastAsia="Times New Roman" w:hAnsi="Times New Roman"/>
          <w:sz w:val="18"/>
          <w:szCs w:val="18"/>
          <w:color w:val="auto"/>
        </w:rPr>
        <w:t>We believe we are able to develop transformative medicines faster by building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applying computational tools to drug discovery, development and commercialization. We occupy a unique position at the intersection of biopharma and technology, having built our capabilities in parallel, optimizing each for synergy with the other, in contrast to big pharma who have added software tools to legacy workflows or technology startups that lack experience developing drugs. Vants have access to, and are supported by, these technologies.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Providing operating leverage through centralized support functions: </w:t>
      </w:r>
      <w:r>
        <w:rPr>
          <w:rFonts w:ascii="Times New Roman" w:cs="Times New Roman" w:eastAsia="Times New Roman" w:hAnsi="Times New Roman"/>
          <w:sz w:val="18"/>
          <w:szCs w:val="18"/>
          <w:color w:val="auto"/>
        </w:rPr>
        <w:t>Our model allows us to accelerate Vant formation and maturation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centralizing and sharing certain support functions across various Vants. Vants also benefit from access to our vast network of scientific experts, physicians and technologists to help optimize their clinical development activities and commercialization efforts.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structural advantages of the Vant model combined with our “force of will” culture and investor mindset have enabled us to achieve an impressive track record: Since Roivant’s founding in 2014, we have received 8 FDA approvals and completed 14 large registrational Phase 3 studies – 12 of which have yielded positive data (inclusive of approvals and Phase 3 studies from Vants transferred to Sumitomo Pharma and at Dermavant, which was acquired by Organon in October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Business Highlights</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Roivant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consolidated cash, cash equivalents and marketable securities of $4.3 billion as of March 31, 2026, supporting cash runway into profitability.</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Brepocitinib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hanging="324"/>
        <w:spacing w:after="0" w:line="258"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positive data in the Phase 3 VALOR study of brepocitinib in dermatomyositis (“DM”); brepocitinib 30 mg demonstrated clinically meaningful and statistically significant improvement compared to placebo on the primary endpoint and all nine key secondary endpoints, and the safety profile was consistent with previous clinical trials of brepocitinib. The FDA accepted brepocitinib’s New Drug Application (“NDA”) in DM with Priority Review and assigned a target action date in the third quarter of calendar year 2026. Commercial launch of brepocitinib in DM expected by the end of September 2026.</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in the ongoing Phase 3 CLARITY study of brepocitinib in non-infectious uveitis (“NIU”); topline data expected in the second half of calendar year 2026.</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positive results in the Phase 2 BEACON study of once-daily oral brepocitinib in cutaneous sarcoidosis (“CS”). Brepocitinib 45 mg demonstrated statistically significant improvements in CS disease activity, achieving a 22.3-point improvement in mean CSAMI-A at Week 16 versus a 0.7-point improvement in placebo. Brepocitinib demonstrated rapid, deep and sustained improvements across all other efficacy endpoints. Based on this positive Phase 2 data, the FDA has granted brepocitinib Breakthrough Therapy Designation for the treatment of CS; initiation of a Phase 3 program in CS expected in the second half of calendar year 2026.</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the first subjects in a seamless Phase 2b/3 potentially registrational trial of brepocitinib in lichen planopilaris (“LPP”).</w:t>
      </w:r>
    </w:p>
    <w:p>
      <w:pPr>
        <w:spacing w:after="0" w:line="2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Anti-FcRn Franchise</w:t>
      </w:r>
    </w:p>
    <w:p>
      <w:pPr>
        <w:spacing w:after="0" w:line="229" w:lineRule="exact"/>
        <w:rPr>
          <w:rFonts w:ascii="Times New Roman" w:cs="Times New Roman" w:eastAsia="Times New Roman" w:hAnsi="Times New Roman"/>
          <w:sz w:val="18"/>
          <w:szCs w:val="18"/>
          <w:b w:val="1"/>
          <w:bCs w:val="1"/>
          <w:color w:val="auto"/>
        </w:rPr>
      </w:pPr>
    </w:p>
    <w:p>
      <w:pPr>
        <w:jc w:val="both"/>
        <w:ind w:left="980" w:hanging="324"/>
        <w:spacing w:after="0" w:line="258"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Week 16 (end of Period 1) results from the IMVT-1402 trial in difficult-to-treat rheumatoid arthritis (“D2T RA”) of ACR20, ACR50 and ACR70 response rates of 72.7%, 54.5% and 35.8%, respectively. Further updates on this program, as well as topline data from the fully enrolled proof-of-concept trial in cutaneous lupus erythematosus (“CLE”), are expected in the second half of calendar year 2026. All other clinical development timelines remain on track for IMVT-1402, including potentially registrational trials in Graves’ disease (“GD”), myasthenia gravis (“MG”), chronic inflammatory demyelinating polyneuropathy (“CIDP”) and Sjögren’s disease (“SjD”).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Roivant-led Immunovant financing alongside key institutional investors in December 2025 generated gross proceeds to Immunovant of approximately $550 million, extending Immunovant’s cash runway to the potential launch of IMVT-1402 in GD.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six-month off-treatment data from the proof-of-concept Phase 2 clinical trial of batoclimab for the treatment of uncontrolled GD at the American Thyroid Association Annual Meeting. In April 2026, we announced topline results from the two Phase 3 clinical studies evaluating batoclimab for adults with active, moderate-to-severe thyroid eye disease (“TED”), neither of which met the primary endpoint. The safety profile observed in these studies was consistent with prior batoclimab studies. Following these results, we discontinued further development of batoclimab across all indications to focus fully on IMVT-1402. Learnings from the batoclimab program, including clinical data, operational trial experience and relationships with investigators, have been and continue to be leveraged to inform and potentially accelerate the development of IMVT-1402.</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Mosliciguat</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within one year of first patient dosing in the Phase 2 PHocus study of mosliciguat in 135 patients with pulmonary hypertension associated with interstitial lung disease (“PH-ILD); topline data expected in the second half of calendar year 2026.</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rFonts w:ascii="Times New Roman" w:cs="Times New Roman" w:eastAsia="Times New Roman" w:hAnsi="Times New Roman"/>
          <w:sz w:val="18"/>
          <w:szCs w:val="18"/>
          <w:b w:val="1"/>
          <w:bCs w:val="1"/>
          <w:color w:val="auto"/>
        </w:rPr>
      </w:pPr>
    </w:p>
    <w:p>
      <w:pPr>
        <w:jc w:val="both"/>
        <w:ind w:left="980" w:hanging="324"/>
        <w:spacing w:after="0" w:line="266" w:lineRule="auto"/>
        <w:tabs>
          <w:tab w:leader="none" w:pos="9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$2.25 billion global settlement with Moderna, ending all pending U.S. and international patent-infringement litigation filed by Genevant Sciences GmbH (“Genevant”) and Arbutus against Moderna; Moderna to pay Genevant and Arbutus $950 million in July 2026 and an additional $1.3 billion contingent upon resolution of Moderna’s Section 1498 appeal favorable to Genevant and Arbutus.</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construction ruling in Genevant and Arbutus’s lawsuit against Pfizer and BioNTech in the U.S. District Court for the District of New Jersey for patent infringement in the manufacture and sale of their COVID-19 vaccine was issued in September 2025, construing the disputed claim terms in a manner that Genevant generally considers to be favorable.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Summary of Vant Milestone &amp; Royalty Payments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 potential future payment obligations from in-licensings for select product candidates.</w:t>
      </w:r>
    </w:p>
    <w:p>
      <w:pPr>
        <w:sectPr>
          <w:pgSz w:w="11900" w:h="16838" w:orient="portrait"/>
          <w:cols w:equalWidth="0" w:num="1">
            <w:col w:w="11240"/>
          </w:cols>
          <w:pgMar w:left="320" w:top="116" w:right="339" w:bottom="1440" w:gutter="0" w:footer="0" w:header="0"/>
        </w:sect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Vant / Licensor</w:t>
            </w:r>
          </w:p>
        </w:tc>
        <w:tc>
          <w:tcPr>
            <w:tcW w:w="24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Product Candidate</w:t>
            </w:r>
          </w:p>
        </w:tc>
        <w:tc>
          <w:tcPr>
            <w:tcW w:w="37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Milestones</w:t>
            </w:r>
          </w:p>
        </w:tc>
      </w:tr>
      <w:tr>
        <w:trPr>
          <w:trHeight w:val="34"/>
        </w:trPr>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Priovant / Pfizer</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Mid-tens-of-millions sales milestone payment</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if aggregate net sales in a given year exceed a</w:t>
            </w:r>
          </w:p>
        </w:tc>
      </w:tr>
      <w:tr>
        <w:trPr>
          <w:trHeight w:val="234"/>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mid-hundreds-of-millions amount</w:t>
            </w:r>
          </w:p>
        </w:tc>
      </w:tr>
      <w:tr>
        <w:trPr>
          <w:trHeight w:val="34"/>
        </w:trPr>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 / HanAll</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Anti-FcRn Franchise</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Up to a maximum of $420M upon the</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achievement of certain regulatory and sales</w:t>
            </w:r>
          </w:p>
        </w:tc>
      </w:tr>
      <w:tr>
        <w:trPr>
          <w:trHeight w:val="234"/>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milestone events</w:t>
            </w:r>
          </w:p>
        </w:tc>
      </w:tr>
      <w:tr>
        <w:trPr>
          <w:trHeight w:val="34"/>
        </w:trPr>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Pulmovant / Bayer</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Mosliciguat</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Up to a maximum of $280M in development,</w:t>
            </w:r>
          </w:p>
        </w:tc>
      </w:tr>
      <w:tr>
        <w:trPr>
          <w:trHeight w:val="234"/>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and sales milestone events</w:t>
            </w:r>
          </w:p>
        </w:tc>
      </w:tr>
      <w:tr>
        <w:trPr>
          <w:trHeight w:val="34"/>
        </w:trPr>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4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Genevant / Arbutus</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LNP Technology</w:t>
            </w:r>
          </w:p>
        </w:tc>
        <w:tc>
          <w:tcPr>
            <w:tcW w:w="37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Royalties</w:t>
      </w:r>
    </w:p>
    <w:p>
      <w:pPr>
        <w:spacing w:after="0" w:line="94" w:lineRule="exact"/>
        <w:rPr>
          <w:sz w:val="20"/>
          <w:szCs w:val="20"/>
          <w:color w:val="auto"/>
        </w:rPr>
      </w:pPr>
    </w:p>
    <w:p>
      <w:pPr>
        <w:ind w:left="315" w:right="60" w:hanging="315"/>
        <w:spacing w:after="0" w:line="282" w:lineRule="auto"/>
        <w:tabs>
          <w:tab w:leader="none" w:pos="3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sub-teens royalty on net sales</w:t>
      </w:r>
    </w:p>
    <w:p>
      <w:pPr>
        <w:spacing w:after="0" w:line="242" w:lineRule="exact"/>
        <w:rPr>
          <w:rFonts w:ascii="Times New Roman" w:cs="Times New Roman" w:eastAsia="Times New Roman" w:hAnsi="Times New Roman"/>
          <w:sz w:val="18"/>
          <w:szCs w:val="18"/>
          <w:color w:val="auto"/>
        </w:rPr>
      </w:pPr>
    </w:p>
    <w:p>
      <w:pPr>
        <w:ind w:left="315" w:right="140" w:hanging="315"/>
        <w:spacing w:after="0" w:line="282" w:lineRule="auto"/>
        <w:tabs>
          <w:tab w:leader="none" w:pos="3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mid-single-digits to mid-teens royalty on net sales</w:t>
      </w:r>
    </w:p>
    <w:p>
      <w:pPr>
        <w:spacing w:after="0" w:line="242" w:lineRule="exact"/>
        <w:rPr>
          <w:rFonts w:ascii="Times New Roman" w:cs="Times New Roman" w:eastAsia="Times New Roman" w:hAnsi="Times New Roman"/>
          <w:sz w:val="18"/>
          <w:szCs w:val="18"/>
          <w:color w:val="auto"/>
        </w:rPr>
      </w:pPr>
    </w:p>
    <w:p>
      <w:pPr>
        <w:ind w:left="315" w:right="520" w:hanging="315"/>
        <w:spacing w:after="0" w:line="312" w:lineRule="auto"/>
        <w:tabs>
          <w:tab w:leader="none" w:pos="31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Tiered high-single-digits royalty on net sales</w:t>
      </w:r>
    </w:p>
    <w:p>
      <w:pPr>
        <w:spacing w:after="0" w:line="4" w:lineRule="exact"/>
        <w:rPr>
          <w:rFonts w:ascii="Times New Roman" w:cs="Times New Roman" w:eastAsia="Times New Roman" w:hAnsi="Times New Roman"/>
          <w:sz w:val="17"/>
          <w:szCs w:val="17"/>
          <w:color w:val="auto"/>
        </w:rPr>
      </w:pPr>
    </w:p>
    <w:p>
      <w:pPr>
        <w:ind w:left="315" w:right="100" w:hanging="315"/>
        <w:spacing w:after="0" w:line="283" w:lineRule="auto"/>
        <w:tabs>
          <w:tab w:leader="none" w:pos="3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of Royalty-Related Receipts</w:t>
      </w:r>
      <w:r>
        <w:rPr>
          <w:rFonts w:ascii="Times New Roman" w:cs="Times New Roman" w:eastAsia="Times New Roman" w:hAnsi="Times New Roman"/>
          <w:sz w:val="23"/>
          <w:szCs w:val="23"/>
          <w:color w:val="auto"/>
          <w:vertAlign w:val="superscript"/>
        </w:rPr>
        <w:t>1</w:t>
      </w:r>
    </w:p>
    <w:p>
      <w:pPr>
        <w:spacing w:after="0" w:line="171" w:lineRule="exact"/>
        <w:rPr>
          <w:sz w:val="20"/>
          <w:szCs w:val="20"/>
          <w:color w:val="auto"/>
        </w:rPr>
      </w:pPr>
    </w:p>
    <w:p>
      <w:pPr>
        <w:sectPr>
          <w:pgSz w:w="11900" w:h="16838" w:orient="portrait"/>
          <w:cols w:equalWidth="0" w:num="2">
            <w:col w:w="8520" w:space="105"/>
            <w:col w:w="2615"/>
          </w:cols>
          <w:pgMar w:left="320" w:top="116" w:right="339" w:bottom="1440" w:gutter="0" w:footer="0" w:header="0"/>
          <w:type w:val="continuous"/>
        </w:sect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Note: The summaries above do not purport to be complete. Please refer to “—Vant License Agreements &amp; Other Vant Agreements” and the agreements themselves, filed as exhibits to this Annual Report on Form 10-K, for more information on the terms of these agreements.</w:t>
      </w:r>
    </w:p>
    <w:p>
      <w:pPr>
        <w:spacing w:after="0" w:line="158" w:lineRule="exact"/>
        <w:rPr>
          <w:sz w:val="20"/>
          <w:szCs w:val="20"/>
          <w:color w:val="auto"/>
        </w:rPr>
      </w:pPr>
    </w:p>
    <w:p>
      <w:pPr>
        <w:ind w:left="340" w:right="100" w:hanging="332"/>
        <w:spacing w:after="0" w:line="261" w:lineRule="auto"/>
        <w:tabs>
          <w:tab w:leader="none" w:pos="331"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information on the settlement agreement resolving patent infringement litigation between Genevant Sciences GmbH, Arbutus Biopharma Corporation, Moderna, Inc. and ModernaTx, Inc., and potential payments related thereto, please refer to Note 5, “Recent Transactions and Developments” of our audited financial statements. See “—Vant License Agreements &amp; Other Vant Agreements” for more information on the terms of the Cross-License Agreement between Genevant and Arbutus and the term “Royalty-Related Receipts.”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Vant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ownership of certain of our subsidiary companies and affiliates as of March 31,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Roivant Ownership</w:t>
            </w:r>
          </w:p>
        </w:tc>
        <w:tc>
          <w:tcPr>
            <w:tcW w:w="0" w:type="dxa"/>
            <w:vAlign w:val="bottom"/>
          </w:tcPr>
          <w:p>
            <w:pPr>
              <w:spacing w:after="0"/>
              <w:rPr>
                <w:sz w:val="1"/>
                <w:szCs w:val="1"/>
                <w:color w:val="auto"/>
              </w:rPr>
            </w:pPr>
          </w:p>
        </w:tc>
      </w:tr>
      <w:tr>
        <w:trPr>
          <w:trHeight w:val="34"/>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Vant</w:t>
            </w:r>
          </w:p>
        </w:tc>
        <w:tc>
          <w:tcPr>
            <w:tcW w:w="100" w:type="dxa"/>
            <w:vAlign w:val="bottom"/>
            <w:vMerge w:val="restart"/>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400" w:type="dxa"/>
            <w:vAlign w:val="bottom"/>
            <w:tcBorders>
              <w:bottom w:val="single" w:sz="8" w:color="auto"/>
            </w:tcBorders>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Basic</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4"/>
                <w:szCs w:val="24"/>
                <w:color w:val="auto"/>
              </w:rPr>
            </w:pPr>
          </w:p>
        </w:tc>
        <w:tc>
          <w:tcPr>
            <w:tcW w:w="1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Fully Diluted</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35"/>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8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1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Pulmovant</w:t>
            </w:r>
          </w:p>
        </w:tc>
        <w:tc>
          <w:tcPr>
            <w:tcW w:w="18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Genevant</w:t>
            </w: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8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Covant</w:t>
            </w:r>
          </w:p>
        </w:tc>
        <w:tc>
          <w:tcPr>
            <w:tcW w:w="18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06"/>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Arbutus</w:t>
            </w: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-1068070</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Note: In addition to the subsidiary companies and affiliates listed in the table above, Roivant continues to maintain ownership interests in certain other entities as previously disclosed, including Proxima (formerly VantAI), PsiThera (formerly Psivant) and Datavant, as well as the right to receive future milestones and royalties related to the sale of our subsidiary Dermavant to Organon in 2024. The reference to “Genevant” in the table above is to Genevant Sciences Ltd.</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Basic ownership refers to Roivant’s percentage ownership of the issued and outstanding common and preferred shares (if applicable) of the entity.</w:t>
      </w:r>
    </w:p>
    <w:p>
      <w:pPr>
        <w:spacing w:after="0" w:line="225" w:lineRule="exact"/>
        <w:rPr>
          <w:rFonts w:ascii="Times New Roman" w:cs="Times New Roman" w:eastAsia="Times New Roman" w:hAnsi="Times New Roman"/>
          <w:sz w:val="18"/>
          <w:szCs w:val="18"/>
          <w:color w:val="auto"/>
        </w:rPr>
      </w:pPr>
    </w:p>
    <w:p>
      <w:pPr>
        <w:ind w:left="340" w:right="40" w:hanging="332"/>
        <w:spacing w:after="0" w:line="284" w:lineRule="auto"/>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Fully diluted ownership refers to Roivant’s percentage ownership of all outstanding equity interests of the entity, including unvested RSUs, options and warrants, in each case whether vested or unvested.</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Denotes entities that are publicly traded.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Upcoming Catalysts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upcoming year, we have a robust set of expected near-term catalysts, including the items set forth in the table below. In addition, we plan to in-license multiple potentially category-leading drugs per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Vant</w:t>
            </w:r>
          </w:p>
        </w:tc>
        <w:tc>
          <w:tcPr>
            <w:tcW w:w="536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Catalyst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 Timing</w:t>
            </w:r>
          </w:p>
        </w:tc>
      </w:tr>
      <w:tr>
        <w:trPr>
          <w:trHeight w:val="34"/>
        </w:trPr>
        <w:tc>
          <w:tcPr>
            <w:tcW w:w="2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Roivant pipeline growth</w:t>
            </w:r>
          </w:p>
        </w:tc>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Roivant</w:t>
            </w: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mid/late-stage in-licensing announcements</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Ongoing</w:t>
            </w:r>
          </w:p>
        </w:tc>
      </w:tr>
      <w:tr>
        <w:trPr>
          <w:trHeight w:val="24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FDA decision on brepocitinib in dermatomyositis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3Q 2026</w:t>
            </w:r>
          </w:p>
        </w:tc>
      </w:tr>
      <w:tr>
        <w:trPr>
          <w:trHeight w:val="27"/>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Mosliciguat</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Pulmovant</w:t>
            </w: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Phase 2 trial in pulmonary hypertension associated</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2H 2026</w:t>
            </w:r>
          </w:p>
        </w:tc>
      </w:tr>
      <w:tr>
        <w:trPr>
          <w:trHeight w:val="241"/>
        </w:trPr>
        <w:tc>
          <w:tcPr>
            <w:tcW w:w="2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interstitial lung disease</w:t>
            </w:r>
          </w:p>
        </w:tc>
        <w:tc>
          <w:tcPr>
            <w:tcW w:w="1880" w:type="dxa"/>
            <w:vAlign w:val="bottom"/>
            <w:tcBorders>
              <w:bottom w:val="single" w:sz="8" w:color="CCEEFF"/>
            </w:tcBorders>
            <w:shd w:val="clear" w:color="auto" w:fill="CCEEFF"/>
          </w:tcPr>
          <w:p>
            <w:pPr>
              <w:spacing w:after="0"/>
              <w:rPr>
                <w:sz w:val="20"/>
                <w:szCs w:val="20"/>
                <w:color w:val="auto"/>
              </w:rPr>
            </w:pPr>
          </w:p>
        </w:tc>
      </w:tr>
      <w:tr>
        <w:trPr>
          <w:trHeight w:val="24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Phase 3 trials in non-infectious uveitis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2H 2026</w:t>
            </w:r>
          </w:p>
        </w:tc>
      </w:tr>
      <w:tr>
        <w:trPr>
          <w:trHeight w:val="27"/>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Phase 2 trial in cutaneous lupus erythematosus</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2H 2026</w:t>
            </w:r>
          </w:p>
        </w:tc>
      </w:tr>
      <w:tr>
        <w:trPr>
          <w:trHeight w:val="24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Further updates from difficult-to-treat rheumatoid arthritis program</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2H 2026</w:t>
            </w:r>
          </w:p>
        </w:tc>
      </w:tr>
      <w:tr>
        <w:trPr>
          <w:trHeight w:val="27"/>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trials in Graves’ disease</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4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trial in myasthenia gravis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7"/>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trial in Sjögren’s disease</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5"/>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IMVT-1402</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Immunovant</w:t>
            </w: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trial in chronic inflammatory</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4"/>
        </w:trPr>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demyelinating polyneuropathy</w:t>
            </w:r>
          </w:p>
        </w:tc>
        <w:tc>
          <w:tcPr>
            <w:tcW w:w="188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data from Phase 3 trial in cutaneous sarcoidosis</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TBC</w:t>
            </w:r>
          </w:p>
        </w:tc>
      </w:tr>
      <w:tr>
        <w:trPr>
          <w:trHeight w:val="24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Brepocitinib</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Priovant</w:t>
            </w: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data from Phase 2b/3 trial in lichen planopilaris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TBC</w:t>
            </w: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Note: References under “Expected Timing” are to calendar years. All catalyst timings are based on current expectations and, where applicable, contingent on FDA feedback, and may be subject to change.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Priovant Overview</w:t>
      </w:r>
    </w:p>
    <w:p>
      <w:pPr>
        <w:spacing w:after="0" w:line="22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developing brepocitinib, a potent small molecule inhibitor of JAK1 and TYK2, for the treatment of dermatomyositis (“DM”), non-infectious uveitis (“NIU”), cutaneous sarcoidosis (“CS”), lichen planopilaris (“LPP”) and other immune-mediated diseases.</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is a potentially first-in-class, orally administered, small molecule inhibitor of JAK1 and TYK2 that suppresses signaling of JAK1- and TYK2-dependent cytokines linked to autoimmune disease, including type I and type II interferon, IL-6, IL-12 and IL-23.</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 is a chronic, immune-mediated disease of the skin and muscles. Patients with DM usually present with a characteristic skin rash and proximal muscle weakness, which may lead to significant functional impairment</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and/or disfigurement. Patients with DM are at a substantially increased risk of interstitial lung disease, malignancy and heart failure, contributing to an estimated 5-year mortality rate of 10-40%.</w:t>
      </w:r>
    </w:p>
    <w:p>
      <w:pPr>
        <w:spacing w:after="0" w:line="162" w:lineRule="exact"/>
        <w:rPr>
          <w:sz w:val="20"/>
          <w:szCs w:val="20"/>
          <w:color w:val="auto"/>
        </w:rPr>
      </w:pPr>
    </w:p>
    <w:p>
      <w:pPr>
        <w:jc w:val="both"/>
        <w:ind w:left="980" w:hanging="324"/>
        <w:spacing w:after="0" w:line="266"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NIU is an immune-mediated disease of the eye. Patients with NIU usually present with eye inflammation, which can manifest as eye pain, eye redness, light sensitivity, blurred vision, reduced vision and floaters. Patients with NIU are at a substantially increased risk of blindness, contributing to approximately 10% of cases of blindness in the U.S.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 is an immune-mediated disease of the skin. CS is the second-most common organ manifestation among sarcoidosis patients and can be disfiguring in cases with significant facial or body surface area involvement. Patients with CS usually present with macules, papules, plaques or nodules. Uncontrolled disease can progress to cartilage and bone destruction and permanent deformity.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LPP is an immune-mediated disease of the skin. Patients with LPP usually present with redness, scaling and scarring on the scalp that is often accompanied by pain and/or burning, which may lead to generally irreversible hair loss. Patients with LPP are at a substantially increased risk of dermatological malignancies and other severe comorbidities.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there are approximately 70,000 adult DM patients, approximately 400,000 adult NIU patients, including 70,000 to 190,000 adult non-anterior NIU patients, approximately 40,000 adult CS patients and approximately 100,000 adult LPP patients in the U.S.</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Corticosteroids, disease-modifying antirheumatic drugs (“DMARDs”) and immunosuppressants, administered alone or in combination, are traditional therapies for patients with DM, NIU, CS and LPP. Many of these therapies are associated with significant toxicities and limited efficacy.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DM who do not respond adequately to traditional therapies, IVIg (OCTAGAM 10%) is an important FDA-approved treatment. However, clinical trial data from the Phase 3 ProDERM study of IVIg in patients with DM and case reports from years of prior off-label use confirm that even with IVIg, many patients with DM continue to suffer from residual disease activity. Moreover, IVIg administration is burdensome, typically requiring several hours of infusion therapy for multiple days each month. IVIg also has a black box warning for serious risks, including thrombosis and kidney failure.</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NIU who do not respond adequately to traditional therapies, adalimumab (HUMIRA) administered subcutaneously, is the only FDA-approved modern treatment. NIU patients treated with HUMIRA have failure/relapse rates of approximately 50%, indicating a large unmet need for more efficacious treatment options.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for patients with CS follows a step-up paradigm that mirrors other inflammatory skin disease, including intralesional or high-potency topical steroids, systemic corticosteroids and TNF inhibitors, thalidomide and other off-label agents. There are currently no approved modern therapies for patients with CS.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for patients with LPP follows a step-up paradigm that mirrors other inflammatory skin disease, including intralesional or high-potency topical steroids, topical minoxidil, systemic corticosteroids or ISTs, retinoids and other off-label agents. There are currently no approved modern therapies for patients with LPP.</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3 VALOR study of once-daily oral brepocitinib in DM, the 30 mg results demonstrated clinically meaningful and statistically significant improvement compared to placebo on the primary endpoint and all nine key secondary endpoints, including measurements of skin disease, muscle disease, steroid-sparing effect, disability and rapidity of onset. On the primary endpoint, brepocitinib 30 mg achieved a week 52 mean Total Improvement Score (TIS) of 46.5 compared to 31.2 for placebo (p=0.0006), even with nearly twice as many patients coming off background steroids on brepocitinib 30 mg compared to placebo. More than two thirds of brepocitinib 30 mg patients experienced at least a moderate response (TIS≥40), and nearly half experienced a major response (TIS≥60). The safety profile was consistent with previous clinical trials of brepocitinib and adverse events of special interested (AESIs) did not occur with greater frequency in the brepocitinib 30 mg arm than the placebo arm.</w:t>
      </w:r>
    </w:p>
    <w:p>
      <w:pPr>
        <w:spacing w:after="0" w:line="191" w:lineRule="exact"/>
        <w:rPr>
          <w:rFonts w:ascii="Times New Roman" w:cs="Times New Roman" w:eastAsia="Times New Roman" w:hAnsi="Times New Roman"/>
          <w:sz w:val="18"/>
          <w:szCs w:val="18"/>
          <w:color w:val="auto"/>
        </w:rPr>
      </w:pPr>
    </w:p>
    <w:p>
      <w:pPr>
        <w:jc w:val="both"/>
        <w:ind w:left="980" w:right="20" w:hanging="324"/>
        <w:spacing w:after="0" w:line="258" w:lineRule="auto"/>
        <w:tabs>
          <w:tab w:leader="none" w:pos="9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been evaluated in eight positive completed Phase 2 studies in immune-mediated diseases (alopecia areata, psoriatic arthritis, ulcerative colitis, plaque psoriasis, hidradenitis suppurativa, Crohn’s disease, non-infectious uveitis and cutaneous sarcoidosis). In the seven of these that were placebo-controlled studies, treatment with brepocitinib was associated with statistically significant and clinically meaningful efficacy. In the Phase 2 NEPTUNE proof-of-concept study, brepocitinib demonstrated the best time to treatment failure observed to date among active NIU studies measuring this registrational endpoint.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23"/>
                <w:szCs w:val="23"/>
                <w:b w:val="1"/>
                <w:bCs w:val="1"/>
                <w:color w:val="auto"/>
                <w:vertAlign w:val="superscript"/>
              </w:rPr>
              <w:t>1</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Statistical</w:t>
            </w:r>
          </w:p>
        </w:tc>
        <w:tc>
          <w:tcPr>
            <w:tcW w:w="0" w:type="dxa"/>
            <w:vAlign w:val="bottom"/>
          </w:tcPr>
          <w:p>
            <w:pPr>
              <w:spacing w:after="0"/>
              <w:rPr>
                <w:sz w:val="1"/>
                <w:szCs w:val="1"/>
                <w:color w:val="auto"/>
              </w:rPr>
            </w:pPr>
          </w:p>
        </w:tc>
      </w:tr>
      <w:tr>
        <w:trPr>
          <w:trHeight w:val="272"/>
        </w:trPr>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Study Population</w:t>
            </w:r>
          </w:p>
        </w:tc>
        <w:tc>
          <w:tcPr>
            <w:tcW w:w="660" w:type="dxa"/>
            <w:vAlign w:val="bottom"/>
            <w:gridSpan w:val="2"/>
            <w:vMerge w:val="continue"/>
          </w:tcPr>
          <w:p>
            <w:pPr>
              <w:spacing w:after="0"/>
              <w:rPr>
                <w:sz w:val="23"/>
                <w:szCs w:val="23"/>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Brepocitinib Dose</w:t>
            </w:r>
          </w:p>
        </w:tc>
        <w:tc>
          <w:tcPr>
            <w:tcW w:w="5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Primary Endpoint Result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Significance</w:t>
            </w:r>
          </w:p>
        </w:tc>
        <w:tc>
          <w:tcPr>
            <w:tcW w:w="0" w:type="dxa"/>
            <w:vAlign w:val="bottom"/>
          </w:tcPr>
          <w:p>
            <w:pPr>
              <w:spacing w:after="0"/>
              <w:rPr>
                <w:sz w:val="1"/>
                <w:szCs w:val="1"/>
                <w:color w:val="auto"/>
              </w:rPr>
            </w:pPr>
          </w:p>
        </w:tc>
      </w:tr>
      <w:tr>
        <w:trPr>
          <w:trHeight w:val="203"/>
        </w:trPr>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Alopecia Areata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94</w:t>
            </w:r>
            <w:r>
              <w:rPr>
                <w:rFonts w:ascii="Times New Roman" w:cs="Times New Roman" w:eastAsia="Times New Roman" w:hAnsi="Times New Roman"/>
                <w:sz w:val="23"/>
                <w:szCs w:val="23"/>
                <w:color w:val="auto"/>
                <w:w w:val="93"/>
                <w:vertAlign w:val="superscript"/>
              </w:rPr>
              <w:t>2</w:t>
            </w:r>
          </w:p>
        </w:tc>
        <w:tc>
          <w:tcPr>
            <w:tcW w:w="10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30 mg once daily</w:t>
            </w:r>
            <w:r>
              <w:rPr>
                <w:rFonts w:ascii="Times New Roman" w:cs="Times New Roman" w:eastAsia="Times New Roman" w:hAnsi="Times New Roman"/>
                <w:sz w:val="23"/>
                <w:szCs w:val="23"/>
                <w:color w:val="auto"/>
                <w:w w:val="98"/>
                <w:vertAlign w:val="superscript"/>
              </w:rPr>
              <w:t>3</w:t>
            </w:r>
          </w:p>
        </w:tc>
        <w:tc>
          <w:tcPr>
            <w:tcW w:w="5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49.18 placebo-adjusted CFB in SALT Score at week 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 &lt; 0.0001</w:t>
            </w:r>
            <w:r>
              <w:rPr>
                <w:rFonts w:ascii="Times New Roman" w:cs="Times New Roman" w:eastAsia="Times New Roman" w:hAnsi="Times New Roman"/>
                <w:sz w:val="23"/>
                <w:szCs w:val="23"/>
                <w:color w:val="auto"/>
                <w:w w:val="97"/>
                <w:vertAlign w:val="superscript"/>
              </w:rPr>
              <w:t>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Psoriatic Arthritis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5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23.4% placebo-adjusted ACR20 RR at week 16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 = 0.0197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Ulcerative Colitis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5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-2.28 placebo-adjusted CFB in Mayo Score at week 8</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 = 0.0005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Plaque Psoriasis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5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 placebo-adjusted CFB in PASI score at week 12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 &lt; 0.0001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Hidradenitis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45 mg once daily</w:t>
            </w:r>
            <w:r>
              <w:rPr>
                <w:rFonts w:ascii="Times New Roman" w:cs="Times New Roman" w:eastAsia="Times New Roman" w:hAnsi="Times New Roman"/>
                <w:sz w:val="23"/>
                <w:szCs w:val="23"/>
                <w:color w:val="auto"/>
                <w:w w:val="98"/>
                <w:vertAlign w:val="superscript"/>
              </w:rPr>
              <w:t>5</w:t>
            </w:r>
          </w:p>
        </w:tc>
        <w:tc>
          <w:tcPr>
            <w:tcW w:w="5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 = 0.0298</w:t>
            </w:r>
            <w:r>
              <w:rPr>
                <w:rFonts w:ascii="Times New Roman" w:cs="Times New Roman" w:eastAsia="Times New Roman" w:hAnsi="Times New Roman"/>
                <w:sz w:val="23"/>
                <w:szCs w:val="23"/>
                <w:color w:val="auto"/>
                <w:w w:val="97"/>
                <w:vertAlign w:val="superscript"/>
              </w:rPr>
              <w:t>4</w:t>
            </w: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Suppurativa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22"/>
                <w:szCs w:val="22"/>
                <w:color w:val="auto"/>
              </w:rPr>
            </w:pPr>
          </w:p>
        </w:tc>
        <w:tc>
          <w:tcPr>
            <w:tcW w:w="2000" w:type="dxa"/>
            <w:vAlign w:val="bottom"/>
            <w:gridSpan w:val="2"/>
            <w:vMerge w:val="continue"/>
            <w:shd w:val="clear" w:color="auto" w:fill="CCEEFF"/>
          </w:tcPr>
          <w:p>
            <w:pPr>
              <w:spacing w:after="0"/>
              <w:rPr>
                <w:sz w:val="22"/>
                <w:szCs w:val="22"/>
                <w:color w:val="auto"/>
              </w:rPr>
            </w:pPr>
          </w:p>
        </w:tc>
        <w:tc>
          <w:tcPr>
            <w:tcW w:w="5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18.7% placebo-adjusted HiSCR Rate at week 16</w:t>
            </w:r>
          </w:p>
        </w:tc>
        <w:tc>
          <w:tcPr>
            <w:tcW w:w="13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Crohn’s Disease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151</w:t>
            </w:r>
          </w:p>
        </w:tc>
        <w:tc>
          <w:tcPr>
            <w:tcW w:w="10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60 mg once daily</w:t>
            </w:r>
            <w:r>
              <w:rPr>
                <w:rFonts w:ascii="Times New Roman" w:cs="Times New Roman" w:eastAsia="Times New Roman" w:hAnsi="Times New Roman"/>
                <w:sz w:val="23"/>
                <w:szCs w:val="23"/>
                <w:color w:val="auto"/>
                <w:w w:val="98"/>
                <w:vertAlign w:val="superscript"/>
              </w:rPr>
              <w:t>6</w:t>
            </w:r>
          </w:p>
        </w:tc>
        <w:tc>
          <w:tcPr>
            <w:tcW w:w="5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21.4% placebo-adjusted SES-CD 50 Rate at week 12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 = 0.0012</w:t>
            </w:r>
            <w:r>
              <w:rPr>
                <w:rFonts w:ascii="Times New Roman" w:cs="Times New Roman" w:eastAsia="Times New Roman" w:hAnsi="Times New Roman"/>
                <w:sz w:val="23"/>
                <w:szCs w:val="23"/>
                <w:color w:val="auto"/>
                <w:w w:val="97"/>
                <w:vertAlign w:val="superscript"/>
              </w:rPr>
              <w:t>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Non-infectious Uveitis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45 mg once daily</w:t>
            </w:r>
          </w:p>
        </w:tc>
        <w:tc>
          <w:tcPr>
            <w:tcW w:w="5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29.4% Treatment Failure Rate at week 24</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Cutaneous Sarcoidosis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45 mg once daily</w:t>
            </w:r>
          </w:p>
        </w:tc>
        <w:tc>
          <w:tcPr>
            <w:tcW w:w="5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21.6 placebo-adjusted CFB in CSAMI-A at week 16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 &lt; 0.0001</w:t>
            </w:r>
          </w:p>
        </w:tc>
        <w:tc>
          <w:tcPr>
            <w:tcW w:w="0" w:type="dxa"/>
            <w:vAlign w:val="bottom"/>
          </w:tcPr>
          <w:p>
            <w:pPr>
              <w:spacing w:after="0"/>
              <w:rPr>
                <w:sz w:val="1"/>
                <w:szCs w:val="1"/>
                <w:color w:val="auto"/>
              </w:rPr>
            </w:pPr>
          </w:p>
        </w:tc>
      </w:tr>
      <w:tr>
        <w:trPr>
          <w:trHeight w:val="27"/>
        </w:trPr>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Overall study N represents patients randomized to all brepocitinib dose levels or placebo and excludes patients randomized to other agents.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patients from initial 24-week study period only.</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60 mg once daily for 4 weeks followed by 30 mg once daily for 20 weeks.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One-sided p-value (pre-specified statistical analysis).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Brepocitinib 45 mg once daily was the only brepocitinib dose evaluated in this study.</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Brepocitinib 60 mg once daily was the only brepocitinib dose evaluated in the induction period of this study.</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non-infectious uveitis and cutaneous sarcoidosis studies were conducted by Priovant; all other brepocitinib studies shown in the table above were conducted by Pfizer.</w:t>
      </w: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ACR20: American College of Rheumatology 20% Improvement; RR: Response Rate; CFB: Change From Baseline; PASI: Psoriasis Area and Severity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Index; SALT: Severity of Alopecia Tool; HiSCR: Hidradenitis Suppurativa Clinical Response; SES-CD: Simple Endoscopic Score for Crohn’s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CSAMI-A: Cutaneous Sarcoidosis Activity and Morphology Instrument-Activity Score</w:t>
      </w:r>
    </w:p>
    <w:p>
      <w:pPr>
        <w:spacing w:after="0" w:line="207" w:lineRule="exact"/>
        <w:rPr>
          <w:sz w:val="20"/>
          <w:szCs w:val="20"/>
          <w:color w:val="auto"/>
        </w:rPr>
      </w:pPr>
    </w:p>
    <w:p>
      <w:pPr>
        <w:jc w:val="both"/>
        <w:ind w:left="980" w:hanging="324"/>
        <w:spacing w:after="0" w:line="254" w:lineRule="auto"/>
        <w:tabs>
          <w:tab w:leader="none" w:pos="9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 NEPTUNE study of once-daily oral brepocitinib in NIU, the 45 mg results represented the best Treatment Failure rates observed to date among active NIU studies measuring this endpoint. On the pre-specified primary efficacy endpoint of Treatment Failure at week 24, a composite endpoint comprising multiple measures of ocular inflammation and visual acuity, as well as discontinuation due to intercurrent events or initiation of rescue therapy, 29% of subjects receiving brepocitinib 45 mg and 44% of subjects receiving brepocitinib 15 mg met Treatment Failure criteria (lower failure rates reflect greater treatment benefit). All secondary efficacy endpoints were also positive and dose responsive, including measurements of potential benefit on prevention and treatment of uveitic macular edema. 52-Week data from the same study confirmed sustained treatment effect and tolerability. Brepocitinib was generally safe and well tolerated in the study, with no new safety or tolerability signals identified.</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 BEACON study of once-daily oral brepocitinib in CS, the 45 mg arm demonstrated significant improvement in cutaneous sarcoidosis disease activity, achieving a 22.3-point improvement in mean CSAMI-A at Week 16 versus a 0.7-point improvement in placebo (Δ21.6, P&lt;0.0001). Brepocitinib demonstrated rapid, deep and sustained improvements across all other efficacy endpoints measured with consistent safety profile.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was studied in patients with LPP in a placebo-controlled investigator-initiated trial at the Icahn School of Medicine. Brepocitinib significantly reduced the Lichen Planopilaris Activity Index (LPPAI) score from baseline. Brepocitinib was well tolerated and maintained a favorable safety profile in the investigator-initiated trial.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Brepocitinib’s safety database includes over 2,000 exposed participants evaluated in completed and ongoing clinical studies. In these studies, brepocitinib was generally safe and well tolerated, and rates of JAK class treatment-emergent adverse events (“TEAEs”) of interest were comparable to those observed in the development programs of approved JAK inhibitors. Collectively, these data suggest a safety profile that is similar to those of approved JAK inhibitors.</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Priovant’s filing for use of brepocitinib in DM has been accepted by the FDA with Priority Review with a PDUFA target action date in the third quarter of calendar year 2026. Priovant expects to launch brepocitinib in DM by the end of September 2026 following FDA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has fully enrolled a Phase 3 program in non-infectious uveitis; topline data are expected in the second half of calendar year 2026.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initiated a Phase 2b/3 program in lichen planopilaris in the first half of calendar year 2026.</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received Breakthrough Therapy Designation for brepocitinib for the treatment of cutaneous sarcoidosis and plans to initiate a Phase 3 program in the second half of calendar year 2026.</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below schematics show the trial designs for the ongoing brepocitinib trials: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Phase 3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156845</wp:posOffset>
            </wp:positionV>
            <wp:extent cx="5100320" cy="180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003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LPP Phase 2b/3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156845</wp:posOffset>
            </wp:positionV>
            <wp:extent cx="5100320" cy="2057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003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we owned 72% of the issued and outstanding shares of Priovant (or 66% on a fully diluted basis).</w:t>
      </w:r>
    </w:p>
    <w:p>
      <w:pPr>
        <w:spacing w:after="0" w:line="221" w:lineRule="exact"/>
        <w:rPr>
          <w:rFonts w:ascii="Times New Roman" w:cs="Times New Roman" w:eastAsia="Times New Roman" w:hAnsi="Times New Roman"/>
          <w:sz w:val="18"/>
          <w:szCs w:val="18"/>
          <w:color w:val="auto"/>
        </w:rPr>
      </w:pPr>
    </w:p>
    <w:p>
      <w:pPr>
        <w:ind w:left="4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Immunovant Overview</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 is developing IMVT-1402, a potentially best-in-class inhibitor of the neonatal fragment crystallizable receptor (“FcRn”), for the treatment of IgG-mediated autoimmune diseases, including Graves’ disease (“GD”), difficult-to-treat rheumatoid arthritis (“D2T RA”), Sjögren’s disease (“SjD”), myasthenia gravis (“MG”), chronic inflammatory demyelinating polyneuropathy (“CIDP”) and cutaneous lupus erythematosus (“CLE”).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IMVT-1402 has been assigned the nonproprietary name imeroprubart on the World Health Organization’s Recommended International Nonproprietary Names List 93, which has also been approved by the U.S. Adopted Names Council.</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IMVT-1402 is a fully human monoclonal antibody that inhibits FcRn and has shown deep, dose-dependent IgG reductions in a Phase 1 clinical trial in healthy adults. We expect to be able to reach approximately 80% IgG reductions with continued weekly dosing of 600 mg of IMVT-1402, offering deeper IgG reductions than observed with other competitor anti-FcRn programs, therefore representing a potential best-in-class opportunity. There has been consistent evidence observed across the class in over eight indications in Phase 2 and 3 trials with FcRn inhibitors that has indicated that deeper IgG reductions correlate with meaningful improvements in clinical outcomes, which has been further validated by data generated with our first-generation anti-FcRn, batoclimab, in our own Phase 2 and 3 studies. IMVT-1402 offers a potentially best-in-class profile, with potentially best-in-class efficacy given its potential to achieve best-in-class IgG reductions, a favorable route of administration with a simple subcutaneous auto-injector and potentially favorable safety profile.</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IMVT-1402 is being developed in several indications representing potential first-in-class and best-in-class opportunities, including GD, D2T RA and CLE, and we plan to leverage the potentially best-in-class profile of IMVT-1402 in indications where the anti-FcRn mechanism has already established a commercial presence, such as MG and CIDP. We plan to be laser-focused on clinical execution to maintain our head start in the indications listed above and to be nearly-first and best-in-class for indications such as SjD where we are close from a timing perspective to in-class competition and expect a differentiated clinical profile.</w:t>
      </w:r>
    </w:p>
    <w:p>
      <w:pPr>
        <w:spacing w:after="0" w:line="179" w:lineRule="exact"/>
        <w:rPr>
          <w:rFonts w:ascii="Times New Roman" w:cs="Times New Roman" w:eastAsia="Times New Roman" w:hAnsi="Times New Roman"/>
          <w:sz w:val="18"/>
          <w:szCs w:val="18"/>
          <w:color w:val="auto"/>
        </w:rPr>
      </w:pPr>
    </w:p>
    <w:p>
      <w:pPr>
        <w:ind w:left="340" w:right="9480" w:hanging="332"/>
        <w:spacing w:after="0" w:line="532" w:lineRule="auto"/>
        <w:tabs>
          <w:tab w:leader="none" w:pos="3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Disease overview</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Endocrine Diseases</w:t>
      </w:r>
    </w:p>
    <w:p>
      <w:pPr>
        <w:spacing w:after="0" w:line="1" w:lineRule="exact"/>
        <w:rPr>
          <w:rFonts w:ascii="Times New Roman" w:cs="Times New Roman" w:eastAsia="Times New Roman" w:hAnsi="Times New Roman"/>
          <w:sz w:val="17"/>
          <w:szCs w:val="17"/>
          <w:color w:val="auto"/>
        </w:rPr>
      </w:pPr>
    </w:p>
    <w:p>
      <w:pPr>
        <w:jc w:val="both"/>
        <w:ind w:left="980" w:hanging="324"/>
        <w:spacing w:after="0" w:line="258" w:lineRule="auto"/>
        <w:tabs>
          <w:tab w:leader="none" w:pos="9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Graves’ disease is an autoimmune disease that affects the thyroid gland. Patients with Graves’ disease develop IgG autoantibodies that bind to the thyroid-stimulating hormone receptor (“TSHR”) present on the thyroid gland, which induces increased and uncontrolled secretion of thyroid hormones, resulting in hyperthyroidism. A conservative analysis of Inovalon claims data estimates that the prevalence of Graves’ patients is approximately 880,000 in the U.S., and further analysis suggests that there are approximately 330,000 patients who have relapsed on ATDs and who have opted not to pursue ablation.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Rheumatology Diseases</w:t>
      </w:r>
    </w:p>
    <w:p>
      <w:pPr>
        <w:spacing w:after="0" w:line="227" w:lineRule="exact"/>
        <w:rPr>
          <w:sz w:val="20"/>
          <w:szCs w:val="20"/>
          <w:color w:val="auto"/>
        </w:rPr>
      </w:pPr>
    </w:p>
    <w:p>
      <w:pPr>
        <w:jc w:val="both"/>
        <w:ind w:left="980" w:hanging="324"/>
        <w:spacing w:after="0" w:line="255"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Rheumatoid arthritis is a chronic progressive autoimmune disease that causes inflammation in the joints and surrounding tissues. Inadequate control of the joint inflammation associated with rheumatoid arthritis may result in irreversible joint erosions. The estimated prevalence of patients treated with biologic or targeted synthetic disease modifying anti-rheumatic drugs (“DMARDs”) in the U.S. is approximately 820,000, approximately 15% of which had an inadequate response to two or more such prior advanced DMARD mechanisms. The rheumatoid arthritis described in this subset of patients is sometimes referred to as difficult-to-treat (“D2T”), refractory or multi-advanced mechanism failure rheumatoid arthritis. Of those, approximately 70% are autoantibody positive, representing approximately 85,000 patients with significant unmet medical need in the U.S.</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SjD is a chronic autoimmune disease characterized by lymphocytic infiltration of the salivary and lacrimal glands. Autoantibodies including anti-Ro/SSA and anti-La/SSB have been detected in approximately 50-70% of patients with primary SjD and play crucial roles in both the diagnosis and prognosis of the disease. The estimated prevalence of primary SjD is approximately 290,000 in the United States. It is estimated that up to 30% of primary SjD patients have moderate-to-severe disease with anti-Ro/SSA antibodies, representing approximately 90,000 SjD patients with significant unmet medical need in the U.S.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Dermatological Diseases</w:t>
      </w:r>
    </w:p>
    <w:p>
      <w:pPr>
        <w:spacing w:after="0" w:line="227" w:lineRule="exact"/>
        <w:rPr>
          <w:sz w:val="20"/>
          <w:szCs w:val="20"/>
          <w:color w:val="auto"/>
        </w:rPr>
      </w:pPr>
    </w:p>
    <w:p>
      <w:pPr>
        <w:jc w:val="both"/>
        <w:ind w:left="980" w:hanging="324"/>
        <w:spacing w:after="0" w:line="261"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 is a rare, chronic skin disease characterized by skin-specific disease activity, inflammation and eventually damage. IgG autoantibodies and immune complexes are observed to play a critical role in CLE disease pathophysiology. Subacute Cutaneous LE (“SCLE”) and Chronic Cutaneous LE (“CCLE”) are subtypes of CLE with distinct skin presentation and clinical course and high unmet medical need. The estimated prevalence of SCLE and CCLE is approximately 153,000 in the U.S. Approximately 50% of these</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SCLE and CCLE patients do not adequately respond to first-line therapies representing approximately 75,000 patients with significant unmet medical need in the U.S.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Neurological Diseases</w:t>
      </w:r>
    </w:p>
    <w:p>
      <w:pPr>
        <w:spacing w:after="0" w:line="227" w:lineRule="exact"/>
        <w:rPr>
          <w:sz w:val="20"/>
          <w:szCs w:val="20"/>
          <w:color w:val="auto"/>
        </w:rPr>
      </w:pPr>
    </w:p>
    <w:p>
      <w:pPr>
        <w:jc w:val="both"/>
        <w:ind w:left="980" w:hanging="324"/>
        <w:spacing w:after="0" w:line="258"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is a rare, chronic autoimmune disorder characterized by weakness and fatigue of voluntary muscles. MG patients develop autoantibodies that lead to an immunological attack on critical signaling receptor proteins at the junction between nerve and muscle cells, thereby inhibiting the ability of nerves to communicate properly with muscles. The prevalence of MG is estimated to be approximately 116,000 cases in the U.S. with 35% of patients not well-controlled on the current standard of care, representing approximately 41,000 patients with significant unmet medical need in the U.S. The majority of these patients demonstrate elevated serum levels of acetylcholine receptor (“AChR”) antibodies.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CIDP is believed to be an immune-mediated neuropathy characterized by demyelination of peripheral nerves and nerve roots that is driven by pathologic, autoreactive IgG antibodies. The estimated prevalence of CIDP is approximately 77,000 patients in the U.S., with approximately 25% inadequately controlled on treatment, representing approximately 19,000 patients with significant unmet medical need in the U.S.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many IgG-mediated autoimmune diseases, early-stage disease control involves corticosteroids and immunosuppressants, later progressing to intravenous immunoglobulin (“IVIg”) or plasma exchange (“PLEX”). Immunomodulatory therapies are frequently associated with significant potential risks, including the possibility of malignancy and infection. These approaches are generally limited by delayed onset of action, waning therapeutic benefit over time and unfavorable safety profiles.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Endocrine Diseases</w:t>
      </w:r>
    </w:p>
    <w:p>
      <w:pPr>
        <w:spacing w:after="0" w:line="227" w:lineRule="exact"/>
        <w:rPr>
          <w:sz w:val="20"/>
          <w:szCs w:val="20"/>
          <w:color w:val="auto"/>
        </w:rPr>
      </w:pPr>
    </w:p>
    <w:p>
      <w:pPr>
        <w:jc w:val="both"/>
        <w:ind w:left="980" w:hanging="324"/>
        <w:spacing w:after="0" w:line="26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 There are three options available for GD: surgery, RAI and oral antithyroid drugs (“ATDs”). Rates of surgery and RAI have declined significantly in the U.S. in recent years due to associated severe potential complications. While ATDs are considered generally safe, their chronic use can be associated with hepatotoxicity, pancreatitis and bone marrow toxicity, and up to 25-30% of GD patients remain uncontrolled on ATDs.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Rheumatology Diseases</w:t>
      </w:r>
    </w:p>
    <w:p>
      <w:pPr>
        <w:spacing w:after="0" w:line="227" w:lineRule="exact"/>
        <w:rPr>
          <w:sz w:val="20"/>
          <w:szCs w:val="20"/>
          <w:color w:val="auto"/>
        </w:rPr>
      </w:pPr>
    </w:p>
    <w:p>
      <w:pPr>
        <w:jc w:val="both"/>
        <w:ind w:left="980" w:hanging="324"/>
        <w:spacing w:after="0" w:line="25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D2T RA: Currently available treatments used to help control joint inflammation, damage and other manifestations of rheumatoid arthritis include a variety of conventional oral, targeted synthetic and biologic DMARDs. D2T RA patients continue to experience active disease despite undergoing multiple lines of therapy with different mechanisms of action. For these patients, therapeutic options remain very limited, highlighting a persistent and critical unmet medical need. The European Alliance of Associations for Rheumatology (“EULAR”) has defined this rheumatoid arthritis subset in the clinical setting as D2T-RA and provided points to consider in its management. Nevertheless, innovative strategies and novel therapeutic targets are needed to improve outcomes and quality of life for this patient population.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SjD: No therapies have been approved specifically for the treatment of SjD. Therapeutic approaches for SjD include local agents for oral and ocular dryness as well as systemic treatments to address organ manifestations. There is a significant need for the development of novel treatments that target the underlying pathophysiological mechanism of this disease.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Dermatological Diseases</w:t>
      </w:r>
    </w:p>
    <w:p>
      <w:pPr>
        <w:spacing w:after="0" w:line="227" w:lineRule="exact"/>
        <w:rPr>
          <w:sz w:val="20"/>
          <w:szCs w:val="20"/>
          <w:color w:val="auto"/>
        </w:rPr>
      </w:pPr>
    </w:p>
    <w:p>
      <w:pPr>
        <w:jc w:val="both"/>
        <w:ind w:left="98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 First-line therapies for CLE include photoprotection, topical steroids and broad-spectrum therapies (i.e. DMARDs, antimalarials and corticosteroids) followed by IVIG or off-label biologics. It is estimated that approximately 50% of patients are not optimally managed with or without topical steroids due to insufficient response, relapse or risk of retinopathy following first-line antimalarials.</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Neurological Diseases</w:t>
      </w:r>
    </w:p>
    <w:p>
      <w:pPr>
        <w:spacing w:after="0" w:line="227" w:lineRule="exact"/>
        <w:rPr>
          <w:sz w:val="20"/>
          <w:szCs w:val="20"/>
          <w:color w:val="auto"/>
        </w:rPr>
      </w:pPr>
    </w:p>
    <w:p>
      <w:pPr>
        <w:jc w:val="both"/>
        <w:ind w:left="980" w:hanging="324"/>
        <w:spacing w:after="0" w:line="258" w:lineRule="auto"/>
        <w:tabs>
          <w:tab w:leader="none" w:pos="9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Early-stage MG is symptomatically treated with acetylcholinesterase inhibitors. As the disease progresses, patients are typically treated with immunosuppressive agents such as glucocorticoids, azathioprine, mycophenolate mofetil and cyclosporine. Recently approved novel mechanism of action therapies for MG include FcRn inhibitors, which generally reduced IgG by 60-70% in their Phase 3 trials at approved doses, and complement inhibitors. We believe there is unmet need for a higher efficacy benefit and a more durable clinical responses for patients with MG.</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CIDP: IVIg, corticosteroids and PLEX are first-line therapies in the treatment of CIDP. An anti-FcRn inhibitor has also been approved for the treatment of CIDP; however, we believe there is still meaningful room to improve on efficacy.</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and November 2023, we announced results from a Phase 1 clinical trial in healthy adults dosed with IMVT-1402. In the study’s</w:t>
      </w:r>
    </w:p>
    <w:p>
      <w:pPr>
        <w:spacing w:after="0" w:line="27" w:lineRule="exact"/>
        <w:rPr>
          <w:rFonts w:ascii="Times New Roman" w:cs="Times New Roman" w:eastAsia="Times New Roman" w:hAnsi="Times New Roman"/>
          <w:sz w:val="18"/>
          <w:szCs w:val="18"/>
          <w:color w:val="auto"/>
        </w:rPr>
      </w:pPr>
    </w:p>
    <w:p>
      <w:pPr>
        <w:jc w:val="both"/>
        <w:ind w:left="980"/>
        <w:spacing w:after="0" w:line="252" w:lineRule="auto"/>
        <w:tabs>
          <w:tab w:leader="none" w:pos="131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multiple-ascending dose (“MAD”) cohort, a statistically significant reduction of 63% from baseline in mean total IgG levels was observed after four weekly 300 mg subcutaneous doses of IMVT-1402. In the 600 mg MAD cohort, we observed a statistically significant reduction of 74% from baseline in mean total IgG levels after four weekly 600 mg subcutaneous doses of IMVT-1402. No or minimal reductions in albumin and no or minimal increases in LDL cholesterol levels were observed in healthy adults administered IMVT-1402 in either dose cohort; the changes in albumin and LDL cholesterol were similar to those observed with placebo administration. Across all doses evaluated, treatment with IMVT-1402 was generally well tolerated, with only mild or moderate treatment-emergent adverse events observed.</w:t>
      </w:r>
    </w:p>
    <w:p>
      <w:pPr>
        <w:spacing w:after="0" w:line="189"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presented observations from a proof-of-principle case study evaluating IMVT-1402 in an SCLE patient over a period of 12 weeks. The participant in the case study had a baseline Cutaneous Lupus Erythematosus Disease area and Severity Index activity (“CLASI-A”) score at screening of 36, which falls into the severe range of the clinical scale. The participant received open-label weekly treatment with</w:t>
      </w:r>
    </w:p>
    <w:p>
      <w:pPr>
        <w:spacing w:after="0" w:line="1" w:lineRule="exact"/>
        <w:rPr>
          <w:rFonts w:ascii="Times New Roman" w:cs="Times New Roman" w:eastAsia="Times New Roman" w:hAnsi="Times New Roman"/>
          <w:sz w:val="18"/>
          <w:szCs w:val="18"/>
          <w:color w:val="auto"/>
        </w:rPr>
      </w:pPr>
    </w:p>
    <w:p>
      <w:pPr>
        <w:jc w:val="both"/>
        <w:ind w:left="980"/>
        <w:spacing w:after="0" w:line="250" w:lineRule="auto"/>
        <w:tabs>
          <w:tab w:leader="none" w:pos="130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of IMVT-1402 for 12 weeks and saw significant clinical improvement in both skin lesions and alopecia. By week 12, the participant had a greater than 60% reduction in CLASI-A score to 13. A 5-point reduction in CLASI-A is considered clinically meaningful and this participant improved by 23 points by week 12. The participant also achieved approximately 78% total IgG reduction from baseline by week</w:t>
      </w:r>
    </w:p>
    <w:p>
      <w:pPr>
        <w:spacing w:after="0" w:line="1" w:lineRule="exact"/>
        <w:rPr>
          <w:rFonts w:ascii="Times New Roman" w:cs="Times New Roman" w:eastAsia="Times New Roman" w:hAnsi="Times New Roman"/>
          <w:sz w:val="18"/>
          <w:szCs w:val="18"/>
          <w:color w:val="auto"/>
        </w:rPr>
      </w:pPr>
    </w:p>
    <w:p>
      <w:pPr>
        <w:ind w:left="980"/>
        <w:spacing w:after="0" w:line="260" w:lineRule="auto"/>
        <w:tabs>
          <w:tab w:leader="none" w:pos="125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patient dosed in this study also showed significant clinical improvement, with a CLASI-A score of 18 at screening reduced to 8 by week 12 of QW dosing, a &gt;50% improvement.</w:t>
      </w:r>
    </w:p>
    <w:p>
      <w:pPr>
        <w:spacing w:after="0" w:line="18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7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presented six-month off-treatment data in uncontrolled GD patients treated with batoclimab for 24 weeks at the 2025 Annual Meeting of the American Thyroid Association (ATA). At completion of the follow-up period at Week 48 (i.e., subjects off-treatment for 24 weeks), approximately 80% (17/21) of those subjects maintained T3/T4 values ≤ upper limit of normal (“ULN”), suggestive of strong durability of the response observed at Week 24 as evaluated at approximately six months off treatment at Week 48. Of these 17 subjects, approximately 50% (8/17) were ATD-free and an additional approximately 30% (5/17) were on ATD doses of 2.5 mg/day at six months off batoclimab treatment. Total IgG and TSHR antibodies (“TRAb”) levels declined through Week 24, consistent with previous observations, and while total IgG rebounded after treatment ended, pathogenic TRAb levels remained suppressed at Week 48. Safety and tolerability were observed to be consistent with prior batoclimab studies. This study is now completed, with its data suggesting the potential of FcRn inhibition for the treatment of GD by modifying the underlying disease pathology, which is driven by stimulating TRAb. As such, GD is a key strategic priority for our development of IMVT-1402.</w:t>
      </w:r>
    </w:p>
    <w:p>
      <w:pPr>
        <w:spacing w:after="0" w:line="194"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announced top-line results from two Phase 3 clinical studies evaluating batoclimab as an investigational treatment for adults with active, moderate-to-severe thyroid eye disease (“TED”), neither of which met the primary endpoint. The safety profile observed in these studies was consistent with prior batoclimab studies, with no new safety signals identified. Following these results, we made a decision to discontinue further development of batoclimab across all indications to focus fully on IMVT-1402. Learnings from the batoclimab program, including clinical data, operational trial experience and relationships with investigators, have been and continue to be leveraged to inform the development of IMVT-1402.</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hanging="324"/>
        <w:spacing w:after="0" w:line="254" w:lineRule="auto"/>
        <w:tabs>
          <w:tab w:leader="none" w:pos="97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we announced Week 16 (end of Period 1) results from the currently ongoing potentially registrational trial of IMVT-1402 in D2T RA. At the completion of Period 1, 165 of the 170 patients were evaluable for ACR20 response. Of these patients, 86.7% (143/165) had failed two prior mechanisms of advanced therapies, and the mean time since diagnosis was 12.8 years. Baseline disease activity was high, with mean counts of 24.2 tender joints, 16.7 swollen joints and a DAS28-CRP score of 6.1. At Week 16, the observed ACR20, ACR50 and ACR70 response rates were 72.7%, 54.5% and 35.8%, respectively; participants who discontinued prior to Week 16 were imputed as non-responders. Among the subset of participants who had failed at least a JAK inhibitor and an anti-TNF inhibitor (N=107), the Week 16 observed ACR20, ACR50 and ACR70 response rates were 72.0%, 53.3% and 37.4%, respectively. IMVT-1402 was observed to be safe and well-tolerated in Period 1, and no new drug-related safety signals were identified.</w:t>
      </w:r>
    </w:p>
    <w:p>
      <w:pPr>
        <w:spacing w:after="0" w:line="18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progressing a broad set of programs for IMVT-1402, and have ongoing studies in six indications, including potentially registrational trials in GD, D2T RA, MG, CIDP and SjD, and a proof-of-concept trial in CLE. All studies evaluating IMVT-1402 are being conducted using the intended commercial drug formulation and delivery device, the YpsoMate® autoinjector developed by Ypsomed AG, which is utilized by multiple approved products.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commenced discussions with HanAll regarding the future disposition of batoclimab, including the potential return to HanAll of certain rights for batoclimab. In April 2026, we notified HanAll of our decision to indefinitely delay further development of batoclimab and focus our resources fully on IMVT-1402. Under the HanAll Agreement, we retain final decision-making authority over development and regulatory matters for licensed products in the HanAll Licensed Territory (as defined below), and we believe we have satisfied our obligations under the HanAll Agreement (as defined below), including with respect to batoclimab. HanAll may disagree with our interpretation of the agreement or our actions thereunder, and we may be unable to reach an agreement with HanAll regarding the future of batoclimab. This could result in a dispute with HanAll involving arbitration or litigation.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below schematics show the trial designs for the select IMVT-1402 and batoclimab trials: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IMVT-1402 GD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6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5181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8"/>
          <w:szCs w:val="18"/>
          <w:b w:val="1"/>
          <w:bCs w:val="1"/>
          <w:color w:val="auto"/>
        </w:rPr>
        <w:t>Second IMVT-1402 GD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63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181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IMVT-1402 D2T RA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71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181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First IMVT-1402 SjD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5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IMVT-1402 CLE Proof-of-Concept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5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IMVT-1402 MG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5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IMVT-1402 CIDP Potentially Registrational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945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518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we owned 56% of the issued and outstanding shares of Immunovant (or 52% on a fully diluted basis).</w:t>
      </w:r>
    </w:p>
    <w:p>
      <w:pPr>
        <w:sectPr>
          <w:pgSz w:w="11900" w:h="16838" w:orient="portrait"/>
          <w:cols w:equalWidth="0" w:num="1">
            <w:col w:w="10139"/>
          </w:cols>
          <w:pgMar w:left="320" w:top="1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Pulmovant Overview</w:t>
      </w:r>
    </w:p>
    <w:p>
      <w:pPr>
        <w:spacing w:after="0" w:line="225"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Pulmovant is developing mosliciguat for the treatment of pulmonary hypertension associated with interstitial lung disease (“PH-ILD”) and potentially other cardiopulmonary diseases.</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Mosliciguat is a once-daily, inhaled sGC activator with the potential to be first-in-class and best-in-category. Mosliciguat is currently being developed in PH-ILD, which is a large, well-validated market with only two approved treatments (both inhaled treprostnil), which are limited to the U.S. and a small number of other countries. In a dose escalation, proof-of-concept Phase 1b trial that assessed the efficacy, safety, tolerability and pharmacokinetics of mosliciguat following single dose inhaled administration in pulmonary hypertension (“PH”) patients, clinically meaningful mean-max reductions in pulmonary vascular resistance (“PVR”) of up to approximately 38% were observed and were sustained over the study period. These reductions represent some of the highest reductions seen in PH trials to date.</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Pulmonary hypertension is a heterogeneous and highly morbid disease that can occur clinically as an isolated disorder or as a complication associated with other diseases and conditions. PH leads to increased blood pressure in the arteries of the lung and right side of the heart. WHO Group 3 PH is comprised of patients with various types of concomitant, chronic lung diseases and represent approximately 40% of all PH patients, including PH-ILD and PH-COPD. Features of PH-ILD include progressive fibrosis and hypoxemia, lung function decline resulting in respiratory failure, pulmonary hypertension and right ventricular failure with progressive symptom worsening and early mortality.</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PH-ILD is estimated to affect up to 200,000 patients in the U.S. and E.U with median survival of approximately two to three years after PH diagnosis.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PH-ILD has been historically underdiagnosed given the diverse nature of the underlying diseases with limited treatment options. The use of right heart catheterization (“RHC”) and other diagnostic modalities to confirm definitive diagnosis is expected to grow with the availability of approved PH-ILD treatments, thus expanding the market for mosliciguat. Among the ILD patients under the care of 25 physicians surveyed in 2021, 29% had a diagnosis of PH-ILD that was confirmed by RHC, while another 30% had suspected PH-ILD but had not received a confirmed diagnosis via RHC. These physicians also indicated they would increase the percentage of PH-ILD patients on whom they perform RHC by a factor of approximately 1.5x with the availability of other PH therapies.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PH-ILD patients is based on an individualized and holistic approach. Patients with mildly elevated PVR or mean pulmonary arterial pressure (“mPAP”) can mainly be treated for their underlying lung disease which includes antifibrotic medications and immunosuppressants. Patients whose PVR and mPAP are significantly elevated in the context of their fibrotic lung disease should be treated with PH-specific treatments. However, Tyvaso and Yutrepia (inhaled treprostinils) are the only approved treatments for PH-ILD patients in the U.S., with Tyvaso also available in a small number of other countries. Most patients outside of these geographies, including in the E.U., have no approved options. They can potentially be considered on a case-by-case basis for off-label treatment with pulmonary arterial hypertension (“PAH”)-specific drugs not approved for PH-ILD.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with Tyvaso’s and Yutrepia’s availability, there is still substantial unmet need for new drugs for PH-ILD with different mechanisms of action (“MoA”) and improved efficacy, tolerability and delivery. Patients on Tyvaso have been observed to have side effects impeding them from realizing optimal benefit at the maximum dose level. On-target adverse events such as cough, headache, throat irritation, nausea and flushing may cause tolerability issues for patients on Tyvaso and on Yutrepia. The same tolerability concerns have largely relegated prostacyclin usage in PAH to high-risk and advanced disease patients. We believe there is a</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significant opportunity for an agent like mosliciguat, given its MoA and inhaled, once per day, single capsule administration as well as potentially improved efficacy and tolerability compared to Tyvaso and Yutrepia, to be used as initial therapy in place of inhaled treprostinil or as an add-on treatment to inhaled treprostinil.</w:t>
      </w:r>
    </w:p>
    <w:p>
      <w:pPr>
        <w:spacing w:after="0" w:line="17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data from the non-randomized, open-label ATMOS study with a single inhaled dose of mosliciguat showed dose-dependent mean-max reductions in PVR of up to 38% in Group 1 (PAH) and Group 4 (CTEPH) PH patients, and demonstrated a favorable safety profile with no clinically relevant systemic side effects, such as heart rate and blood pressure changes. Trials of other agents in PAH have shown that reductions in PVR are potential predictors of success on clinical outcomes such as 6-minute walk distance.</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enrollment in a global Phase 2 trial to evaluate the safety and efficacy of mosliciguat in PH-ILD, with data expected in the second half of calendar year 2026. We are also actively enrolling a separate, open-label Phase 2 proof-of-concept trial to evaluate the safety and tolerability of mosliciguat in combination with inhaled treprostinil in PH-ILD.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Mosliciguat Phase 2 PHocus trial in PH-ILD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156845</wp:posOffset>
            </wp:positionV>
            <wp:extent cx="5100320" cy="2108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003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we owned 97% of the issued and outstanding common shares of Pulmovant (or 90% on a fully diluted basis).</w:t>
      </w:r>
    </w:p>
    <w:p>
      <w:pPr>
        <w:spacing w:after="0" w:line="221" w:lineRule="exact"/>
        <w:rPr>
          <w:rFonts w:ascii="Times New Roman" w:cs="Times New Roman" w:eastAsia="Times New Roman" w:hAnsi="Times New Roman"/>
          <w:sz w:val="18"/>
          <w:szCs w:val="18"/>
          <w:color w:val="auto"/>
        </w:rPr>
      </w:pPr>
    </w:p>
    <w:p>
      <w:pPr>
        <w:ind w:left="4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Genevant Overview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purposes of this “Genevant Overview” section, references to Genevant are to Genevant Sciences Ltd. and its consolidated subsidiaries.</w:t>
      </w:r>
    </w:p>
    <w:p>
      <w:pPr>
        <w:spacing w:after="0" w:line="223"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a technology-focused nucleic acid delivery and development company with two delivery platforms—a lipid nanoparticle (“LNP”) platform and a ligand conjugate platform—an expansive intellectual property portfolio and deep scientific expertise, currently focused on partnering with other pharmaceutical or biotechnology companies to enable the development of nucleic acid therapeutics for unmet medical needs.</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platforms and patent portfolio</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has two delivery platforms: LNP and ligand conjugate.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hanging="320"/>
        <w:spacing w:after="0"/>
        <w:tabs>
          <w:tab w:leader="none" w:pos="1300" w:val="left"/>
        </w:tabs>
        <w:numPr>
          <w:ilvl w:val="2"/>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LNP platform</w:t>
      </w:r>
      <w:r>
        <w:rPr>
          <w:rFonts w:ascii="Times New Roman" w:cs="Times New Roman" w:eastAsia="Times New Roman" w:hAnsi="Times New Roman"/>
          <w:sz w:val="18"/>
          <w:szCs w:val="18"/>
          <w:i w:val="1"/>
          <w:iCs w:val="1"/>
          <w:color w:val="auto"/>
          <w:highlight w:val="white"/>
        </w:rPr>
        <w:t>:</w:t>
      </w:r>
    </w:p>
    <w:p>
      <w:pPr>
        <w:spacing w:after="0" w:line="227" w:lineRule="exact"/>
        <w:rPr>
          <w:rFonts w:ascii="Times New Roman" w:cs="Times New Roman" w:eastAsia="Times New Roman" w:hAnsi="Times New Roman"/>
          <w:sz w:val="18"/>
          <w:szCs w:val="18"/>
          <w:i w:val="1"/>
          <w:iCs w:val="1"/>
          <w:color w:val="auto"/>
        </w:rPr>
      </w:pPr>
    </w:p>
    <w:p>
      <w:pPr>
        <w:ind w:left="1620" w:right="20" w:hanging="316"/>
        <w:spacing w:after="0" w:line="261" w:lineRule="auto"/>
        <w:tabs>
          <w:tab w:leader="none" w:pos="1615"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used in the first systemic RNA-LNP product to receive FDA-approval, Alnylam’s Onpattro (patisiran) for the treatment of polyneuropathy caused by hereditary ATTR amyloidosis.</w:t>
      </w:r>
    </w:p>
    <w:p>
      <w:pPr>
        <w:ind w:left="1620" w:hanging="316"/>
        <w:spacing w:after="0" w:line="250" w:lineRule="auto"/>
        <w:tabs>
          <w:tab w:leader="none" w:pos="1615"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Outperformed all third-party formulations tested in a head-to-head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ionizable lipid study assessing LNP potency and immune stimulation.</w:t>
      </w:r>
    </w:p>
    <w:p>
      <w:pPr>
        <w:ind w:left="1620" w:hanging="316"/>
        <w:spacing w:after="0" w:line="250" w:lineRule="auto"/>
        <w:tabs>
          <w:tab w:leader="none" w:pos="1615"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Clinically validated for hepatocyte and vaccine applications and in various stages of development for other traditionally hard-to-reach tissues and cell types, including T-cells, immune cells, stellate cells, lung, eye, and central nervous system.</w:t>
      </w:r>
    </w:p>
    <w:p>
      <w:pPr>
        <w:ind w:left="1620" w:hanging="316"/>
        <w:spacing w:after="0"/>
        <w:tabs>
          <w:tab w:leader="none" w:pos="1620"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700 issued patents and pending patent applications worldwide as of March 31, 2026, including patents directed to:</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4"/>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lipid structures, including cationic and PEG-lipids</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4"/>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particle compositions, including ranges of lipid ratios for nucleic acid-containing particles</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4"/>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nucleic acid-containing particles with certain structural characteristics</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4"/>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mRNA-containing LNP formulations</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4"/>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manufacturing process aspects</w:t>
      </w:r>
    </w:p>
    <w:p>
      <w:pPr>
        <w:spacing w:after="0" w:line="20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Ligand conjugate platform</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i w:val="1"/>
          <w:iCs w:val="1"/>
          <w:color w:val="auto"/>
        </w:rPr>
      </w:pPr>
    </w:p>
    <w:p>
      <w:pPr>
        <w:ind w:left="1620" w:hanging="316"/>
        <w:spacing w:after="0" w:line="261" w:lineRule="auto"/>
        <w:tabs>
          <w:tab w:leader="none" w:pos="1615"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GalNAc ligands with clinical validation from imdusiran, an siRNA currently in Phase 2 clinical development by Arbutus Biopharma for the treatment of chronic hepatitis B (cHBV).</w:t>
      </w:r>
    </w:p>
    <w:p>
      <w:pPr>
        <w:ind w:left="1620" w:hanging="316"/>
        <w:spacing w:after="0" w:line="260" w:lineRule="auto"/>
        <w:tabs>
          <w:tab w:leader="none" w:pos="1615"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head-to-head testing, Genevant’s GalNAc ligands demonstrated equal or better preclinical potency, assessed by duration and magnitude of knockdown, compared to a current industry benchmark.</w:t>
      </w:r>
    </w:p>
    <w:p>
      <w:pPr>
        <w:spacing w:after="0" w:line="17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Collaboration-based business model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seeks to partner with other pharmaceutical or biotechnology companies in the development of RNA therapeutics, crafting mutually beneficial collaborations that allow collaboration partners to access its innovative technologies while providing Genevant the opportunity to leverage its expertise to expand the technology and its therapeutic application.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uses its expertise in the delivery of nucleic acid therapeutics to develop optimal delivery systems for its collaborators’ identified payloads.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Genevant’s collaboration-based business model is to seek upfront payments, R&amp;D reimbursements, milestones and royalties or profit sharing upon success, while also retaining certain rights in the delivery-related intellectual property developed in the context of the collaboration for potential use or out-licensing.</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current collaboration partners include Editas Medicine, Epitopea, Mammoth Biotechnologies and Repair Biotechnologies.</w:t>
      </w:r>
    </w:p>
    <w:p>
      <w:pPr>
        <w:spacing w:after="0" w:line="2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Clinical and preclinical data</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has been in clinical trials of over a dozen distinct product candidates, representing thousands of subjects of clinical experience.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head-to-head study in mice comparing multiple LNP formulations which varied only the key ionizable lipid, Genevant’s formulation outperformed all third-party formulations tested. Genevant’s formulation showed superior potency and tolerability (based on an assessment of immune stimulation) relative to others.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is included in the first systemic RNA-LNP product to receive FDA-approval, Alnylam’s Onpattro (patisiran) for the treatment of polyneuropathy caused by hereditary ATTR amyloidosis.</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IP litigation</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Genevant Sciences GmbH (“GSG”), and, solely for specified purposes, Genevant’s parent company Genevant Sciences Ltd., and Arbutus entered into a $2.25 billion global settlement with Moderna to</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resolve all patent infringement litigation and patent revocation proceedings involving Moderna and its affiliates pending in the U.S. and internationally. As a part of the settlement, Moderna has agreed to pay GSG and Arbutus $950 million in or before July 2026 and an additional $1.3 billion contingent upon a ruling in Moderna’s §1498 Appeal favorable to GSG and Arbutus. Additionally, as a part of this settlement, GSG granted Moderna a global non-exclusive license to LNP delivery technology for infectious disease applications and a covenant not to sue with respect to certain of GSG’s and Arbutus’ patents and Moderna products.</w:t>
      </w:r>
    </w:p>
    <w:p>
      <w:pPr>
        <w:spacing w:after="0" w:line="183" w:lineRule="exact"/>
        <w:rPr>
          <w:sz w:val="20"/>
          <w:szCs w:val="20"/>
          <w:color w:val="auto"/>
        </w:rPr>
      </w:pPr>
    </w:p>
    <w:p>
      <w:pPr>
        <w:jc w:val="both"/>
        <w:ind w:left="980" w:hanging="324"/>
        <w:spacing w:after="0" w:line="266" w:lineRule="auto"/>
        <w:tabs>
          <w:tab w:leader="none" w:pos="97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GSG and Arbutus jointly filed a complaint against Pfizer and BioNTech in the U.S. District Court for the District of New Jersey asserting infringement of five patents. In September 2025,the Court issued a claims construction ruling construing the disputed claim terms in a manner that GSG generally considers to be favorable. Further scheduling in the litigation remains pending.</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highlight w:val="white"/>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we owned 83% of the issued and outstanding common shares of Genevant (or 64% on a fully diluted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Vant License Agreements &amp; Other Vant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Priovant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Pfizer, Inc.</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our subsidiary Priovant Therapeutics, Inc. (“Priovant”) entered into a license and collaboration agreement with Pfizer (the “Pfizer-Priovant License Agreement”). Pursuant to the Pfizer-Priovant License Agreement, Pfizer granted Priovant (i) an exclusive, worldwide, sublicensable, royalty-bearing license under certain patents and (ii) a non-exclusive, worldwide, sublicensable, royalty-bearing license under certain know-how, in each case, to develop, manufacture and commercialize brepocitinib and TYK2 compounds and products incorporating such compounds for all human and animal uses. In exchange for Pfizer’s inventory of these compounds, Priovant paid Pfizer $10.0 million. Priovant also granted back to Pfizer (i) an exclusive, sublicensable, royalty-bearing license under certain patents and (ii) a non-exclusive, sublicensable, royalty-bearing license under certain know-how, in each case, to commercialize (x) brepocitinib and products incorporating such compound outside of the U.S. and Japan, and (y) TYK2 compounds and products incorporating such compounds outside of the U.S., in each case for all human and animal uses.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Priovant is obligated to pay Pfizer a mid tens-of-millions sales milestone payment if aggregate net sales of its licensed products in Priovant’s territory in a given year exceed a mid hundreds-of-millions amount. Pfizer is obligated to pay Priovant a low tens-of-millions milestone payment if aggregate net sales of its licensed products outside of Priovant’s territory in a given year exceed a mid hundreds-of-millions amount.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Priovant is obligated to pay Pfizer a tiered, sub-teens royalty on aggregate net sales of its licensed products in Priovant’s territory. Pfizer is obligated to pay Priovant a tiered high single-digit to sub-teens royalty on aggregate net sales of its licensed products outside of Priovant’s territory. Each of Priovant’s and Pfizer’s royalty obligations apply on a product-by-product and country-by-country basis and end upon the expiration of a customary royalty term, which is the latest of (a) a certain amount of years following the first commercial sale of the applicable product in the applicable country, (b) the date on which the regulatory exclusivity provided by the applicable government authority for the applicable product in that country expires and (c) the date upon which the use, sale, offer for sale or importation of such product in such country would no longer be covered by a valid claim of a licensed product right. Either party may terminate the Pfizer-Priovant License Agreement for the other party’s uncured breach and Priovant has the right to terminate for convenience.</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with HanAll Biopharma Co., Ltd.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2017, our wholly owned subsidiary, Roivant Sciences GmbH (“RSG”), entered into a license agreement with HanAll Biopharma Co., Ltd. (“HanAll”) (the “HanAll Agreement”). Under the HanAll Agreement, RSG received (1) the non-exclusive right to manufacture and (2) the exclusive, royalty-bearing right to develop, import, use and</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commercialize the antibody referred to as batoclimab and certain back-up and next-generation antibodies (including IMVT-1402), and products containing such antibodies in the U.S., Canada, Mexico, the E.U., the U.K., Switzerland, the Middle East, North Africa and Latin America (the “HanAll Licensed Territory”). With respect to these licenses, RSG also received the right to grant a sublicense, with prior written notice to HanAll of such sublicense, to: (1) a third party in any country in the HanAll Licensed Territory outside of the U.S. and E.U.; (2) an affiliate of RSG in any country in the HanAll Licensed Territory; and (3) a third party in the U.S. and E.U. only after submission of a biologics license application (“BLA”) in the U.S. or a Marketing Authorization Application in the E.U. Pursuant to the HanAll Agreement, RSG granted to HanAll an exclusive, royalty-free license under certain RSG patents, know-how and other intellectual property controlled by RSG relating to such antibodies and products to develop, manufacture and commercialize such antibodies and products for use outside of the HanAll Licensed Territory. HanAll also reserves the right to conduct discovery or research activities with the batoclimab antibody, and certain back-up and next-generation antibodies (including IMVT-1402), with or through a contract research organization or service provider in the HanAll Licensed Territory.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2018, Immunovant Sciences GmbH, (“ISG”) obtained and assumed all of the rights, title, interest and obligations under the HanAll Agreement from RSG, including all rights to IMVT-1402 and batoclimab in the HanAll Licensed Territory, pursuant to an assignment and assumption agreement between RSG and ISG, for an aggregate purchase price of $37.8 million. In January 2026, Immunovant completed an internal reorganization and transfer of intellectual property rights related to its product candidates between two wholly-owned subsidiaries of Immunovant. Ownership and rights to such intellectual property remain with Immunovant and its subsidiaries.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HanAll Agreement, ISG will be responsible for future contingent payments and royalties, including up to an aggregate of $420.0 million upon the achievement of certain regulatory and sales milestone events. ISG is also obligated to pay HanAll tiered royalties ranging from the mid-single digits to mid-teens percentage of net sales of licensed products, subject to standard offsets and reductions as set forth in the HanAll Agreement. These royalty obligations apply on a product-by-product and country-by-country basis and end upon the latest of: (A) the date on which the last valid claim of the licensed patents expires, (B) the date on which the data or market exclusivity expires and (C) 11 years after the first commercial sale of the licensed product, in each case, with respect to a given product in a given country.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for cost-sharing in connection with the research program, ISG is solely responsible, at its expense, for all other activities related to the research, development and commercialization of licensed products for the HanAll Licensed Territory. ISG may use a third party for manufacturing activities necessary for the research, development and commercialization of licensed products for the HanAll Licensed Territory. In addition, under the HanAll Agreement, ISG has agreed to use commercially reasonable efforts to develop and commercialize licensed products in the HanAll Licensed Territory. Each party to the HanAll Agreement has agreed that neither it nor certain of its affiliates will clinically develop or commercialize certain competitive products in the Licensed Territory.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HanAll Agreement, ISG has the sole right, but not the obligation, to control the prosecution, defense and enforcement of the licensed patents in the HanAll Licensed Territory, and HanAll has backup rights to prosecution, defense and enforcement with respect to any licensed patents for which ISG elects not to exercise such rights.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HanAll Agreement will expire on a product-by-product basis on the expiration of the last royalty term with respect to a given licensed product, unless earlier terminated. ISG may terminate the HanAll Agreement in its entirety without cause upon 180 days’ written notice following 30 days of discussion. Either party may terminate the HanAll Agreement upon 60 days’ written notice for uncured material breach (or 30 days in the case of non-payment), or immediately upon written notice if the other party files a voluntary petition, is subject to a substantiated involuntary petition or for certain other solvency events. HanAll may terminate the HanAll Agreement if ISG or its affiliates challenge the validity or enforceability of any of the licensed patents. ISG has commenced discussions with HanAll regarding the future disposition of batoclimab, including the potential return to HanAll of certain rights for batoclimab. In April 2026, ISG notified HanAll of its decision to indefinitely delay further development of batoclimab and focus its resources fully on IMVT-1402. Under the HanAll Agreement, ISG retains final decision-making authority over development and regulatory matters for licensed products in the HanAll Licensed Territory, and ISG believes it has satisfied its obligations under the HanAll Agreement, including with respect to batoclimab. HanAll may disagree with this interpretation of the agreement or ISG's actions thereunder, and ISG may be unable to reach an agreement with HanAll regarding the future of batoclimab. This could result in a dispute with HanAll involving arbitration or litigation.</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Pulmovant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with Bayer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our subsidiary Pulmovant, Inc. (“Pulmovant”) entered into a license agreement (the “Bayer-Pulmovant License Agreement”) with Bayer Aktiengesellschaft (“Bayer”). Pursuant to the Bayer-Pulmovant License Agreement, Bayer granted Pulmovant an exclusive, worldwide, sublicensable, royalty-bearing license under certain patents and know-how to use, develop, commercialize and manufacture mosliciguat compounds and products containing or comprising such compounds for the prevention, treatment, mitigation, cure and/or diagnosis of any disease in humans or animals.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Pulmovant made an initial payment to Bayer of approximately $14 million and is obligated to pay up to an aggregate of $280 million upon the achievement of certain development, regulatory and net sales milestone events, as well as tiered, high-single-digit royalties on annual net sales of licensed products on a product-by-product and country-by-country basis, subject to certain reductions. Such royalty obligation ends upon the expiration of a customary royalty term, which is the later of (a) the expiration of the last to expire certain specified valid claim of a licensed patent right in such country,</w:t>
      </w:r>
    </w:p>
    <w:p>
      <w:pPr>
        <w:spacing w:after="0" w:line="3" w:lineRule="exact"/>
        <w:rPr>
          <w:sz w:val="20"/>
          <w:szCs w:val="20"/>
          <w:color w:val="auto"/>
        </w:rPr>
      </w:pPr>
    </w:p>
    <w:p>
      <w:pPr>
        <w:ind w:firstLine="8"/>
        <w:spacing w:after="0" w:line="260" w:lineRule="auto"/>
        <w:tabs>
          <w:tab w:leader="none" w:pos="2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regulatory exclusivity for such licensed product in such country and (c) a certain amount of years following the first commercial sale of such licensed product in such country.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Bayer-Pulmovant License Agreement will expire upon the last-to-expire royalty term unless terminated earlier. Either party may terminate for the other party’s uncured material breach or insolvency. Bayer has the right to terminate for certain specified patent challenges, and Pulmovant has the right to terminate for convenience.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Cross-License Agreement with Arbutus Biopharma Corporation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2018, our subsidiary, Genevant Sciences Ltd. (“GSL”), entered into a cross-license agreement with our affiliate, Arbutus Biopharma Corporation (“Arbutus”) (as amended, the “Cross-License Agreement”), which was subsequently assigned to GSL’s subsidiary Genevant Sciences GmbH (“Genevant”). Pursuant to the Cross-License Agreement, Arbutus granted Genevant an exclusive, sublicensable, worldwide, transferable, irrevocable and perpetual license under certain patents and know-how relating to Arbutus’s lipid nanoparticle and GalNAc technologies for all applications other than hepatitis B virus, and certain other excluded fields. The license is subject to certain rights which had previously been licensed by Arbutus to third parties.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Genevant is obligated to pay Arbutus tiered low single-digit percentage royalties on sales of products covered by the licensed patents. If Genevant sublicenses intellectual property licensed from Arbutus or collaborates with any third-party to develop, manufacture or commercialize any products covered by the intellectual property licensed by Arbutus, it will be required to pay Arbutus the lesser of (i) a percentage (20% in the case of a mere sublicense (i.e., a naked sublicense) by Genevant without additional contribution and 14% in the case of a bona fide collaboration with Genevant) of the Royalty-Related Receipts (as defined in the Cross-License Agreement (including the amendments thereto)) received by Genevant from such sublicensees or collaborators and (ii) tiered low single-digit royalties on net sales by sublicensees. Genevant’s royalty obligations apply on a product-by-product, country-by-country basis and end on the date on which the last valid claim of the licensed patents in such country that covers such licensed product expires. The patents and pending patent applications, if granted, currently licensed under the Cross-License Agreement began to expire as early as 2023, and end as late as 2041, without giving effect to any potential patent term extensions or patent term adjustments. The Cross-License Agreement includes customary termination rights and, unless earlier terminated, will continue until the expiration of Genevant’s royalty obligations.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there are proceeds from an action for infringement by any third parties of Arbutus’s intellectual property licensed to Genevant, including the settlement to resolve all patent infringement litigation between Genevant, Arbutus and Moderna pending in the U.S. and internationally entered into in March 2026, Arbutus is entitled to, after deduction of litigation costs, 20% of such proceeds or, if less, tiered low single-digit royalties on net sales of the infringing product (inclusive of the proceeds from litigation or settlement, which would be treated as net sales). For information on the settlement and potential payments related thereto, please refer to Note 5, “Recent Transactions and Developments” of our audited financial statements.</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currently have any products that have been approved for commercial sale in the U.S. or any other jurisdiction, and therefore do not have an active sales and marketing capability. Following applicable regulatory approvals for our product candidates, we anticipate sales and marketing activities will be undertaken largely at the Vants, similar to how we structure clinical development activities.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Ahead of the potential commercial launch of brepocitinib for the treatment of DM by Priovant, following applicable regulatory approvals, Priovant is working to establish a sales and marketing function. Priovant intends to build a small, targeted specialty sales organization in the U.S., targeting specialist physicians that treat high numbers of patients with DM and other autoimmune conditions. We believe these physicians treat a majority of patients with DM and the other autoimmune indications for which we intend to seek regulatory approval for brepocitinib and most often serve as the diagnosing and treating physicians for DM and other such indications.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these commercialization preparations, Priovant is also building dedicated functions across several key commercial capabilities, including a market access function focused on securing formulary coverage and reimbursement from commercial payors, pharmacy benefit managers, Medicare and Medicaid and other government payors; patient support services, including HUB services and patient assistance programs, to facilitate patient access to brepocitinib, following applicable regulatory approvals. We believe the concentrated prescriber base for indications like DM and the other indications for which brepocitinib is currently under development is well-suited to a focused specialty sales model.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opportunistically seek strategic collaborations to maximize the commercial opportunities for brepocitinib and our other product candidates inside and outside the U.S., following applicable regulatory approvals.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approach commercialization for our other product candidates, including IMVT-1402 at Immunovant and mosliciguat at Pulmovant, we anticipate they will similarly work to build out sales and marketing functions appropriate to their product candidates, the indications for which they are being developed and prescriber and payor paradigm applicable to those diseases. At the same time, we anticipate certain efficiencies and benefits from shared learnings, experiences and expertise at Roivant and across the Vants as we begin to commercialize multiple product candidates at the Vants.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facilities for the manufacturing, testing, storage and distribution of clinical or commercial quantities of our product candidates, which include drug substance, drug product and drug-device combination products that we are developing. We currently rely and intend to continue to rely on contract manufacturing organizations (“CMOs”) for drug substance, drug product and delivery devices, as well as labeling, packaging and distribution, and we do not have plans to develop our own manufacturing operations in the foreseeable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Currently, we contract with well-established third-party manufacturers for the manufacture of our drug substance and our drug product. With respect to brepocitinib, IMVT-1402 and mosliciguat we have either established arrangements or are in the process of establishing arrangements with CMOs to supply drug substance or drug product to support our current and planned clinical trial programs, as well as anticipated commercial supply to support the potential launch of these product candidates following applicable regulatory approvals.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our clinical needs and commercial plans continue to evolve, we may engage additional third-party manufacturers to support clinical trials for our product candidates as well as commercialization of our product candidates, if approved. In addition, we have personnel with substantial technical and product development experience who actively manage the CMOs producing our product candidates and plan to use such personnel to manage CMOs for any other product candidates or products that we may develop in the future.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outsourced approach to manufacturing relies on CMOs to first develop cell lines and manufacturing processes that are compliant with current good manufacturing practice (“cGMP”) then produce material for nonclinical studies and clinical trials. Our agreements with CMOs may obligate them to develop a production cell line, establish master and working cell banks, develop and qualify upstream and downstream processes, develop drug product process, validate (and in some cases develop) suitable analytical methods for test and release as well as stability testing, produce drug substance for nonclinical testing, produce cGMP-compliant drug substance or produce cGMP-compliant drug product. We conduct</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audits of CMOs prior to initiation of activities under these agreements and monitor operations to ensure compliance with the mutually agreed process descriptions and cGMP regulations.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particular, as we approach potential near-term commercialization of brepocitinib, we are working with our CMOs to scale manufacturing processes from clinical to commercial quantities, including conducting or planning process validation activities required for commercial approval. We may also in the future establish relationships with secondary or backup CMOs for drug substance and drug product manufacturing for our most advanced product candidates in order to mitigate supply chain risk and support continuity of commercial supply. We intend to maintain sufficient inventory of drug substance and drug product to support anticipated commercial demand following any regulatory approval, and we believe our existing and planned CMO arrangements will be sufficient to meet our anticipated near-term commercial supply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Now and in the future we may face competition from major pharmaceutical companies, specialty pharmaceutical companies, biotechnology companies, academic institutions, government agencies and other public and private research organizations worldwide.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 candidates. We expect to face intense competition from other biopharmaceutical companies who are developing agents for the treatment of autoimmune diseases and pulmonary hypertension.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and commercialization of product candidates for the treatment of the indications that we are also pursuing. Examples of such competing products include, but are not limited to:</w:t>
      </w:r>
    </w:p>
    <w:p>
      <w:pPr>
        <w:spacing w:after="0" w:line="202" w:lineRule="exact"/>
        <w:rPr>
          <w:sz w:val="20"/>
          <w:szCs w:val="20"/>
          <w:color w:val="auto"/>
        </w:rPr>
      </w:pPr>
    </w:p>
    <w:p>
      <w:pPr>
        <w:ind w:left="660" w:right="40" w:hanging="328"/>
        <w:spacing w:after="0" w:line="234"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VYVGART (efgartigimod alfa-fcab) and VYVGART Hytrulo (efgartigimod alfa and hyaluronidase-qvfc), FcRn blockers, potential competitors to brepocitinib and IMVT-1402;</w:t>
      </w:r>
    </w:p>
    <w:p>
      <w:pPr>
        <w:spacing w:after="0" w:line="5" w:lineRule="exact"/>
        <w:rPr>
          <w:rFonts w:ascii="Arial" w:cs="Arial" w:eastAsia="Arial" w:hAnsi="Arial"/>
          <w:sz w:val="22"/>
          <w:szCs w:val="22"/>
          <w:color w:val="auto"/>
        </w:rPr>
      </w:pPr>
    </w:p>
    <w:p>
      <w:pPr>
        <w:ind w:left="620" w:hanging="288"/>
        <w:spacing w:after="0"/>
        <w:tabs>
          <w:tab w:leader="none" w:pos="62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IMAAVY (nipocalimab-aahu) and RYSTIGGO (rozanolixizumab-noli), FcRn blockers, potential competitors to IMVT-1402;</w:t>
      </w:r>
    </w:p>
    <w:p>
      <w:pPr>
        <w:spacing w:after="0" w:line="13"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Dazukibart, an interferon beta (IFN-beta) inhibitor, a potential competitor to brepocitinib; and</w:t>
      </w:r>
    </w:p>
    <w:p>
      <w:pPr>
        <w:spacing w:after="0" w:line="17" w:lineRule="exact"/>
        <w:rPr>
          <w:rFonts w:ascii="Arial" w:cs="Arial" w:eastAsia="Arial" w:hAnsi="Arial"/>
          <w:sz w:val="22"/>
          <w:szCs w:val="22"/>
          <w:color w:val="auto"/>
        </w:rPr>
      </w:pPr>
    </w:p>
    <w:p>
      <w:pPr>
        <w:ind w:left="620" w:hanging="288"/>
        <w:spacing w:after="0"/>
        <w:tabs>
          <w:tab w:leader="none" w:pos="62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Tyvaso (treprostinil) and Yutrepia (treprostinil), prostacyclin mimetics, potential competitors to mosliciguat.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candidates, if approved, may also face competition from agents with different mechanisms of action.</w:t>
      </w:r>
    </w:p>
    <w:p>
      <w:pPr>
        <w:spacing w:after="0" w:line="2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Drug development is highly competitive and subject to rapid and significant technological advancements. Our ability to compete will significantly depend upon our ability to complete necessary clinical trials and regulatory approval processes and effectively market any drug that we may successfully develop. Our current and potential future competitors include pharmaceutical and biotechnology companies, as well as academic institutions and government agencies. The primary competitive factors that will affect the commercial success of any product candidate for which we may receive marketing approval include efficacy, safety and tolerability profile, dosing convenience, price, coverage, reimbursement and public opinion. 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For example, in October 2023, Amgen completed its previously announced acquisition of Horizon Therapeutics for approximately $27.8 billion, expanding its rare disease pipeline, and in October 2025, Merck completed its acquisition of Verona Pharma for approximately $10 billion, strengthening its cardio-pulmonary portfolio.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Accordingly, competitors may be more successful than us in obtaining regulatory approval for therapies and in achieving widespread market acceptance of their drugs. It is also possible that the development of a cure or more effective treatment method for any of our targeted indications by a competitor could render our product candidates non-competitive</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obsolete, or reduce the demand for its product candidate before it can recover its development and commercialization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our product candidates, technologies and know-how; to operate without infringing, misappropriating or otherwise violating the proprietary rights of others; and to prevent others from infringing our proprietary rights. Our policy is to seek to protect our proprietary position by, among other methods, filing or in-licensing U.S. and foreign patents and patent applications related to our proprietary technology, inventions and improvements that are important to the development and implementation of our business. We may also rely on trade secrets, know-how, continuing technological innovation and potential in-licensing opportunities to develop and maintain our proprietary position.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fields of genetic therapy, cell therapy, biologics or pharmaceutical products generally has emerged in the U.S., Europe or the rest of the world. Changes in the patent laws and rules, either by legislation, judicial decisions, or regulatory interpretation in such territories or jurisdictions may diminish our ability to protect our product candidates and enforce our intellectual property rights, and more generally could affect the value of our intellectual property, including our product candidates.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any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and technology. Moreover, our issued patents and those that may be issued in the future may not guarantee us the right to practice our technology in relation to the commercialization of our product candidates, if approved, or technology. The area of patents and other intellectual property rights in biotechnology is an evolving one with many risks and uncertainties, which may prevent us from commercializing our product candidates and practicing our proprietary technology.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issued patents and those that may be issued in the future may be challenged, narrowed, circumvented or invalidated, which could limit our ability to stop competitors from marketing related products or technologies or limit the length of the term of patent protection that we may have for our product candidates and technologies. In addition, the rights granted under any issued patents may not provide us with complete protection or competitive advantages against competitors or other third parties with similar technology. Furthermore, our competitors may independently develop similar technologies that achieve similar outcomes but with different approaches. For these reasons, we may have competition for our product candidates. Moreover, the time required for development, testing and regulatory review of our product candidates may shorten the length of effective patent protection following commercialization. For this and other risks related to our proprietary technology, inventions, improvements, platforms and product candidates, please see the section entitled “Risk Factors—Risks Related to Roivant’s Business and Industry—Risks Related to Our Intellectual Property.”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Priovant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31, 2026, Priovant Therapeutics, Inc. has (1) exclusively licensed rights to six patent families for brepocitinib containing at least 202 issued patents and 53 pending patent applications in the U.S. and other jurisdictions, including the European Union and Japan, with claims covering, among other things, a composition of matter, a crystalline form, a topical formulation, a process for making brepocitinib, a treatment of hidradenitis, a dosage regimen for treatment of hidradenitis and treatment of dermatomyositis with brepocitinib. These patents and pending applications, if issued, are expected to expire as early as 2035, in each case without taking into account any possible patent term adjustments or extensions and assuming payment of all appropriate maintenance, renewal, annuity or other governmental fees, and (2) exclusively licensed rights to three patent families for ropsacitinib containing at least 154 issued patents and 27 pending patent applications in the U.S. and other jurisdictions, including the European Union and Japan, with claims covering a composition of matter, a treatment of hidradenitis and a crystalline form. These patents and pending applications, if issued, are expected to expire as early as 2037, in each case without taking into account any possible patent term adjustments or extensions and assuming payment of all appropriate maintenance, renewal, annuity or other governmental fees.</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Anti-FcRn Franchise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ISG’s assumption of all rights, title, interest and obligations under the HanAll Agreement from RSG in December 2018, by virtue of the license of patent rights under the HanAll Agreement, ISG became the exclusive licensee of certain patents, patent applications and know-how directed to batoclimab, IMVT-1402 and certain back-up and next-generation antibodies, and products containing such antibodies, in the HanAll Licensed Territory. In January 2026, Immunovant completed an internal reorganization and transfer of intellectual property rights related to Immunovant’s product candidates between two wholly-owned subsidiaries of Immunovant. As of January 14, 2026, IMVT Corporation (“IMVT Corp”) assumed control of all intellectual property rights directed to batoclimab, IMVT-1402 and certain back-up and next-generation antibodies, and products containing such antibodies, in the HanAll Licensed Territory.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March 31, 2026, the in-licensed patent portfolio includes a patent family covering batoclimab with pending patent applications and/or issued patent(s) in the U.S., Argentina, Brazil, Canada, European Patent Office, Egypt, Israel, Mexico and Saudi Arabia. This in-licensed patent family was filed in 2015 and discloses anti-FcRn antibodies, including batoclimab, pharmaceutical compositions thereof, methods of treating autoimmune disease using the same, polynucleotides encoding such antibodies, expression vectors including such polynucleotides, host cells transfected with such recombinant expression vectors, methods of manufacturing such antibodies and methods of detecting FcRn in vivo or in vitro using such antibodies. Notably, in this in-licensed patent family, a U.S. patent was issued on July 2, 2019, with claims directed to batoclimab as defined by its CDRs and epitope or antigen-binding fragment thereof, and a pharmaceutical composition comprising such antibody or antigen-binding fragment thereof. Furthermore, another U.S. patent was issued in this in-licensed patent family on January 28, 2020, with claims directed to batoclimab as defined by its CDRs or antigen-binding fragment thereof, a pharmaceutical composition comprising such antibody or antigen-binding fragment thereof, as well as methods of treating various autoimmune diseases using such antibody or antigen-binding fragment thereof, polynucleotides and expression vectors encoding the same, host cells transfected with such expression vectors and methods of producing such antibody or antigen-binding fragment. A further patent was issued in the U.S. on March 31, 2023 with claims to two an isolated anti-FcRn antibodies other than batoclimab or an antigen-binding fragment thereof, a pharmaceutical composition comprising such antibody or antigen-binding fragment thereof, as well as methods of treating various autoimmune diseases using such antibody or antigen-binding fragment thereof, polynucleotides and expression vectors encoding the same, host cells transfected with such expression vectors and methods of preparing such antibody or antigen-binding fragment. A European patent in this family was issued on May 10, 2023 with claims directed to batoclimab as defined by its heavy and light chain variable sequences. There are also issued patents in this family in Brazil, Canada, Israel, Mexico and Saudi Arabia. In this family, applications are pending in Argentina, Mexico, the U.S. and in Europe. The patents of this patent family may expire in 2035, without taking into account any possible patent term adjustment or extension and assuming payment of all appropriate maintenance, renewal, annuity or other governmental fees.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in-licensed patent portfolio includes another patent family that discloses a pharmaceutical formulation for an anti-FcRn antibody. This patent family includes pending applications in the U.S., and in Europe, Israel, Canada, Mexico and Argentina, and any patent issued in this patent family may expire in 2041, without taking into account any possible patent term adjustment or extension and assuming payment of all appropriate maintenance, renewal, annuity or other governmental fees.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as of March 31, 2026, independent of the licensed patent portfolio, IMVT Corp owns a patent family directed to methods of treating thyroid eye disease (a.k.a. Graves’ ophthalmopathy) using anti-FcRn antibodies that include pending patent applications in the U.S. as well as foreign counterparts in certain jurisdictions including Brazil, Canada, Chile, Europe, Israel and Mexico. Any patent issued from this patent family may expire in 2039, without taking into account any possible patent term adjustment or extension and assuming payment of all appropriate maintenance, renewal, annuity or other governmental fees. Further, IMVT Corp owns a patent family directed to and methods of treating warm autoimmune hemolytic anemia using anti-FcRn antibodies that include pending patent applications in the U.S. and in European Patent Office. Any patent issued from this patent family may expire in 2040, without taking into account any possible patent term adjustment or extension and assuming payment of all appropriate maintenance, renewal, annuity or other governmental fees.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IMVT Corp jointly owns rights with HanAll to a patent family covering IMVT-1402 and its uses to treat autoimmune disease, which includes patent applications in the U.S. as well as foreign counterparts in certain jurisdictions including Brazil, Canada, Chile, Colombia, Egypt, European Patent Office, Israel, Mexico, Panama, Peru and Saudi Arabia. Notably, in this patent family, a U.S. patent was issued on March 12, 2024, with claims directed to IMVT-1402 as defined by its CDRs, a pharmaceutical composition comprising such antibody or antigen-binding fragment thereof, and methods of treating an autoimmune disease using such antibody or antigen-binding fragment thereof, polynucleotides and</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expression vectors encoding the same, host cells transfected with such expression vectors and methods of preparing such antibody or antigen-binding fragment. The patents of this patent family may expire in 2043, without taking into account any possible patent term adjustment or extension and assuming payment of all appropriate maintenance, renewal, annuity or other governmental fees.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IMVT Corp also owns patent families directed to methods of treating Graves’ disease and methods of treating CIDP using anti-FcRn antibodies including IMVT-1402 and batoclimab, which include pending patent applications in the U.S. as well as foreign counterparts in certain jurisdictions including Brazil, Canada, Chile, Colombia, Egypt, Europe, Israel, Mexico, and Saudi Arabia. Any patent issued from these patent families may expire in 2043, without taking into account any possible patent term adjustment or extension and assuming payment of all appropriate maintenance, renewal, annuity or other governmental fees.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IMVT Corp also owns a patent family directed to high concentration protein formulations with polysorbate excipients and methods of making the same, which includes pending patent applications in the U.S. as well as foreign counterparts in certain jurisdictions including Brazil, Canada, Europe, and Mexico. Any patent issued from this patent family may expire in 2044, without taking into account any possible patent term adjustment or extension and assuming payment of all appropriate maintenance, renewal, annuity or other governmental fees.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IMVT Corp also owns a Patent Cooperation Treaty (“PCT”) application directed to methods of improving anti-FcRn therapies, which describes specific dosing regimens for IMVT-1402. Any patent issued from this patent family may expire in 2044, without taking into account any possible patent term adjustment or extension and assuming payment of all appropriate maintenance renewal, annuity or other governmental fees. For information regarding ISG’s license agreement with HanAll, please see “—Vant License Agreements &amp; Other Vant Agreements.”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IMVT Corp also owns a PCT application and a corresponding Argentine application directed to formulations for anti-FcRn antibodies. Any patent issued from this patent family may expire in 2045, without taking into account any possible patent term adjustment or extension and assuming payment of all appropriate maintenance, renewal, annuity or other governmental fees.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IMVT Corp also owns a PCT application and a corresponding Argentine application directed to methods of treating skin diseases using anti-FcRn antibodies including IMVT-1402 and batoclimab. Any patent issued from this patent family may expire in 2046, without taking into account any possible patent term adjustment or extension and assuming payment of all appropriate maintenance, renewal, annuity, or other governmental fees.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IMVT Corp also owns a U.S. provisional application directed to methods of inducing remission in GD patients using anti-FcRn antibodies including IMVT-1402 and batoclimab. Any patent issued from this patent family may expire in 2046, without taking into account any possible patent term adjustment or extension and assuming payment of all appropriate maintenance, renewal, annuity, or other governmental fees.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IMVT Corp owns a registered trademark for IMMUNOVANT and the combination of its logo Y-shaped antibody and IMMUNOVANT in the United States and many other jurisdictions throughout the world for goods and services. As of March 31, 2026, this trademark portfolio includes pending trademark applications and registered trademarks in the U.S. and foreign jurisdictions. Under the HanAll Agreement, ISG has the right to market IMVT-1402 and batoclimab in the HanAll Licensed Territory under the trademarks of ISG’s choice, subject to regulatory approval. However, upon termination of the HanAll Agreement, ISG must assign to HanAll all rights, title and interest in and to any and all trademarks ISG uses in the development, manufacture or commercialization of the licensed products.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Pulmovant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Pulmovant, Inc. has exclusively licensed rights to five patent families for mosliciguat containing at least 86 issued patents and 75 pending patent applications in the U.S. and other jurisdictions, including the European Union and Japan, with claims covering the composition of matter, a crystalline form, a formulation for inhalation, a process for making mosliciguat, a treatment of cardiopulmonary disorders, including PH Group 3, and a dosage regimen for treatment of cardiopulmonary disorders, including PH Group 3. These patents and pending applications, if issued, are expected to expire between 2033 and 2042, in each case without taking into account any possible patent term adjustments or extensions and assuming payment of all appropriate maintenance, renewal, annuity or other governmental fees.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Genevant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6, 2026, Genevant Sciences GmbH (“GSG”) owns or co-own 29 patent families containing 45 issued patents and 118 pending patent applications in the U.S., European Union and numerous other jurisdictions, including claims relating to lipid nanoparticle delivery technology, polymers and nucleic acid delivery constructs. These patents and pending applications, if issued, are expected to expire between 2029 and 2045, in each case without taking into account any possible patent term adjustments or extensions and assuming payment of all appropriate maintenance, renewal, annuity or other governmental fees.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April 6, 2026, GSG has licensed 28 patent families containing 485 issued patents and 110 pending patent applications in the U.S., European Union and numerous other jurisdictions, including claims relating to delivery systems. These patents and pending applications, if issued, are expected to expire between June 2025 and 2041, in each case without taking into account any possible patent term adjustments or extensions and assuming payment of all appropriate maintenance, renewal, annuity or other governmental fees.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 candidates and research programs, we also rely on trade secrets, know-how, continuing technological innovation and potential in-licensing opportunities to develop and maintain our competitive position. We seek to protect our proprietary information, in part, using confidentiality and invention assignment agreements with our commercial partners, collaborators, employees and consultants. These agreements are designed to protect our proprietary information and, in the case of the invention assignment agreements, to grant us ownership of technologies that are developed through a relationship with an employee or a third party. These agreements may be breached, and we may not have adequate remedies for any breach. In addition, our trade secrets may otherwise become known or be independently discovered by competitors or other third parties. As a result, we may not be able to meaningfully protect our trade secrets. For more information regarding the risks related to our intellectual property, see “Risk Factors—Risks Related to Roivant’s Business and Industry—Risks Related to Our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regulate, among other things, the research, development, manufacture, testing, quality control, approval, labeling, packaging, storage, record-keeping, promotion, advertising, distribution, post-approval monitoring and reporting, marketing and export and import of drug and biological products, as well as diagnostics, and any future product candidates. Generally, before a new drug, biologic or diagnostic can be marketed, considerable data demonstrating its quality, safety and efficacy must be obtained, organized into a format specific for each regulatory authority, submitted for review and approved, authorized or cleared by the applicable regulatory authority.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of Drug and Biological Products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(the “FDCA”) and its implementing regulations and biologics under the FDCA and the Public Health Service Act (the “PHSA”), and their implementing regulations. Both drugs and biologics also are subject to other federal, state and local statutes and regulations, such as those related to competition.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regulatory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debarment from producing or marketing drug products or biologics, disqualification from conducting research and civil or criminal fines or penalties. Any agency or judicial enforcement action could have a material adverse effect on our business, the market acceptance of our product candidates and our reputation.</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candidates must be approved by the FDA through either an NDA or a BLA process before they may be legally marketed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generally involves the following:</w:t>
      </w:r>
    </w:p>
    <w:p>
      <w:pPr>
        <w:spacing w:after="0" w:line="207" w:lineRule="exact"/>
        <w:rPr>
          <w:sz w:val="20"/>
          <w:szCs w:val="20"/>
          <w:color w:val="auto"/>
        </w:rPr>
      </w:pPr>
    </w:p>
    <w:p>
      <w:pPr>
        <w:ind w:left="980" w:right="20" w:hanging="324"/>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GLP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for each clinical trial site before each human trial may be initiated;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and requirements, GCP requirements and other clinical trial-related regulations to establish the safety and efficacy of the investigational product for each proposed indication;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accept the filing for review;</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or biologic will be produced to assess compliance with cGMP requirements to assure that the facilities, methods and controls are adequate to preserve the drug or biologic’s identity, strength, quality and purity;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clinical trial sites that generated the data in support of the NDA or BLA and us as the sponsor;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 (unless a fee waiver applies);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with the FDA on the final labeling for the product and the design and implementation of any required REMS;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consideration of the views of any FDA advisory committee, prior to any commercial marketing or sale of the drug or biologic in the 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the regulatory scheme for drugs and biologics is evolving and subject to change at any time. We cannot be certain that any approvals for our product candidates will be granted on a timely basis, or at all.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must undergo rigorous preclinical testing. Preclinical studies include laboratory evaluation of product chemistry and formulation, as well as in vitro and animal studies to assess safety and in some cases to establish a rationale for therapeutic use. In the U.S., the conduct of preclinical studies is subject to federal and state regulations and requirements, including GLP regulations for nonclinical (e.g., safety/toxicology) studies.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an IND sponsor must submit the results of the preclinical tests, together with manufacturing information, analytical data, any available clinical data or literature and plans for clinical trials,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AEs and carcinogenicity, may continue, and additional preclinical testing may commence,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Additionally, the review of information in an IND submission may prompt the FDA to, among other things, scrutinize existing INDs or marketed products and could generate requests for information or clinical holds on other product candidates or programs.</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In the U.S.,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Clinical trials generally are conducted in three sequential phases, known as Phase 1, Phase 2 and Phase 3, and may overlap or be combined.</w:t>
      </w:r>
    </w:p>
    <w:p>
      <w:pPr>
        <w:spacing w:after="0" w:line="225" w:lineRule="exact"/>
        <w:rPr>
          <w:sz w:val="20"/>
          <w:szCs w:val="20"/>
          <w:color w:val="auto"/>
        </w:rPr>
      </w:pPr>
    </w:p>
    <w:p>
      <w:pPr>
        <w:jc w:val="both"/>
        <w:ind w:left="980" w:hanging="324"/>
        <w:spacing w:after="0" w:line="26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product candidate.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evaluate proof of concept and determine the dose required to produce the desired benefits. At the same time, safety and further PK and PD information is collected, possible adverse effects and safety risks are identified, and a preliminary evaluation of efficacy is conducted.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such use and to establish the overall benefit/risk relationship of the product and provide an adequate basis for product labeling.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2022, the FDA finalized a guidance entitled “Expansion Cohorts: Use in First-In-Human Clinical Trials to Expedite Development of Oncology Drugs and Biologics,” the draft of which was released in August 2018. This final guidance outlines how drug developers can utilize an adaptive trial design commonly referred to as a seamless trial design in early stages of oncology drug development, i.e., the first-in-human clinical trial, to compress early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or post-approval.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15 days after the trial sponsor determines the information qualifies for reporting for serious and unexpected suspected AEs, findings from</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an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FDA Review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(the “PDUFA”), as amended, each NDA or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application also includes a non-orphan indication.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review of the NDA or BLA. Under the goals and policies agreed to by the FDA under PDUFA, the FDA targets ten months, from the filing date, in which to complete its initial review of a new molecular entity NDA or original BLA and respond to the applicant, and six months from the filing date of a new molecular entity NDA or original BLA designated for priority review. The FDA does not always meet its PDUFA goal dates for standard and priority NDAs or BLAs, and the review process is often extended by FDA requests for additional information or clarification. During the COVID-19 pandemic, because of travel and other restrictions, the FDA significantly curtailed its inspection program. The reduction in pre-approval inspections resulted in delays to some product approvals. Even with the mostly complete resumption of the FDA’s normal inspection program and continued use of alternative inspection tools, there may be delays to product approvals in the future based on a resurgence of, or new problems with respect to the FDA’s ability to conduct inspections and then, even after a complete resumption of the FDA’s normal inspection program, a possible backlog in applications under review by the agency.</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has developed the Oncology Center of Excellence RTOR pilot program to facilitate a more efficient review process for certain oncology product candidates. Although this program allows the FDA to begin reviewing clinical data prior to submission of a complete NDA or BLA, the program is not intended to change the PDUFA review timelines.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Before approving an NDA or BLA, the FDA will typically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the applicant to obtain additional clinical data, including the potential requirement to conduct additional pivotal Phase 3 clinical trial(s) and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the product available in the U.S. for this type of disease or condition will be recovered from sales of the product.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200,000 individuals in the U.S. or affects more than 200,000 in the U.S. and for which there is no reasonable expectation that the cost of developing and making in the U.S. a drug for such disease or condition will be received from sales in the U.S.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(a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reauthorized the rare pediatric disease PRV program through September 30, 2029.</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sponsor may seek to develop and obtain approval of its product candidates under programs designed to accelerate the development, FDA review and approval of new drugs and biologics that meet certain criteria. For example, the FDA has a fast-track program that is intended to expedite or facilitate the process for reviewing new drugs and biologics that are intended to treat a serious or life-threatening disease or condition and demonstrate the potential to address unmet medical needs for the disease or condition. Fast track designation applies to both the product and the specific indication for which it is being studied. For a fast track-designated product, the FDA may consider sections of the NDA or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fast-track status any time before receiving NDA or BLA approval, but ideally no later than the pre-NDA or pre-BLA meeting.</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product submitted to the FDA for marketing, including under a fast-track program, may be eligible for other types of FDA programs intended to expedite development or review, such as priority review and accelerated approval. Priority review means that, for an NDA for a new molecular entity or original BLA, the FDA sets a target date for FDA action on the marketing application at six months after accepting the application for filing as opposed to ten months. A product is eligible for priority review if it is designed to treat a serious or life-threatening disease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 If criteria are not met for priority review, the NDA for a new molecular entity or original BLA is subject to the standard FDA review period of ten months after the FDA accepts the application for filing. Priority review designation does not change the scientific/medical standard for approval or the quality of evidence necessary to support approval.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is designed to treat a serious or life-threatening disease or condition, generally provides a meaningful advantage over other available therapies, and demonstrates an effect on either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or biologic receiving accelerated approval perform adequate and well-controlled post-marketing clinical trials. The FDA may require such trials to be underway prior to, or within a specific period after, approval and will specify the conditions for such studies. Further, sponsors must provide reports on post-marketing trial progress no later than 180 days after approval and every 180 days thereafter until such trials are completed. The failure to conduct required post-approval clinical trials with due diligence and the failure to submit the required reports are prohibited acts.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is not conducted or fails to verify the predicted clinical benefit of the product. The FDA can withdraw accelerated approvals on an expedited basis provided certain procedures are followed.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fast-track designation, which means that the sponsor may file sections of the NDA or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has also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the FDA to review data earlier, before an applicant formally submits a complete application. The RTOR pilot program does not affect FDA’s PDUFA timelines.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and Breakthrough Therapy Designation do not change the standards for approval.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(the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 other clinical development programs.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drug or biologic product can also obtain pediatric market exclusivity in the U.S. Pediatric exclusivity, if granted, adds six months to existing exclusivity periods and, for drug products,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regulatory approval of a new product, the manufacturer and the approved product are subject to continuing regulation by the FDA, including, among other things, monitoring and record-keeping activities, reporting of adverse experiences and certain problems in the manufacturing process, complying with promotion and advertising requirements, which include restrictions on promoting products for unapproved uses or patient populations (known as “off-</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any promotion that is false or misleading, and a company that is found to have improperly promoted off-label uses or in a false or misleading manner may be subject to significant liability, including investigation by federal and state authorities. Prescription drug promotional materials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a REMS, to assure the safe use of the product.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We rely, and expect to continue to rely, on third parties for the production of clinical quantities of our product candidates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NDA or BLA, including recall.</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withdraw the approval of the product if compliance with regulatory requirements and standards is not maintained or if problems occur after the drug or biologic reaches the market. Corrective action could delay drug or biologic distribution and require significant time and financial expenditures. Later discovery of previously unknown problems with a drug or biologic,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7" w:lineRule="exact"/>
        <w:rPr>
          <w:sz w:val="20"/>
          <w:szCs w:val="20"/>
          <w:color w:val="auto"/>
        </w:rPr>
      </w:pPr>
    </w:p>
    <w:p>
      <w:pPr>
        <w:ind w:left="980" w:hanging="324"/>
        <w:spacing w:after="0" w:line="282"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or biologic, suspension of the approval, complete withdrawal of the drug from the market or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drug or biologic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or biologic seizure or detention, or refusal to permit the import or export of drugs;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from producing or marketing drug products or biologics.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Success of certain product candidates may depend, in part, on the development and commercialization of a companion diagnostic. A companion diagnostic is a medical device, typically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that is essential for the safe and effective use of a corresponding drug or biological product.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generally regulated as medical devices by the FDA.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through the premarket notification process (“510(k) clearance”) or premarket approval from the FDA prior to commercialization.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other predicate devices, for which the FDA has not yet called for the submission of a premarket approval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 The 510(k) premarket notification pathway generally takes from three to twelve months from the date the application is completed, but can take significantly longer.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typically conduct a pre-approval inspection of the manufacturing facility or facilities to ensure compliance with the Quality Management System Regulation (the “QMSR”), which requires manufacturers to follow design, testing, control, corrective and preventative action, documentation and other quality assurance procedures. The FDA’s review of an initial PMA application is generally required by statute to take six months, although the process typically takes longer, and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 Once cleared or approved, the companion diagnostic device must adhere to post-marketing requirements including the requirements of FDA’s QMSR, adverse event reporting, recalls and corrections along with product marketing requirements and limitations. Like drug and biologic makers, companion diagnostic makers are subject to unannounced FDA inspections at any time during which the FDA is able to conduct an inspection of the product(s) and the company’s facilities for compliance with its authorities.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FDA has taken the position that developers of companion diagnostic tests associated with novel therapeutic products should seek clearance or approval at the same time that the therapeutic developer seeks approval. The FDA has recognized that contemporaneous clearance or approval of a companion diagnostic with a therapeutic is not always possible, though the FDA has indicated that coordination of contemporaneous clearances/approvals is a policy goal. In October 2018, the FDA issued a safety alert warning against the use of unapproved or uncleared genetic tests to predict patient response to specific medications. While the FDA has historically exercised enforcement discretion against laboratory developed tests—tests which are developed and performed in a single Clinical Laboratory Improvement Amendments certified laboratory—the 2018 alert and a subsequent 2019 Warning Letter against Inova Genomics Laboratory suggested that FDA may prioritize for enforcement certain uncleared or unapproved tests marketed as companion diagnostic tests. Subsequently, the FDA has attempted to encourage collaboration between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developers and therapeutic developers and to clarify FDA expectations as to companion diagnostic labeling, particularly through guidance in the oncology area. In September 2023, the FDA announced a proposed rule, which was published in October 2023, to revise the regulatory definition of an in vitro diagnostic product to explicitly capture laboratory developed tests and make clear that such tests are medical devices subject to FDA regulation. The proposed rule also described a proposed policy under which the FDA will gradually end its general enforcement discretion policy for</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laboratory developed tests in phases over a four-year period. The FDA subsequently issued the final rule in May 2024, including its policy for phasing out its general enforcement discretion policy for laboratory developed tests. In March 2025, the Eastern District of Texas vacated the final rule in consolidated cases challenging the rule. The FDA declined to appeal the ruling and rescinded the final rule in September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including batoclimab, are regulated as biologics. An abbreviated approval pathway for biological products shown to be similar to, or interchangeable with, an FDA-licensed reference biological product was created by the Biologics Price Competition and Innovation Act of 2009 (the “BPCI Act”), as part of the Patient Protection and Affordable Care Act, as amended by the Health Care and Education Reconciliation Act of 2010 (the “Affordable Care Act” or “ACA”).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make this abbreviated pathway more complicated than that for generic, small molecule drugs.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reference biological product is granted four and twelve year exclusivity periods from the time of first licensure of the product. 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U.S. in addition to the FDA, including the Centers for Medicare and Medicaid Services (the “CMS”), the Office of Inspector General and Office for Civil Rights, other divisions of the Department of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making clinically-appropriate decisions enabling patient access to any products for which we obtain marketing approval. Our current and future arrangements with healthcare providers and physicians and any future arrangements with third-party payors, may expose us to broadly applicable fraud and abuse and other healthcare laws and regulations that may constrain the business or financial arrangements and relationships through which we market, sell and distribute any drugs for which we obtain marketing approval. In the U.S., these laws include: the federal Anti-Kickback Statute, the False Claims Act and the Health Insurance Portability and Accountability Act (“HIPAA”).</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Drug manufacturers can be held liable under the federal civil False Claims Act, which imposes civil penalties, including through civil whistleblower or qui tam actions, against individuals or entities (including manufacturers) for, among other things, knowingly presenting, or causing to be presented to federal programs (including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which would preclude reimbursement of our products under the Medicare and Medicaid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certain billing or coding information to customers or promoting a product off-label. Claims which include items or services resulting from a violation of the federal Anti-Kickback Statute are false or fraudulent claims for purposes of the False Claims Act. Our future marketing and activities relating to federal, state and commercial reimbursement for our product candidates, following regulatory approval, and the sale and marketing of our product candidates, are subject to scrutiny under this law.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HIPAA created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data privacy and security regulations administered and enforced by the federal government as well as statutes and regulations adopted in the states in which we conduct our business. At the federal level, the FDA regulations for the protection of human research subjects require that we protect the privacy of personal information and obtain appropriate informed consent in connection with research using identifiable subject information or identifiable biological samples. In addition, the data privacy and security regulations implementing HIPAA impose strict limitations on the use and disclosure of individually identifiable health information, including for research purposes. Civil and criminal penalties may be imposed on entities subject to HIPAA, both by the HHS Office for Civil Rights and by state attorneys general, who have the authority to file civil actions for damages or injunctions in federal courts to enforce the HIPAA privacy, security and security breach notification regulations and to seek attorney’s fees and costs associated with pursuing such actions. In addition, the Federal Trade Commission has broad authority to investigate and initiate enforcement actions regarding any activity affecting the privacy or security of personal information that it deems deceptive or unfair. At the state level, a rapidly growing body of privacy and data protection laws impose requirements and restrictions, some of which are more stringent than federal law and many of which differ from each other in significant ways, thus complicating compliance efforts. Failure to comply with these laws can result in the imposition of significant civil and criminal penalties.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report annually to CMS information related to certain payments or other transfers of value made or distributed to physicians and teaching hospitals, or to entities or individuals at the request of, or designated on behalf of, physicians, certain other healthcare professionals and teaching hospitals and to report annually certain ownership and investment interests held by physicians, certain other healthcare professionals and their immediate family members. Effective January 1, 2022, these reporting obligations were extended to include transfers of value made to certain non-physician providers such as physician assistants and nurse practitioners.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Several states have enacted legislation requiring pharmaceutical and biotechnology companies to establish marketing compliance programs, file periodic reports with the state, make periodic public disclosures on sales, marketing, pricing, clinical trials and other activities, and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 and resource-consuming and can divert a company’s attention from the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example,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2013, and will remain in effect through the first six months of 2032 unless additional Congressional action is taken. However, the Medicare sequester reductions under the Budget Control Act were suspended from May 1, 2020</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March 31, 2022 due to the COVID-19 pandemic. There was a 1% reduction through the end of June 2022, after which the cuts returned to 2%. Absent Congressional action, there also was a possibility that an up to 4% Medicare sequester could be triggered in January 2025, pursuant to the Statutory Pay-As-You-Go Act of 2010 (“PAYGO”). Under PAYGO, if the five- or ten-year PAYGO scorecard shows a net cost at the end of a Congressional session, then the Office of Management and Budget is required to issue a sequestration order. However, in December 2024, Congress enacted the American Relief Act, which set the balances on both PAYGO scorecards to zero for all years, effectively waiving any potential sequestration under the Statutory PAYGO Act of 2010. Finally, the American Rescue Plan Act of 2021 eliminated the Medicaid unit rebate AMP cap effective as of January 1, 2024, and the removal of this rebate cap could significantly impact our Medicaid rebate liability for any future products.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drug pricing practices. In August 2022, Congress enacted the Inflation Reduction Act (“IRA”), a law that included sweeping changes to the payment for drugs under the Medicare program. Among other provisions, the IRA contains (i) a drug price negotiation program for certain high-spend Medicare drugs that have been on the market for a certain length of time and lack generic or biosimilar competition, under which Medicare prices for such drugs are capped by a “maximum fair price”; (ii) new manufacturer rebate obligations on certain drugs paid under Medicare Part B or D whose prices increase faster than inflation relative to a benchmark period; and (iii) a redesign of the Part D benefit, including capping patients’ annual out-of-pocket costs on Part D drugs, lowering the beneficiary out-of-pocket threshold, streamlining the Part D benefit to eliminate the “coverage gap” phase, and replacing the manufacturer coverage gap discount program with a new manufacturer discount program – the Medicare Part D Manufacturer Discount Program – that provides discounts throughout the post-deductible benefit phases. CMS has established “maximum fair prices” for selected drugs for coverage year 2026 and coverage year 2027. Additionally, there are several ongoing legal challenges to the IRA’s drug price negotiation program, and we cannot predict the outcome of these cases or the impact they could have on implementation of the law. The impact of the IRA on research and development, the pharmaceutical supply chain and other aspects of our business and industry remains uncertain. Over time, provisions of the IRA could increase our government discount and rebate liabilities, reduce the revenues we may eventually be able to collect from sales of our products as well as present potential challenges for payor negotiations and formulary access.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2022, former President Biden issued executive order 14087 calling on the Secretary to consider whether to select for testing by the CMS innovation center new health care payment and delivery models that would lower drug costs and promote access to innovative drug therapies for beneficiaries enrolled in the Medicare and Medicaid programs, including models that may lead to lower cost-sharing for commonly used drugs and support value-based payment that promotes high-quality care. In response, the CMS innovation center released a report in February 2023, identifying three selected models: Medicare High-Value Drug Model, the Cell &amp; Gene Therapy Access Model, and the Accelerating Clinical Evidence Model. However, within his initial days in office, President Trump issued an executive order rescinding former President Biden’s executive order 14087, thereby cancelling the Medicare High-Value Drug Model and the Accelerating Clinical Evidence Model. HHS has indicated, however, that the Cell &amp; Gene Therapy Access Model will continue as planned.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Trump Administration has pursued new or different drug pricing, trade, social, and other policy objectives from prior administrations, which introduces further uncertainty as to how future legislative or regulatory changes may impact our business. For example, and as discussed further below, the Trump Administration is seeking to institute most-favored-nation (“MFN”) pricing through legislative changes. Legislative proposals have been introduced in Congress that would mandate MFN pricing for particular healthcare programs, if enacted. In addition, President Trump took executive action to end diversity, equity, and inclusion initiatives among public-sector contractors and grantees. Additionally, in February 2025, the Department of Health and Human Services (“HHS”) announced that it is rescinding agency policy regarding public participation in certain kinds of HHS rulemaking, known as the Richardson Waiver. Under the Richardson Waiver, HHS waived a statutory exemption that allowed the agency to enact regulation on matters relating to “agency management or personnel or to public property, loans, grants, benefits or contracts” without engaging in notice-and-comment rulemaking, except as otherwise required by law. Now that the Richardson Waiver has been revoked, HHS may opt not to seek public comment on regulations related to these types of matters, which may prevent us from meaningful engagement in the rulemaking process. However, the extent to which HHS will use its discretion not to provide notice-and-comment procedures or the specific topics it views as subject to the Richardson Waiver remain unknown at this time. Moreover, the Trump Administration announced plans to restructure HHS, including substantial reductions in work force. It is not clear how this restructuring will impact our business. Finally, the Trump Administration has announced broad tariffs on foreign imports, which in many cases has caused other nations to levy retaliatory tariffs on goods manufactured in the United States. On April 2, 2026, a Presidential Proclamation imposed tariffs on certain pharmaceutical products, active pharmaceutical ingredients, and key starting materials. The tariffs, which range from 10 percent to 100 percent</w:t>
      </w: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depending on various factors, including type of drug and country of origin, are also subject to a number of exemptions and exclusions. Additional guidance from implementing agencies is necessary to provide details on the application of the tariffs, which generally will not go into effect until September 2026. These tariffs could impact our costs for raw materials and manufacturing as well as the market for our future products. Some of the Trump Administration’s policy initiatives, including the tariffs on pharmaceuticals, may be subject to litigation, increasing the uncertainty of their effects on our business.</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possible that Congress or the Administration may take further actions to control drug prices. Further federal, state and foreign legislative and regulatory developments are likely, and we expect these already enacted and ongoing initiatives to increase pressure on drug pricing. Reforms could have an adverse effect on anticipated revenues from product candidates and may affect our overall financial condition and ability to develop product candidates.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biotherapeutic product pricing, including restrictions on pricing or reimbursement at the state government level, limitations on discounts to patients, marketing cost disclosure and transparency measures, and, in some cases, policies to encourage importation from other countries (subject to federal approval) and bulk purchasing, including the National Medicaid Pooling Initiative. In particular, the obligation to provide notices of price increases to purchasers under laws such as California’s SB-17 may influence customer ordering patterns for our product candidates, following regulatory approval, which in turn may increase the volatility of our revenues as a reflection of changes in inventory volumes. In addition, some state legislatures have established Prescription Drug Affordability Boards (“PDABs”), which under certain circumstances may conduct affordability reviews and establish upper payment limits (“UPLSs”) for drugs purchased in the state. For example, on August 4, 2023, the Colorado PDAB commenced an affordability review of five prescription drugs, including three products that are indicated to treat plaque psoriasis (ENBREL®, COSENTYX®, STELARA®). Amgen subsequently brought suit challenging the legality of the Colorado PDAB’s efforts to set a UPL for ENBREL, but that suit was dismissed without prejudice in March 2025 for lack of standing, in part because the Colorado PDAB has not yet issued UPLs impacting Amgen’s products. Amgen brought a second suit challenging the legality of the Colorado PDAB’s efforts to set a UPL for ENBREL in October 2025. This suit is pending. We cannot predict the outcome of such state PDAB affordability reviews or payment limitations or their impact on our future products. We may continue to see additional state action related to prescription drug pricing.</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Packaging and Distribution in the United States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our product candidates are made available to authorized users of the Federal Supply Schedule of the General Services Administration once approved,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diversion or misuse of pharmaceutical products.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23, 2016, the electorate in the U.K. voted in favor of leaving the European Union (commonly referred to as Brexit). Thereafter, on March 29, 2017, the country formally notified the European Union of its intention to withdraw</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Article 50 of the Lisbon Treaty. The U.K. formally left the European Union on January 31, 2020. A transition period began on February 1, 2020, during which E.U. pharmaceutical law remained applicable in the U.K. However, this ended on December 31, 2020. On December 30, 2020, the U.K. and European Union signed the Trade and Cooperation Agreement, which includes an agreement on free trade between the two parties, although provides minimal provisions on medicinal products. Since that time, Great Britain operated a separate regulatory regime for medicinal products, although Northern Ireland continued to follow E.U. law. Further, on March 24, 2023, an agreement was reached by the U.K. and E.U. (the “Windsor Framework”), relating to post-Brexit trade issues in Northern Ireland, which has applied from January 1, 2025. The Windsor Framework seeks to simplify the supply of medicines between Great Britain and Northern Ireland and means the E.U. legislation does not apply in all cases in Northern Ireland. Since the regulatory framework in the U.K. covering the quality, safety and efficacy of pharmaceutical products, clinical trials, marketing authorizations, commercial sales, and distribution of pharmaceutical products is derived from E.U. Directives and Regulations, Brexit has begun to impact the regulatory regime which applies to products and the approval of product candidates in the U.K., as U.K. legislation may now diverge from E.U. legislation, which it has done in various areas, including medical device regulation and clinical trials. In addition, updates to E.U. legislation made after December 31, 2020 do not apply in the U.K. The MHRA has published detailed guidance for industry and organizations on the positions in the U.K., and continues to update them as the U.K.’s regulatory position on medicinal products and medical devices evolves. The legislation on medical devices is currently being amended on a rolling basis with additional changes expected in 2026, and a revised regulatory regime on clinical trials will come into effect in the U.K. on April 28, 2026.</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EEA, which is comprised of the Member States of the European Union plus Norway, Iceland and Liechtenstein, and in the U.K., our future products also may be subject to extensive regulatory requirements. As in the U.S., medicinal products can be marketed only if a marketing authorization from the relevant competent authority has been obtained.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Similar to the U.S., the various phases of preclinical and clinical research in the EEA and U.K. are subject to significant regulatory controls.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E.U. clinical trials legislation underwent a transition process due to the application of the new Clinical Trials Regulation (E.U.) No 536/2014 (the “Regulation”), which is mainly aimed at harmonizing and streamlining clinical trial authorization, simplifying adverse-event reporting procedures, improving the supervision of clinical trials and increasing their transparency. In April 2014, the E.U. adopted the Regulation, which started to apply on January 31, 2022 and replaced the previous Clinical Trials Directive 2001/20/EC (the “Directive”). Specifically, the new Regulation, which is directly applicable in all Member States without the need for E.U. Member States to transpose it into national law, aims at simplifying and streamlining the approval of clinical trials in the E.U. For instance, the new Regulation provides for a streamlined application procedure via a single entry point and strictly defined deadlines for the assessment of clinical trial applications. It also provides for increased transparency and proactive publication of clinical trial documents and results, subject to certain exceptions and derogations.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Brexit, this Regulation is not applicable in the U.K., and the national legislation put in place to implement the Directive, and amended to reflect the U.K.’s withdrawal from the E.U., continues to apply to trials conducted in the U.K. However, amendments to the 2004 Regulations, effected through the Medicines for Human Use (Clinical Trials) (Amendment) Regulations 2024, will come into force on April 28, 2026. These reforms are intended to streamline clinical trial approvals, enable innovation, enhance clinical trial transparency, enable greater risk proportionality, and promote patient and public involvement.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Marketing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Much like the federal Anti-Kickback Statue prohibition in the U.S., the provision of benefits or advantages to physicians and healthcare organizations to induce or encourage the prescription, recommendation, endorsement, purchase, supply, order, administration or use of medicinal products is also prohibited in the EEA and U.K. under E.U. Directive 2001/83/EC, which is the Directive governing medicinal products for human use, as implemented in the relevant Member State and implemented in the U.K. via the Human Medicines Regulations 2012, the national anti-bribery laws of the European Union Member States, and the Bribery Act 2010 and Economic Crime and Corporate Transparency Act 2023 in the U.K., as well as the industry Codes of Practice that are based on the European Federation of Pharmaceutical Industries and Associations (EFPIA) Code of Practice, including the Association of the British Pharmaceutical Industry (ABPI) Code of Practice for the Pharmaceutical Industry in the U.K, collectively prohibit the provision of benefits or advantages to induce or reward improper performance. Infringement of these laws could result in substantial fines and imprisonment. E.U. Directive 2001/83/EC further provides that, where medicinal products are being promoted to persons qualified to</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prescribe or supply them, no gifts, pecuniary advantages or benefits in kind may be supplied, offered or promised to such persons unless they are inexpensive and relevant to the practice of medicine or pharmacy. This provision has been transposed into the national laws of the E.U. Member States, as well as in the U.K. Human Medicines Regulations 2012 and so remains applicable in the U.K. despite its departure from the E.U. Promotion of prescription-only medicinal products to an audience other than healthcare professionals is prohibited in the EEA and the U.K. As of September 1, 2025, in the U.K., the Economic Crime and Corporate Transparency Act 2023 introduced a provision relating to failure to prevent fraud, whereby a company will be guilty of an offence if it fails to prevent fraud by an associate subject to the defence that reasonable prevention procedures were in place at the time the fraud was committed. This provision would capture acts of a healthcare professional providing a service for a company.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Depending on the applicable national rules in the E.U. Member States and the U.K., payments and other transfers of value made to physicians, physician associations, medical students, healthcare organizations, patient organizations and other stakeholders in the E.U. Member States, the U.K. and Member States of the EEA must be publicly disclosed. Moreover, agreements with physicians often must be the subject of prior notification and approval by the physician’s employer, his or her competent professional organization and the regulatory authorities of the individual country. These requirements are provided in the national laws, industry codes or professional codes of conduct, applicable in the relevant country. Failure to comply with these requirements could result in reputational risk, public reprimands, administrative penalties, fines or imprisonment.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Review and Approval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EEA, medicinal products can only be commercialized after obtaining a marketing authorization (“MA”). There are two main types of marketing authorizations for innovative medicinal products, which, however, are based on largely identical regulatory rules, requirements and timelines, including the requirements concerning the presentation and content of the application for marketing authorization.</w:t>
      </w:r>
    </w:p>
    <w:p>
      <w:pPr>
        <w:spacing w:after="0" w:line="176" w:lineRule="exact"/>
        <w:rPr>
          <w:sz w:val="20"/>
          <w:szCs w:val="20"/>
          <w:color w:val="auto"/>
        </w:rPr>
      </w:pPr>
    </w:p>
    <w:p>
      <w:pPr>
        <w:jc w:val="both"/>
        <w:ind w:left="980" w:hanging="324"/>
        <w:spacing w:after="0" w:line="254" w:lineRule="auto"/>
        <w:tabs>
          <w:tab w:leader="none" w:pos="9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MA is issued by the European Commission through the centralized procedure, based on the opinion of the Committee for Medicinal Products for Human Use (the “CHMP”), of the EMA, 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9" w:lineRule="auto"/>
        <w:tabs>
          <w:tab w:leader="none" w:pos="97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MAs, which are issued by the competent authorities of the Member States of the EEA and only cover their respective territory, are available for products not falling within the mandatory scope of the centralized procedure. If a product is to be authorized in more than one Member State, the assessment procedure is coordinated between the relevant E.U. Member States. Where a product has already been authorized for marketing in a Member State of the EEA, the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“RMS”). The competent authority of the RMS coordinates the preparation of a draft assessment report, a draft summary of the product characteristics (the “SmPC”), and a draft of the labeling and package leaflet, which are sent to the other Member States (referred to as the Concerned Member States) for their final approval. If the Concerned Member States raise no objections, based on a potential serious risk to public health, to the assessment, SmPC, labeling, or packaging circulated by the RMS, the coordinated procedures is closed, and the product is subsequently granted a national MA in all the Member States (i.e., in the RMS and the Concerned Member States).</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above-described procedures, during the assessment of the documents submitted in the marketing authorization application (“MAA”) and before granting the MA, the EMA or the competent authorities of the Member States of the EEA make an assessment of the risk-benefit balance of the product on the basis of scientific criteria</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concerning its quality, safety and efficacy. The centralised MAs are granted by the European Commission, where the national MAs are granted by the competent authorities of the Member States of the EEA.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Now that the U.K. has left the European Union, and following the changes introduced by the Windsor Framework, the countries of the U.K. are no longer covered by centralized MAs. On January 1, 2024, the International Recognition Procedure (“IRP”) was introduced, whereby the Medicines and Healthcare products Regulatory Agency (the “MHRA”), the U.K. medicines regulator, may rely on a decision taken by other international regulators, including the European Commission and the U.S. FDA, in order to more quickly grant a new MA valid in Great Britain or the U.K. A separate application will, however, still be required and the MHRA has the right to undertake its own assessment of the dossier. There are two such routes, allowing recognition in a 60-day or 110-day timelines. The IRP is in addition to the MHRA’s national procedures, including the shortened 150-day timetable.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and Market Exclusivity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EEA and U.K., innovative medicinal products, approved on the basis of a full dossier of preclinical and clinical data as part of the MAA, qualify for eight years of data protection upon notification of marketing authorization and an additional two years of market exclusivity. The data protection, if granted, prevents generic or biosimilar applicants from referencing the innovator’s preclinical and clinical trial data contained in the dossier of the reference innovative product when applying for a generic or biosimilar MA in the EEA/U.K., for a period of eight years from the date of notification of authorization of the reference product.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of market exclusivity can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protection, however, another company may market another version of the product if such company obtained a MA based on a marketing authorization application with a complete independent data package of pharmaceutical tests, preclinical tests and clinical trials (i.e., without cross-referencing to the data within the reference innovative product).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2026, the E.U. institutions agreed to the text of legislation constituting the reform of the E.U. regulatory framework for medicinal products. The new legislation, set to apply to new marketing authorization applications in late 2028 or early 2029, amends the exclusivity periods such that the new standard period of protection in the E.U. will be nine years, made up of eight years of data protection and one year of market exclusivity. The market exclusivity period can be extended by up to 3 years if certain conditions are fulfilled under the incoming legislation. The U.K. framework reflects the existing E.U. framework set out in the paragraph above, and the E.U. reforms will not apply in the U.K.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Orphan Designation and Exclusivity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EEA, the European Commission, based on the scientific assessment from the EMA’s Committee for Orphan Medicinal Products, grants orphan drug designation to promote the development of products that are intended for the diagnosis, prevention or treatment of life-threatening or chronically debilitating conditions and either (i) such condition affects not more than five in 10,000 persons in the EEA, or (ii) it is unlikely that the development of the medicine would generate sufficient return to justify the necessary investment in its development. In either case, the applicant must also demonstrate that no satisfactory method of diagnosis, prevention or treatment has been authorized (or, if a method exists, the product would be a significant benefit to those affected compared to the product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EEA, orphan drug designation entitles a party to benefits such as scientific advice (protocol assistance) and financial incentives such as reduction of fees or fee waivers. In addition, if the criteria for orphan designation are found to be maintained at the time of authorization of the product, ten years of market exclusivity is granted following grant of an orphan marketing authorization. During this market exclusivity period, neither the EMA nor the European Commission nor any of the competent authorities in the EEA Members States can accept an application or grant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This orphan exclusivity period may be reduced to six years if the orphan drug designation criteria are no longer met, including where it is shown that the product is sufficiently profitable not to justify maintenance of market exclusivity. Market exclusivity may also be broken, so a similar product may be authorized for the same indication, in very select cases, such as if (i) it is established that a similar medicinal product is safer, more effective</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otherwise clinically superior to the authorized product; (ii) the marketing authorization holder consents to the grant of marketing authorization for the similar product; or (iii) the marketing authorization holder cannot supply enough orphan medicinal product. Orphan drug designation must be requested before submitting an application for marketing approval. Orphan drug designation does not convey any advantage in, or shorten the duration of, the regulatory review and approval process and must be confirmed at the time of grant of the marketing authorization (i.e., reassessment of compliance with the orphan designation criteria).</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new legislation reforming the E.U. regulatory framework for medicinal products mentioned above will also significantly change the regulatory regime applicable to) the orphan exclusivities. The incoming legislation changes the concept of unmet medical need and considers introducing additional rewards for orphan medical products considered to be breakthrough orphan medicinal products (i.e., orphan medicinal products addressing a disease with no current available medicinal treatment and which bring a clinically relevant reduction in morbidity or mortality).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Brexit, a separate process for orphan drug designation applies in the U.K. There is no pre-marketing authorization orphan designation step required (as there is in the EEA), and the application for orphan designation will be reviewed by the MHRA at the time of the marketing authorization application. The criteria are the same as in the EEA, save that they apply to the U.K. only (e.g., there must be no satisfactory method of diagnosis, prevention or treatment of the condition concerned in the U.K.). Following the application of the Windsor Framework on January 1, 2025, marketing authorizations for orphan products cover the whole of the U.K.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Pediatric Investigation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EEA and U.K., MAAs for new medicinal products have to include the results of studies conducted in the pediatric population, in compliance with a pediatric investigation plan (a “PIP”), agreed with the EMA’s Pediatric Committee (a “PDCO”) or MHRA as relevant. The PIP sets out the timing and measures proposed to generate data to support a pediatric indication of the drug for which marketing authorization, a new indication, pharmaceutical form or route of administration is being sought. The PDCO/MHRA can grant a deferral of the obligation to implement some or all of the measures of the PIP until there are sufficient data to demonstrate the efficacy and safety of the product in adults. Further, the obligation to provide pediatric clinical trial data can be waived by the PDCO/MHRA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and the product is approved in all Member States, non-orphan products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noted above, the upcoming legislative reforms in the E.U., which are part of the new E.U. Pharmaceutical Strategy may, potentially result in a removal of the two-year extension of the orphan market exclusivity (to be replaced with six months’ supplementary protection certificate extension) and imposition of additional requirements for grant of rewards.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Regime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processing of personal data, including health data, in the EEA is governed by the General Data Protection Regulation (the “GDPR”), which became effective May 25, 2018. The GDPR applies to any company established in the EEA and to companies established outside the EEA that process personal data in connection with the offering of goods or services to data subjects in the European Union or EEA or the monitoring of the behavior of data subjects in the European Union or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a data protection officers, conclusion of data processing agreements, mandatory data breach notification and “privacy by design” requirements, and creates direct obligations on service providers acting as data processors. The GDPR also imposes strict rules on the transfer of personal data outside of the EEA to countries that do not ensure an adequate level of protection, like the U.S. In the past, one such data transfer mechanism was the E.U.-U.S. Privacy Shield, but the Privacy Shield was invalidated for international transfers of personal data in July 2020 by the Court of Justice of the European Union (“CJEU”). In July 2023, the U.S. and E.U. implemented the E.U.-U.S. Data Privacy Framework (“DPF”) replacing the invalidated Privacy Shield.</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can now use this new mechanism to transfer personal data from the E.U. to the U.S. and from Switzerland to the U.S. The U.K. Extension to the E.U.-U.S. Data Privacy Framework (“Data Bridge”) entered into force in October 2023, allowing certifying entities to transfer personal data from the U.K. to the U.S. It is unclear whether any legal challenges against the DPF, which may be similar to the challenge that led to the invalidation of the Privacy Shield, would be successful. It is also unclear if changes introduced in the U.S. by the Trump Administration will lead the European Commission to reconsider the DPF. Related questions were raised in the European Parliament in the beginning of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2020, the CJEU upheld the validity of standard contractual clauses (“SCCs”) as a legal mechanism to transfer personal data out of the EEA to jurisdictions that the European Commission has not found to provide an adequate level of protection and in July 2021, the European Commission adopted new SCCs. Even so, companies relying on SCCs must, subject to additional guidance from regulators in the EEA and the U.K., regularly evaluate and implement supplementary measures that provide privacy protections additional to those provided under SCCs.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use of the new SCCs may increase the legal risks and liabilities under EEA privacy, data protection and information security laws. Given that, at present, there are few, if any, viable alternatives to the SCCs and the DPF, any transfers by us or our vendors of personal information from the EEA to the U.S. may not comply with the EEA data protection laws, which may increase our exposure to the GDPR’s heightened sanctions for violations of its cross-border data transfer restrictions and may prohibit our transfer of EEA personal information outside of the EEA (including clinical trial data), and may adversely impact our operations and product development.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competent authorities and courts in a number of E.U. Member States continue to closely scrutinize and question the GDPR compliance of processing of personal data by U.S.-based entities or entities with links to U.S.-based entities, independently of whether personal data is actually transferred outside the EEA. 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While the GDPR and the U.K. GDPR remain substantially similar for the time being, the government of the U.K. has adopted reforms to its data privacy and cybersecurity legal framework in its Data Use and Access Act 2025, which became law on June 19, 2025 (phasing in between June 2025 and June 2026) and will introduce significant changes from the GDPR.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This initial U.K. adequacy decision was extended by the European Commission once in June 2025 for a period of six months and in December 2025 for a new period of six years, expiring on December 27, 2031 with the possibility to be further renewed. The European Commission will review the functioning of the adequacy decision after a period of four years and the adequacy decision may be modified or unilaterally revoked by the European Commission at any point, and if this occurs it could lead to additional costs and increase our overall risk exposure.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and operating restrictions.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of the U.S., we must dedicate additional resources to comply with numerous laws and regulations in each jurisdiction in which we plan to operate. The U.S.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Further, other anti-corruption laws, such as the U.K. Bribery Act, are broader and can regulate payments to non-governmental entities.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 candidates outside of the U.S., which could limit our growth potential and increase our development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Successful commercialization of new drug products depends in part on the extent to which reimbursement for those drug products will be available from government programs, such as Medicare and Medicaid,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covered or paid for by the federal or national government as well as commercial managed care organizations, pharmacy benefit managers and similar healthcare management organizations.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and efforts of third-party payors to contain or reduce health care costs may adversely affect our ability to establish or maintain appropriate prices for our product candidates following regulatory approval. Such efforts include the use of accumulator adjustment programs that do not consider amounts paid by pharmaceutical copay assistance programs as counting towards a patient’s deductible or other out-of-pocket costs. Under new rules promulgated by CMS that would have taken effect January 1, 2023, such accumulator adjustment (or similar) programs could affect the amount of rebates owed by manufacturers under the Medicaid Drug Rebate Program or affect our ability to offer various forms of patient support, including copay assistance. However, this regulation was struck down in Federal court in May 2022. Additionally, there was litigation challenging CMS’ co-pay accumulator policies for non-grandfathered health plans. On September 29, 2023, a federal district court vacated provisions of the 2021 Notice of Benefit and Payment Parameter (“NBPP”) final rule that provided health plans with discretion whether to include manufacturer assistance toward the annual cost-sharing limit. Further, on December 22, 2023, the district court clarified that the effect of the vacatur is to reinstate the 2020 NBPP final rule, which barred the use of accumulators for brand drugs without generics. Both parties initially appealed, and subsequently withdrew their appeals. In its 2025 NBPP final rule, CMS did not address its co-pay accumulator policy and has not issued other guidance explaining its interpretation of the court’s ruling, appearing to allow the 2020 policy to remain in effect. Although CMS</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declined in the 2026 NBPP proposed rule to propose changes to its existing policies regarding the impact of manufacturer support on enrollee cost-sharing limits, the agency announced an intention for future rulemaking on this topic, without committing to a timeline. At the same time, however, certain states have passed laws prohibiting third-party payors from utilizing accumulator programs.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Government authorities and third-party payors also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U.S. Other countries allow companies to fix their own prices for drug products, but monitor and control company profits. Accordingly, in markets outside the U.S., the acquisition costs and reimbursement for drug products may be lower than within the 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U.S., the decisions about reimbursement for new drug products under the Medicare program are made by CMS, an agency within HHS. CMS determines coverage standards for products reimbursed by Medicare, and private payors often adopt coverage standards established by CMS for the commercial marketplace. However, no uniform policy of coverage and reimbursement for drug products exists among third-party payors and coverage and reimbursement levels for drug products can differ significantly from payor to payor.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Third-party payors may limit coverage to specific products on an approved list or formulary, which might not include all of the FDA-approved products for a particular indication. Also, third-party payors may refuse to include a particular branded drug on their formularies or otherwise restrict patient access to a branded drug when a less costly generic equivalent or another alternative is available. Third-party payors are increasingly challenging the prices charged for medical products and services, examining the medical necessity and reviewing the cost-effectiveness of medical products and services and imposing controls to manage costs.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(the “Medicare Modernization Act”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(except for those selected for negotiation under the IRA as described above),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a manufacturer must enter into agreements with the Secretary of HHS to participate in the Medicaid Drug Rebate Program and the 340B drug discount program. Under the Medicaid Drug Rebate Program, manufacturers are obligated to pay rebates to the State Medicaid Programs on each unit of the manufacturer’s drugs that are reimbursed by State Medicaid Programs—both with regard to Medicaid Fee for Service and Medicaid Managed Care. Additionally, under the 340B drug discount program, manufacturers extend discounts to “covered entities” eligible to participate in the 340B program, including various hospital providers. The required 340B discount on a given product is calculated based on the average manufacturer price (“AMP”) and Medicaid rebate amounts reported and paid by the manufacturer under the Medicaid Drug Rebate Program. As of 2010, the ACA expanded the types of entities eligible to receive discounted 340B pricing, although under current law these newly eligible entities (with the exception of children’s hospitals) will not be eligible to receive discounted 340B pricing on drugs that receive an orphan designation by the FDA. As 340B drug pricing is determined based on AMP and Medicaid rebate data, revisions to the statute and regulations governing the Medicaid Drug Rebate Program may cause the required 340B discount to increase.</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Many parameters of the 340B program are subject to uncertainty. Several drug manufacturers have commenced litigation, which remains ongoing, challenging the legality of contract pharmacy arrangements, which may affect the way</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which manufacturers are required to extend the 340B Drug Discount Program prices to covered entities, including through contract pharmacies. Additionally, although HRSA historically has interpreted 340B discounts to apply only to “patients” who had their care initiated at a given 340B covered entity, a November 2023 district court ruling struck down this understanding as too narrow. Although the ruling applies only to the parties to the litigation, it introduces uncertainty as to the scope of the 340B program and may serve as a precedent for future litigation or legislation impacting the industry at large. Furthermore, in April 2026 AbbVie brought a lawsuit challenging HRSA’s patient definition for purposes of the 340B Program. It is unclear whether this lawsuit will be successful and if so how it will impact our business. In another ongoing case impacting the scope of the 340B program, in November 2023, various hospitals sued HRSA to challenge an agency policy requiring that “child sites” of a hospital must be included on that hospital’s most recent Medicare cost report to qualify for discounts under the program. In March 2026, the U.S. District Court for the District of Columbia struck down this policy. In 2024, several manufacturers announced an intention to adopt a “rebate model” that would offer covered entities 340B pricing through a rebate off a product’s list price rather than as an up-front discount. HRSA objected to the rebate model, including by threatening to terminate the manufacturers from the 340B program. Several manufacturers filed suit against HRSA, and in May 2025 the U.S. District Court for the District of Columbia granted the government’s motion for summary judgment with respect to all of the plaintiffs except for one, and granted in part the government’s motion for summary judgment with respect to the remaining plaintiff. The outcome of this litigation could impact the manner in which covered entities may access 340B pricing. In addition, HRSA is soliciting comments on a 340B rebate model that it may implement in the future. Finally, it also is possible that Congress could consider other legislation that amends or reforms the 340B Drug Discount Program.</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of the U.S., the pricing of pharmaceutical products and medical devices is subject to governmental control in many countries. For example, in the European Union and U.K.,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or the amount of profit made on those profits, and issue guidance to physicians to limit prescriptions. Efforts to control prices and utilization of pharmaceutical products and medical devices will likely continue as countries attempt to manage healthcare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and our subsidiaries had approximately 721 full-time employees, including 659 in the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human capital objectives include sourcing, recruiting, retaining, incentivizing and developing our existing and future employees. We believe we can achieve our human capital objectives by implementing the following approaches:</w:t>
      </w:r>
    </w:p>
    <w:p>
      <w:pPr>
        <w:spacing w:after="0" w:line="162"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high-caliber talent across all levels using both a dedicated in-house talent acquisition team and top-tier executive search firms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multidisciplinary talent from a broad range of industries, including biopharmaceuticals, financial services, technology and consulting</w:t>
      </w: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early career development through a number of important initiatives: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robust Rotational Analyst (“RA”) program, hiring recent college graduates from top private and public institutions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Life Science Cares’ Project Onramp to broaden access to early career opportunities in the life sciences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Girls Who Invest to help attract and support women investors</w:t>
      </w:r>
    </w:p>
    <w:p>
      <w:pPr>
        <w:spacing w:after="0" w:line="206"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highly competitive short- and long-term incentives through both Roivant and Vant share-based compensation programs and meaningful performance-based cash bonuses</w:t>
      </w:r>
    </w:p>
    <w:p>
      <w:pPr>
        <w:ind w:left="980" w:hanging="324"/>
        <w:spacing w:after="0" w:line="250"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rigorous benchmarking analyses in partnership with third parties to ensure competitive compensation practices and conduct annual pay equity analyses to detect, analyze and remediate any compensation disparities where appropriate</w:t>
      </w:r>
    </w:p>
    <w:p>
      <w:pPr>
        <w:ind w:left="980" w:right="20" w:hanging="324"/>
        <w:spacing w:after="0" w:line="250"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company-wide training and speaker programs on topics such as unconscious bias, building trust in relationships and professional development</w:t>
      </w: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external organizations to support biopharma-related initiatives in the community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professional development stipend to each employee for use towards individual growth and development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 unique career progression across Roivant and Vants through “Vant mobility” and offer unparalleled leadership opportunities for employees through the Vant model</w:t>
      </w:r>
    </w:p>
    <w:p>
      <w:pPr>
        <w:jc w:val="both"/>
        <w:ind w:left="980" w:hanging="324"/>
        <w:spacing w:after="0" w:line="255"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Cultivate community among our employee base through Employee Resource Groups (“ERGs”), including Women@Roivant (Roivant’s women’s employee resource group), ROI-GBIV (Roivant’s LGBTQ+ employee resource group), BIPOC (Roivant’s black, indigenous and people of color employee resource group) and Asian@Roivant (Roivant’s Asian American and Pacific Islander employee resource group)</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these specific recruitment and retention practices above, we believe the Vant model offers significant human capital advantages. Our nimble, entrepreneurial Vants operate similarly to independent biotechnology companies where each management team, comprised of world-class drug developers and clinical operators, is solely focused on their respective Vant’s mission. Our and our Vants’ equity incentive plans are designed to attract, retain and motivate selected employees, consultants and directors through the granting of share-based compensation awards to encourage focus, alignment of interests, and calculated risk-taking. As a public company, we expect to continue to hire additional personnel and to implement procedures and processes to address public company regulatory requirements and customary practices.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registered as an exempted limited company in Bermuda in 2014, under the name Valor Biotechnology Ltd. In November 2014, we changed our name to Roivant Sciences Ltd. Our principal executive offices are located at 7th Floor, 50 Broadway, London SW1H 0DB, United Kingdom. Our telephone number is +44 207 400 3347.</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 page address is https://roivant.com. Our investor relations website is located at https://investor.roivant.com/. We will make available free of charge on our investor relations website under “SEC Filings” our Annual Reports on Form 10-K, Quarterly Reports on Form 10-Q, Current Reports on Form 8-K, our directors’ and officers’ Section 16 Reports and any amendments to those reports after filing or furnishing such materials to the SEC. Additionally, the SEC maintains an internet site that contains reports, proxy and information statements and other information. The address of the SEC’s website is www.sec.gov. References to our website do not constitute incorporation by reference of the information contained on our website, and the information contained on our website is not part of this document nor any other document that we file with or furnish to the SEC.</w:t>
      </w:r>
    </w:p>
    <w:p>
      <w:pPr>
        <w:spacing w:after="0" w:line="18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described below, together with the other information contained in this Annual Report on Form 10-K, including the section entitled “Management’s Discussion and Analysis of Financial Condition and Results of Operations” and our audited consolidated financial statements and the related notes,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w:t>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such events were to happen, the trading shares of our common shares could decline, and you could lose all or part of your investment. Unless the context otherwise requires, references in this section to “we,” “us,” “our,” “Roivant” and the “Company” refer to Roivant Sciences Ltd. and its subsidiaries and affiliates. References to our “product candidates” include our current product candidates and any future products or product candidates. Approval from the U.S. Food and Drug Administration (“FDA”) or other applicable international regulatory authority is required before a product or product candidate may be marketed and sold in the relevant jurisdiction.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Strategy and Financial Position</w:t>
      </w:r>
    </w:p>
    <w:p>
      <w:pPr>
        <w:spacing w:after="0" w:line="22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relatively limited operating history and the inherent uncertainties and risks involved in biopharmaceutical product development and commercialization may make it difficult for us to execute on our business model and for you to assess our future prospects.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and healthcare technology company with a relatively limited operating history upon which you can evaluate our business and prospects. We were formed in April 2014, and our operations to date have primarily been limited to acquiring or in-licensing product candidates, pursuing the clinical development and commercialization of those product candidates, managing and operating our subsidiaries, which we refer to as “Vants,” financing activities, efforts to discover new product candidates, the creation or acquisition of healthcare technology companies and products and efforts to enforce and defend our intellectual property. We do not currently have any commercial stage products and we do not expect to generate product revenues from the commercial sale of our product candidates until we receive applicable regulatory approvals for one of our product candidates. Drug development and commercialization is a challenging and inherently uncertain undertaking that involves significant upfront investments and a substantial degree of risk. If we do not successfully address and manage these risks, our business and prospects will suffer.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execute on our business model, including to successfully develop and commercialize product candidates and eventually generate revenues from the sales of our product candidates following regulatory approvals depends on a number of factors, including our ability to:</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progress and complete our ongoing and future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consummate new acquisition or in-licensing opportunities, and then advance the acquired or in-licensed product candidates through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approvals for our current and future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commercial sales of our product candidates following regulatory approvals, whether alone or in collaboration with others, including establishing sales, marketing and distribution systems;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acceptable prices for our product candidates following regulatory approvals and obtain coverage and adequate reimbursement from third-party payors;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following regulatory approvals in the medical community and with third-party payors and consumers;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licenses or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 including intellectual property obtained through license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benefits of our strategic partnerships and other collaborations, including the Dermavant Transaction (as defined below);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experienced management teams and qualified personnel to support our ongoing clinical development efforts, including at existing and newly-formed Vants, and successfully prepare for the commercialization of our product candidates following regulatory approvals;</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maintain relationships with third-party suppliers and manufacturers and have commercial quantities of product candidates, following regulatory approvals, manufactured at acceptable cost and quality levels and in compliance with FDA and other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enforce and defend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funds when needed and on terms acceptable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grow our healthcare technology Vants and market the products and services offered by those Vants;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 candidates;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meet the requirements of being a public company, including requirements under the Sarbanes-Oxley Act of 2002 (“SOX”) and continue to protect our business operations and systems from cybersecurity threats.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and commercialization, we are unable to predict when and if our product candidates will achieve various milestones in their clinical development, including marketing approval from the FDA or other regulatory authorities, the timing or amount of increased expenses related to these activities or when we will be able to generate revenues from the sale of those product candidates following regulatory approvals or achieve or maintain profitability. Our expenses could increase beyond expectations if we are required by the FDA or other regulatory authorities to perform studies or clinical trials in addition to those that are currently anticipated or to otherwise provide data beyond that which we currently believe is necessary to support an application for marketing approval in the U.S. or another jurisdiction, or if there are any delays in any of our current or future clinical trials or the development of our product candidates. Our inability to successfully execute on these objectives would have a material adverse effect on our business, financial condition, results of operations and prospects.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acquire or in-license new product candidates, and newly acquired or in-licensed product candidates may not perform as expected in clinical trials or be successful in eventually achieving marketing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successfully identify new product candidates, generally through acquisitions or in-licensing transactions. Our acquisition and in-licensing efforts focus on identifying assets in development by third parties across a diverse range of therapeutic areas that, in our view, are underserved or undervalued. Once identified, we typically seek to in-license these assets from partners for low or no upfront payment, with future royalty or milestone payments to the licensor tied to the successful achievement of pre-specified development or commercialization benchmarks. From time to time, we also use joint venture structures for our Vants, where the licensor receives a minority equity ownership interest in the Vant formed to develop an in-licensed asset. Certain potential licensors may be unwilling or unable to pursue these types of transaction structures, which could have the effect of limiting the number of available in-licensing candidates or make us a less attractive partner for a given asset, relative to other potential acquirors.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the acquisition or in-licensing of a product candidate, our strategy often entails designing low-cost studies for a product candidate that result in a quick “go/no-go” decision on whether or how to proceed with future development for a given asset. In the event a product candidate fails to demonstrate a meaningful clinical effect or presents potential safety or tolerability issues in these early-stage studies, we may decide to discontinue development of the product candidate. In these cases, we generally will be unable to recoup any of the expenses associated with the acquisition or in-licensing of the product candidate or the costs associated with the studies. We may decide to proceed with the development of a product candidate on the basis of that study and later determine that the more costly and time intensive trials required for regulatory approvals do not support the initial value the product candidate was thought to hold or demonstrate the product profile required for a marketing approval. Even if a product candidate does prove to be valuable or successful in receiving marketing approval, its value may be less than we anticipated at the time of the investment, including after payments of applicable royalty and milestone payments to the licensor, and we may not be able to recover the investment we made in developing the product candidate.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face significant competition for investment opportunities. A number of companies compete with us for such opportunities. These companies may possess greater financial or technical resources than we do. If we are unable to</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identify a sufficient number of potential product candidates for acquisition or in-licensing, are unsuccessful in completing those acquisition or in-licensing transactions or if the product candidates that we are able to acquire or in-license do not prove to be as valuable as anticipated, we will not be able to successfully develop or receive marketing approval for those product candidates, and our business and results of operations may suffer materially as a result. Any such failure to in-license or acquire new product candidates from third parties, or the failure of those product candidates to succeed in clinical trials and eventually receive marketing approval, would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likely incur significant operating losses for the foreseeable future and may never achieve sustained profitability.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 product candidate will fail to gain regulatory approval or become commercially viable. We do not currently have any commercial stage products and we do not expect to generate product revenues from the commercial sale of our product candidates until we receive applicable regulatory approvals for one of our product candidates. As a result, we cannot estimate with precision the extent of any future profits or losses. Since inception, we have incurred significant losses and negative cash flows from operations. As of March 31, 2026, we had cash, cash equivalents and marketable securities of approximately $4.3 billion and our accumulated deficit was approximately $501.8 million.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never be able to successfully develop, achieve regulatory approvals for or commercialize our product candidates. Even if approved, our product candidates may not generate meaningful product revenues or enable us to achieve or maintain profitability. We expect to incur substantial operating losses for the foreseeable future, through the projected commercialization of our product candidates. Our ability to generate meaningful product revenues and achieve and sustain profitability depends on our ability to complete the development of our product candidates, obtain necessary regulatory approvals for our product candidates and manufacture and successfully market our product candidates alone or in collaboration with others. Revenues from the sale of any product candidate for which regulatory approval is obtained will depend, in part, upon the size of the markets in the territories for which we may gain regulatory approval, the accepted price for the product candidate, the ability to obtain reimbursement at any price, the strength and term of patent exclusivity for the product candidate and the overall competitive landscape. Even if we achieve profitability from product revenues in the future, we may not be able to sustain profitability in subsequent periods. Our failure to achieve and sustain profitability could depress the market value of our company and impair our ability to raise capital, expand our business and pipeline and market any product candidates following regulatory approval.</w:t>
      </w:r>
    </w:p>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Immunovant relies on the HanAll Agreement to provide the rights to the core intellectual property relating to IMVT-1402 and batoclimab. Any termination or loss of significant rights under the HanAll Agreement could adversely affect Immunovant’s development or commercialization of IMVT-1402.</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subsidiary Immunovant holds the intellectual property rights to IMVT-1402 and batoclimab under a license agreement with HanAll Biopharma Co., Ltd. (“HanAll”) (the “HanAll Agreement”). The HanAll Agreement imposes a variety of obligations on Immunovant, including those relating to exclusivity, territorial rights, development, commercialization, funding, payment, diligence, sublicensing, insurance, intellectual property protection and other matters. If Immunovant materially breaches any of its obligations under the HanAll Agreement and is unable to cure that breach within the time frame specified under the HanAll Agreement, Immunovant may be required to pay damages to HanAll and HanAll may have the right to terminate the HanAll Agreement, which would result in Immunovant being unable to develop or manufacture its product candidates. Immunovant has commenced discussions with HanAll regarding the potential return to HanAll of certain rights for batoclimab.</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license agreements are complex and certain provisions in the HanAll Agreement may be susceptible to multiple interpretations. The resolution of any dispute or disagreement involving contract interpretation that may arise in relation to the HanAll Agreement could affect the scope of Immunovant's rights to its product candidates or affect financial or other obligations under the HanAll Agreement or other agreements related to the development and commercialization of Immunovant's product candidates, either of which could harm our business, financial condition, results of operations and prospects.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Immunovant shared top-line results from the two batoclimab Phase 3 TED studies concurrently in April 2026. Neither study achieved its primary endpoint, leading Immunovant to make a decision to discontinue further development of batoclimab across all indications to focus fully on IMVT-1402. HanAll has a variety of interests in the licensed products under the HanAll Agreement and outside of Immunovant’s licensed territories and may, as a result of those interests,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disagree with, or initiate a dispute with respect to, Immunovant’s plans for batoclimab. While the HanAll Agreement gives Immunovant final decision-making authority over development and regulatory matters for licensed products in Immunovant's licensed territories, and Immunovant believes it has satisfied its obligations under the HanAll Agreement, including with respect to batoclimab, HanAll may disagree with Immunovant's interpretation of the agreement or Immunovant's actions thereunder, and Immunovant may be unable to reach an agreement with HanAll regarding the future of batoclimab. This could result in a dispute with HanAll involving arbitration or litigation. In the event that HanAll asserts a breach, we and Immunovant do not believe there would be any basis for such a claim, and would vigorously contest such a claim if made. Any potential dispute with HanAll could be very expensive and time-consuming, may divert management’s attention from core business functions and may result in unfavorable results that could materially impact Immunovant’s business. In addition, discontinuing further development of and regulatory submissions for batoclimab could impact and result in disputes with third parties, such as with respect to the contract manufacturing of batoclimab, which may be time consuming and expensive to resolve.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allocation of capital and personnel across our businesses.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we have finite financial and managerial resources, we must make challenging decisions regarding the allocation of capital and personnel across our businesses. We face certain risks associated with these decisions and may fail to capitalize on viable product candidates or profitable market opportunities as a result. For example, we may decide not to pursue a particular in-licensing or acquisition opportunity, or a potential target indication for a product candidate, that later proves to have greater commercial potential than our current and planned development programs and product candidates. Similarly, decisions to delay or terminate certain programs may subsequently also prove to be suboptimal and could cause us to miss valuable opportunities. In addition, our management’s attention to one product candidate or target indication may divert their attention from another opportunity or indication that ultimately might have proven more successful. If we do not accurately evaluate the commercial potential or target market for a particular product candidate or indication, or misinterpret trends in the biopharmaceutical industry more generally, we may relinquish valuable rights to a product candidate through collaboration, licensing or other royalty arrangements, or fail to pursue a target indication, which would have been more advantageous, and our business, financial condition, results of operations and growth prospects could be materially adversely affected. In addition, our spending on current and future research and development programs and other future product candidates may not yield any commercially viable future product candidates.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pursue additional in-licenses or acquisitions of product candidates or programs, which entail additional risk to us. Identifying, selecting and acquiring promising product candidates requires substantial technical, financial, legal and human resources expertise. Our efforts may not result in the actual acquisition or in-license of a successful product candidate, potentially resulting in a diversion of our management’s time and the expenditure of our resources with no resulting benefit. If we are unable to identify programs that ultimately result in approved products, we may spend material amounts of our capital and other resources evaluating, acquiring and developing product candidates that ultimately do not provide a return on our investment, which would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Vant 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 candidates are developed at our Vants, which operate similarly to independent biopharmaceutical companies with their own management teams and equity incentive structures. While we believe that there are significant competitive advantages to this structure, as compared to traditional pharmaceutical companies or smaller biopharma companies, the Vant structure also poses certain risks for our business.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Operating the Vants independently, rather than under a centralized, consolidated management team, may result in increased costs at Roivant and the Vants, as certain functions or processes, including sales and marketing, clinical and nonclinical personnel, business development, finance, accounting, human resources and legal functions, are replicated at Roivant and at multiple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 associated with hiring Vant CEOs and management teams, overseeing Vant equity incentive arrangements and managing compliance-related risks, including the internal controls, accounting systems and other policies and procedures necessary for us and certain of our Vants to operate as public companies. We may also be exposed to increased “key employee” risks in the event a Vant CEO were to depart, including the loss of other senior Vant personnel, potentially resulting in adverse impacts to development or commercialization work at the Vant. These increased expenses, complexities and other challenges may make using and scaling the Vant model more challenging and costly than it would be for a traditional</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pharmaceutical company to both operate and expand the number of product candidates under development, which could make us less competitive relative to our peers that operate in that manner or have a material adverse effect on our consolidated business, financial condition, results of operations or prospects. This decentralized model could also make compliance with applicable laws and regulations more challenging to monitor for us and our Vants and may expose us and our Vants to increased costs that could, in turn, harm our consolidated business, financial condition, results of operations or prospects.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single or limited number of the Vants may, now or in the future, comprise a large proportion of our value. Similarly, in the future, a large proportion of our consolidated revenues could be derived from one or a small number of Vants that have commercial stage products. Any adverse development at a key Vant, including the loss of key members of management, the termination of a key license agreement or other loss or impairment of the intellectual property underlying a product candidate or the failure of a clinical trial for a product candidate under development at the Vant, could have a material adverse effect on our consolidated business, financial condition, results of operations or prospects.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wholly own certain of our Vants, including our publicly traded subsidiary, Immunovant, and our private majority controlled subsidiary, Priovant, and may be limited in our ability to direct or control the business and the development of the product candidates or technologies at such Vants. In addition, for certain other Vants, including Immunovant, we may in the future come to hold less than a majority ownership interest in the Vant. By virtue of Immunovant being a publicly traded company, our operational control of Immunovant is also limited in certain respects and certain transactions between us and Immunovant may require the prior approval of a special committee of independent directors, which we do not control. This structure could result in delays in certain financing or other transactions at Immunovant, or prevent us from taking certain actions with respect to Immunovant that we think are in our best interests as a majority shareholder of Immunovant. Furthermore, even if we own a majority ownership interest in a Vant, we may not necessarily be able to control the outcome of certain corporate actions. In addition, we may face limitations on our ability to control or direct actions at privately owned Vants in which we have minority equity partners.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Vants also have equity incentive plans, which can result in the dilution of our ownership interest in the Vant as the awards issued under those plans vest and are exercised. The vesting and exercise of incentive equity awards at the Vants, as well as future capital needs at the Vants – which may be financed through senior debt or equity securities or common equity – may further dilute or subordinate our ownership and economic interests in the Vants or reduce our operational control of the Vants. In addition, recipients of Vant equity awards may have economic alignment with a Vant that incentivizes them to act in ways that prioritize the success of a Vant over the success of the Company as a whole, which could adversely impact our consolidated business, financial condition, results of operations or prospects. For more information on our ownership of our Vants, see “Management’s Discussion and Analysis of Financial Condition and Results of Operations—Overview.”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manage the Vants in part through our designees who serve on the Vant boards of directors. Additionally, certain officers or employees of Roivant may from time to time serve as officers or employees of the Vants. For example, Eric Venker currently serves as both an executive officer of Roivant and the chief executive officer of our subsidiary, Immunovant. Such service by Roivant officers or employees may take away time or focus from such individuals’ work at Roivant. Further, in their capacities as officers or directors of the Vants, those individuals may owe fiduciary duties to the Vants and their shareholders under applicable law, which may at times require them to take actions that are not directly in our interest as a shareholder. To the extent any such actions have an adverse effect on the value of our ownership interest in the Vant, it could further adversely impact our consolidated business, financial condition, results of operations or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potential future payments we may owe in connection with our product candidates.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acquisition or in-licensing transactions for our product candidates typically involve zero or low dollar-value upfront payments combined with milestone and royalty payments. These transactions generally involve a payment or payments upon the achievement of certain development or regulatory milestones, including regulatory approval, and then royalty payments upon the achievement of specified levels of commercial sales, which can extend for up to the life of a product. Some of these payments may become due before a product is generating sufficient funds to enable us to meet our milestone and royalty payment obligations related to these products. If this were to occur, and we are not otherwise able to fund or raise the capital necessary to fund these obligations, we would default on our payment obligations and could face</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penalties, delays in commercialization or development activities, the termination of a license agreement or reputational damage. Even for a product that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 and our ability to in-license future product candidates could be impaired.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tariffs and other governmental trade policies could negatively affect our business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Recent governmental actions and proposals relating to tariffs and other trade policies have created uncertainty about future trading arrangements and the possibility of jurisdictions imposing or increasing tariffs on certain goods. For example, certain governments (including the U.S. and other countries where we do business) have imposed or may impose tariffs on a wide range of products, raw materials and intermediate goods. The U.S. Supreme Court has invalidated some of the U.S. tariffs, but additional tariffs are anticipated to be imposed pursuant to the Trump Administration's ongoing U.S. trade investigation. Additional tariffs, or retaliatory measures by other countries in response, may be implemented at any time. Should these or similar tariffs remain in place (or be re-imposed or increased), or if additional tariffs or trade restrictions are enacted in the future, they could cause us or our future customers to face higher supply costs, delays or require us to switch suppliers. These actions could adversely affect our future margins, profitability, financial condition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tariffs, treaties, taxes and other limitations on cross-border operations. The U.S. government has made and continues to make significant additional changes in U.S. trade policies and tariffs and may take actions in the future that could negatively impact U.S. trade. For example, legislation has been enacted to limit U.S. biotechnology companies from using biotechnology equipment or services produced or provided by select Chinese biotechnology companies in the performance of federal contracts or grants,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import goods or use services from existing service providers or become unable to export or, if approved, sell our products, our business, liquidity, financial condition and results of operations would be materially and adversely affected.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pharmaceutical industry faces specific and evolving tariff-related risks. On April 2, 2026, the United States announced significant tariffs on certain pharmaceutical products, active pharmaceutical ingredients and key starting materials. These tariffs, which were imposed pursuant to a national security investigation under Section 232 of the Trade Expansion Act of 1962, will generally go into effect in September 2026. The tariffs, which range from 10% to 100% depending on type of product and country of origin, are also subject to a number of exemptions and exclusions. There is still significant uncertainty about implementation and application of the tariffs and the exemptions and exclusions as various elements of the tariff action remain to be determined in subsequent agency actions. These new U.S. tariffs may raise costs for drug products and inputs used in our clinical development programs or that our contract manufacturers and suppliers may procure in connection with manufacturing our product candidates.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cannot predict future changes in trade policy or the terms of any renegotiated trade agreements, nor can we determine the impact they may have on our business. Any such changes could have a material adverse effect on our business, financial condition and results of operations.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uncertain and rapidly changing global and regional economic, political and public health conditions could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by changes in global or regional economic, political and public health conditions. Various macroeconomic factors could adversely affect our business, financial condition and results of operations, including changes in inflation levels, interest rates, international trade policies and tariffs and overall economic conditions and the current and future conditions in the global financial markets, including global or regional economic instability. For example, if sustained high rates of inflation or other factors were to significantly increase our expenses, we may be unable to manage such increased expenses or pass those expenses on to our customers, in whole or in part, through price increases of product candidates following applicable regulatory approvals. During a severe or prolonged economic downturn, patients may prioritize other items over certain or all of their treatments and medications, which could have a</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 impact on our commercial sales. Any of the foregoing could harm our business and we cannot anticipate all of the ways in which economic climate and financial market conditions could adversely impact our business.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uncertainties resulting from increased political instability, international hostilities and geopolitical tensions (such as the current conflicts between Russia and Ukraine and hostilities involving Iran, including direct military actions and proxy conflicts across the Middle East), trade disputes between nations (including trade disputes with China), a global financial crisis, wars, terrorism and civil unrest could adversely affect our business. In particular, the foregoing factors have resulted in significant volatility in global financial markets. If such volatility persists or deepens, we may be unable to access additional capital on terms that are favorable, or at all, which could negatively affect our capacity for certain strategic transactions or our ability to make other important investments. In addition, high levels of inflation and interest rate fluctuations may increase our financing costs or restrict our access to potential sources of future liquidity. Additional funds may not be available when we need them on terms that are acceptable to us. If adequate funds are not available to us on a timely basis, we may be required to delay, limit, reduce or terminate one or more of our product development or commercialization efforts.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outbreaks of disease and other unexpected public health events may cause extreme volatility in the capital and credit markets and other disruptions to our business. Business disruptions could include, among others, disruptions to our clinical development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Adverse health conditions could result in a variety of risks to our business, including our ability to raise capital when needed on acceptable terms, if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acquisitions, divestitures and other strategic transactions.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engaged in acquisitions, divestitures and other strategic transactions, and we may in the future pursue similar opportunities. For example, in October 2024 we completed the sale of our entire equity interest in our majority-owned subsidiary Dermavant Sciences Ltd. to Organon &amp; Co. (the “Dermavant Transaction”), the consideration for which consisted of an upfront payment of $183.6 million and a milestone payment of $75 million upon FDA approval of VTAMA for the treatment of atopic dermatitis received in January 2025. In addition, at closing, all former Dermavant equity holders, including Roivant, received the right to receive their pro rata portion of (i) milestone payments of up to $950 million for the achievements of certain tiered net sales amounts with respect to VTAMA, each less than or equal to $1 billion and (ii) tiered royalties of (x) low-to-mid single digit percentages with respect to annual net sales of VTAMA up to $1 billion and (y) 30% with respect to annual net sales of VTAMA above $1 billion. There can be no assurance that we will receive any of the future milestone or royalty payments owed in connection with the Dermavant Transaction, or that the proceeds from the Dermavant Transaction will exceed the profits that we could have generated if we had continued to own and operate Dermavant as one of our Vants. For more information on the Dermavant Transaction, please refer to Note 6, “Discontinued Operations” to our consolidated financial statements included in this Annual Report on Form 10-K.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future strategic transactions will entail numerous risks, including:</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divestiture or other sale or partnering transactions: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expected benefits from the transaction, including receiving milestone and royalty payments owed in connection with the transaction;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counterparty to any such transaction, including their ability to successfully develop and commercialize a product candidate such that milestone and royalty payments are triggered or their ability to make milestone and royalty payments when such payments are due;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 or in-licensing transactions: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generally applicable to biopharmaceutical drug development, including that the acquired or in-licensed program does not generate the expected clinical outcomes, that the expected timelines for the clinical program are delayed or otherwise slower than expected, that safety or tolerability issues arise in the clinical trials or that other regulatory issues arise, including the inability to receive regulatory approvals on the expected timelines or at all;</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320"/>
        <w:spacing w:after="0" w:line="282" w:lineRule="auto"/>
        <w:tabs>
          <w:tab w:leader="none" w:pos="12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following applicable regulatory approvals to generate revenues from an acquired product candidate or program sufficient to meet our objectives or offset the associated transaction and maintenance costs;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or integration of the operations of an acquired entity or program, including difficulties associated with integrating any new personnel;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 the assumption of indebtedness or contingent liabilities or the issuance of our equity securities in connection with such a transaction, which would result in dilution to our shareholders;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existing programs and other operational matters;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other uncertainties, including our ability to maintain key business relationships at the acquired entity, that may arise in connection with a given transaction.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integration or separation of any business that we may acquire in the future may disrupt our existing business and may be a complex, risky and costly endeavor for which we may never realize the full benefits. For any alliances or joint ventures that we enter into in the biopharmaceutical industry, we may encounter numerous difficulties in discovering, developing, manufacturing and marketing any new products or product candidates related to such businesses, which may delay or prevent us from realizing the expected benefits or enhancing our business. Divestiture transactions such as the Dermavant Transaction may adversely impact the price of our common shares, to the extent investors believe the value of the consideration received in the transaction is not equivalent to the value of the asset or program divested. Accordingly, there can be no assurance that transactions of the nature described above will be undertaken or successfully completed, and that any transaction we do complete will not have a material adverse effect on our business, results of operations, financial condition and prospects.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not be able to find a suitable strategic transaction that we deem sufficiently attractive to pursue, and, even if such a transaction is identified, we may not be able to complete such a strategic transaction in the future. Our ability to complete a strategic transaction may be negatively impacted by general macroeconomic and market trends and conditions, including volatility in the capital markets, and the other risks described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use of our cash, cash equivalents and marketable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$4.3 billion. Our management team has broad discretion in respect of use of our cash, cash equivalents and marketable securities. We may use all or a portion of such proceeds for one or more strategic transactions, including acquisitions of companies, asset purchases or the in-licensing of product candidates.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our board of directors has authorized repurchases of our common shares in an aggregate amount of up to $1.0 billion (excluding fees and expenses) (in addition to the previously disclosed common share repurchase program allowing for repurchase of our common shares in an aggregate amount of up to $1.5 billion (excluding fees and expenses), which was fully exhausted as of June 30, 2025). For the twelve months ended March 31, 2026, across both repurchase authorizations, we repurchased approximately 24.0 million common shares for an aggregate repurchase price of approximately $314.9 million.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timing and total amount of share repurchases will depend on several factors, including the market price of our common shares, general business, macroeconomic and market conditions and other investment opportunities, as well as the discretion of our board of directors, or its delegees, that any such activity would be in the best interests of our shareholders and in compliance with all applicable laws and our contractual obligations. From time to time, we may be limited in our ability to repurchase our common shares by various governmental laws, rules and regulations which prevent us from purchasing our common shares during periods when we are in possession of material non-public information. We may also use our discretion to repurchase common shares from certain shareholders without offering the opportunity to all shareholders to have their common shares repurchased at that time and price.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cash available to return to shareholders, if any, may vary significantly from period to period for a number of reasons, including, among other things, our results of operations, financial condition, cash requirements, contractual restrictions, applicable law and other factors that our board of directors may deem relevant. The returns of</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to shareholders may change in form, amount, value and frequency from time to time, and we cannot guarantee that any such future returns of capital will take place. The trading price of our common shares may decline, possibly materially, if we are unable to meet investor expectations with respect to the timing and total amount of future capital returns to shareholders. There is no guarantee that our significant balance of cash, cash equivalents and marketable securities will be used to increase our operating results, return capital to shareholders or enhance the value of our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our significant holdings of cash, cash equivalents and marketable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significant holdings of cash, cash equivalents and marketable securities can be negatively affected by a variety of factors, including market and economic conditions and volatility, political risk, tariff and trade policy, currency risk, credit risk, sovereign risk, interest rate fluctuations or other market or macroeconomic factors. Our investments consist primarily of money market funds, U.S. government securities and other debt securities, including investment-grade corporate bonds. Any fixed-income securities we hold now or in the future are subject to external factors that may adversely affect their market value or liquidity, such as interest rate and market and issuer credits risks, including actual or anticipated changes in credit ratings. Additionally, we may have balances in bank accounts that are in excess of insured deposit limits and could be subject to risks of bank failures. As a result, the value and liquidity of our cash, cash equivalents and marketable securities may fluctuate substantially. Therefore, although we have not incurred any significant losses on our cash, cash equivalents and marketable securities, future fluctuations in their value could result in significant losses and could have a material adverse impact on our results of operations and financial condition.</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do not have a need for additional capital under our current operating plans as a result of our current liquidity position, we may face risks in the future relating to the need for additional capital to fund our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 including acquiring or in-licensing product candidates, running clinical trials and commercializing and marketing our product candidates following applicable regulatory approvals – is expensive and we require significant capital to fund our operations. While we do not have a near-term need for additional capital under our current operating plan as a result of our current liquidity position, we may in the future require additional capital to pursue these activities. We are also responsible for payments to third parties under our license and acquisition agreements, including milestone and royalty payments. Because of the inherent uncertainties in these activities – including the outcome of preclinical and clinical trials and the regulatory approval process – we cannot reasonably estimate the actual amounts necessary to successfully complete the development, regulatory approval process and commercialization of our product candidates. Our estimate as to how long we expect our existing cash, cash equivalents and marketable securities to be available to fund our operations is based on assumptions that may be proven inaccurate, and we could exhaust our available capital resources sooner than we currently expect.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to us in the future when needed, we may be required to forego potential in-licensing or acquisition opportunities, delay, limit or terminate one or more development or discovery programs or be unable to expand operations or otherwise capitalize on business opportunities, which could materially affect our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strategy and potential for future growth rely on a number of assumptions, some or all of which may not be realized.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strategy and plans for future growth rely on a number of assumptions, including, in the case of our product candidates, assumptions related to approval and adoption of a particular therapy, incidence and prevalence of an indication, use of a product candidate versus competitor therapies and size of the addressable patient populations. Some or all of these assumptions may be incorrect due to errors or mistaken assumptions in our analysis or the inherent uncertainties in the drug development process, among other reasons. We cannot accurately predict whether, following regulatory approvals, our product candidates will achieve significant market acceptance in line with these assumptions or whether there will be a market for our product candidates that reaches the anticipated size. If any of these assumptions are incorrect or overstated, our results and future prospects will be materially and adversely affected.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or uncertain funding levels for the FDA, USPTO, SEC or other government agencies, including from government shut downs or significant changes in leadership personnel or policies, could hinder, delay or result in the suspension of those agencies’ operations, which could harm our business.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pharmaceutical products can be affected by a variety of factors, including budgets and funding levels, its ability to hire and retain key personnel and accept</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user fees and statutory, regulatory and policy changes. Review times at the FDA have fluctuated in recent years as a result of changes in these factors. In addition, government funding of the SEC, USPTO and other government agencies on which our operations may rely or be dependent is subject to the political process, which is inherently fluid and unpredictable.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government agencies, including significant changes in leadership, personnel or policies, may slow the time required for new drugs to be reviewed and approved, which could adversely affect our business. For example, over the last several years, including as recently as February 2026, the U.S. government has shut down several times and certain regulatory agencies, including the FDA, have had to furlough employees and suspend certain activities. The Trump administration’s freeze on hiring and new return-to-office policy may disrupt normal operations of federal agencies, including the FDA. If another funding or other disruption occurs, it could significantly impact the ability of the FDA or other regulatory authorities to timely review and process our regulatory submissions, or to provide feedback on our clinical development plans, which could have a material adverse effect on our business.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regulatory approval process for our product candidates. Further, future government shutdowns or other disruptions to normal operations could impact our ability to access the public markets and obtain the funding necessary to properly capitalize and continue our operations.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or certain of our Vants’ manufacturing, laboratory research or clinical trial activities takes place in Asia. A significant disruption in that region, such as a trade war or political unrest, could materially adversely affect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certain of our Vants engage in contract manufacturing, conduct clinical trials and perform laboratory research activities outside the U.S., including in Asia. Any disruption in production or inability of contracted manufacturers in Asia to produce adequate quantities to meet our or the Vants’ needs could impair our or the Vants’ ability to operate on a day-to-day basis and to continue development of certain product candidates. In particular, trade tensions and conflict between the United States and China remain high, and could result in changes to the laws, rules, regulations and policies of the governments of the United States or China that impact the ability of U.S. biotechnology companies to partner with entities in China. For example, starting in February 2025 the U.S. imposed additional tariffs on Chinese imports, and China has responded with tariffs on U.S. products. In addition, U.S. legislation has been enacted to limit U.S. biotechnology companies from using biotechnology equipment or services produced or provided by select Chinese biotechnology companies in the performance of federal contracts or grants. We or certain of our Vants also conduct certain laboratory research and expect to have clinical trial sites in Asia. We are exposed to the possibility of product supply disruption, clinical trial delays and increased costs in the event of changes in governmental policies, political unrest or unstable economic conditions in Asia. Any disruption of these activities could materially and adversely affect our business and results of operations.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targeting biotechnology companies with ties to certain foreign adversaries, including the BIOSECURE Act, could materially adversely affect our business, supply chain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and certain of our Vants rely on third-party contract manufacturing organizations (“CMOs”) to manufacture drug substance and drug product for our product candidates. The BIOSECURE Act, enacted in December 2025 as Section 851 of the FY2026 National Defense Authorization Act, prohibits U.S. government agencies from procuring or obtaining biotechnology equipment or services from designated “biotechnology companies of concern,” and restricts agencies from entering into, extending, or renewing contracts with entities that use such covered equipment or services (the “BIOSECURE Act”). The statute relies on two designation mechanisms: (1) automatic designation through the Department of Defense’s Section 1260H list of “Chinese military companies”; and (2) a criteria-based pathway administered through an interagency process led by the Office of Management and Budget, which is required to publish a list of biotechnology companies of concern within one year.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prohibitions under the BIOSECURE Act take effect following revisions to the Federal Acquisition Regulation, with the timing depending on the basis for a company’s designation as a “biotechnology company of concern.” Although the statute includes a five-year rule of construction that protects legacy agreements from being invalidated by the new restrictions, a safe harbor for items no longer produced or provided by a biotechnology company of concern and limited case-by-case waivers in the national security interest, there can be no assurance that we will be able to fully avail ourselves of such provisions or that they will adequately mitigate the impact of the statute’s prohibitions on our operations.</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such an event, we or our Vants may be required to transition manufacturing activities then performed by CMOs receiving the designation to alternative CMOs, which could be costly, time-consuming and disruptive to our supply chain and clinical development programs.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BIOSECURE Act, the introduction or passage of other federal or state legislation, executive orders or regulatory actions further restricting U.S. biotechnology companies’ use of certain foreign-based CMOs could impose additional constraints on our Vants' manufacturing operations and supply chain. There can be no assurance that our Vants would be able to identify and qualify alternative manufacturers on commercially reasonable terms or in a timeframe sufficient to avoid material disruption to their businesses,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Development of Our Product Candidates</w:t>
      </w:r>
    </w:p>
    <w:p>
      <w:pPr>
        <w:spacing w:after="0" w:line="22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accepted for review or ultimately approved by the relevant regulatory authorities.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provide any assurance that any clinical trials will be conducted as planned or completed on schedule, if at all. Clinical trials and preclinical studies are very expensive, time-consuming and difficult to design and implement, in part because they are subject to rigorous regulatory requirements. The clinical trial process is also time-consuming and costly and is dependent upon collaboration with many contract research organizations (“CROs”) and clinical trial sites.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the European Commission, the Medicines and Healthcare products Regulatory Agency (“MHRA”) or other relevant regulatory authority may also find that the benefits of any product candidate in any applicable indication do not outweigh its risks in a manner sufficient to grant regulatory approval.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also not agree with the scope of our proposed investigational plan. For example, they may find that our proposed development program is not sufficient to support a marketing authorization application, or that the proposed indication is considered to be too broad. Moreover, the FDA or other regulatory authorities may also refuse or impose certain restrictions on our reliance on data supporting our clinical trial application or 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in the U.S. or another jurisdiction.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current or future development</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programs. There can also be no assurance that the results of studies conducted by collaborators or other third parties with similar product candidates in similar indications will be viewed favorably or indicative of our own future trial results.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commencement and completion of clinical trials and other studies may be delayed by several factors, including:</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generate sufficient data to support the initiation or continuation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patients and enrolling them in clinical trials and other studies, including as a result of competing trials run by other pharmaceutical companies;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add, or delays in activating, a sufficient number of clinical trial sites;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reach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our CROs or other third parties to adhere to clinical trial agreements;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manufacture or release sufficient quantities of our product candidates or failure to obtain sufficient quantities of active comparator medications for our clinical trials, if applicable, that in each case meet our quality standards, for use in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clinical investigators or study participants to follow our clinical and other applicable protocols or applicable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subjects experiencing severe or unexpected adverse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clinical benefit or effectiveness being demonstrated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in trials of the same class of agents conducted by other sponsors;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discontinuation of study participants from clinical trials or missing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monitor patients adequately during or after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unblinding of trial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that render continued development of a product candidate no longer reasonable or commercially attractive;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impact from changes in or modifications to protocols or clinical trial design, including those that may be required by the FDA or other regulatory authorities;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regulatory authorization to commence a clinical trial or reach consensus with regulatory authorities regarding the design or implementation of our studies;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dosing issues, including those raised by the FDA or other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of the FDA or other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IRB or EC refusing to approve, suspending, or terminating the trial at an investigational site, precluding enrollment of additional subjects, or withdrawing their approval of the trial; or</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the FDA or other regulatory authorities may suspend our clinical trials in an entire country at any time, or an IRB/EC may suspend our clinical trial sites within any country, if it appears that we or our collaborators, or the principal investigator,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Such authorities may suspend or terminate a clinical trial due to a number of factors, including failure to conduct the clinical trial in accordance with regulatory requirements or our clinical protocols, inspection of the clinical trial operations or trial site by the FDA, the competent authorities of the E.U. Member States and the U.K. or other regulatory authorities resulting in the imposition of a clinical hold, unforeseen safety issues or adverse side effects, failure to demonstrate a clinical benefit from using a product candidate, changes in governmental regulations or administrative actions, developments on trials conducted by us or our competitors for related technology that raises regulatory concerns about risk to patients of the technology broadly, or lack of adequate funding to continue the clinical trial. Therefore, we cannot predict with any certainty the schedule for commencement and completion of future clinical trials.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authorities, as the case may be, and may ultimately lead to the denial of marketing approval of any of our product candidates.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for our product candidates that are in clinical development, prior to our acquisition of the rights to those product candidates we had no involvement with or control over the preclinical or clinical development of those product candidates. We are therefore dependent on our licensing and other transaction partners having conducted such research and development in accordance with the applicable protocols and legal, regulatory and scientific standards, having used appropriately regulated and compliant equipment and devices during the preclinical or clinical development, having accurately reported the results of all clinical trials and other research they conducted prior to our acquisition of the rights to those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 candidates. Problems associated with the pre-acquisition development of our product candidates could result in increased costs and delays in the commercialization or development of our product candidates, which could harm our ability to generate any future revenue from sales of our product candidates following regulatory approval.</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preclinical studies and clinical trials may not support our proposed claims for our product candidates or regulatory approvals on a timely basis or at all, and the results of earlier studies and trials may not be predictive of future trial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Success in preclinical studies and early clinical trials does not ensure that later clinical trials will be successful, and we cannot be sure that the results of later clinical trials will replicate the results of prior preclinical studies and earlier clinical trials. For example, we cannot assure you that the reductions in IgG antibodies and favorable analyte profile observed in our Phase 1 trial of IMVT-1402 will be observed in future clinical trials, including pivotal trials necessary for regulatory approvals, or that such reductions in IgG antibodies will correlate with clinical benefits sufficient to demonstrate that the efficacy endpoints of the study are met. Likewise, promising interim results or other preliminary analyses do not ensure that the clinical trial as a whole will be successful and may lack statistical significance, which would further limit the reliability of such interim or preliminary data. A number of companies in the pharmaceutical industry, including biotechnology companies, have suffered significant setbacks in, or the discontinuation of, clinical trials, even after promising results were seen with their product candidates in earlier preclinical studies or clinical trials. These setbacks have been caused by, among other things, preclinical findings made while clinical trials were underway and safety or efficacy observations made in clinical trials, including previously unobserved adverse events.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Product candidates in later stage clinical trials may fail to show the desired safety and efficacy traits despite having progressed through preclinical and initial clinical trials. A future failure of a clinical trial to meet its pre-specified endpoints may cause us to abandon development of the product candidate in question. For example, Immunovant’s Phase 3 trials evaluating batoclimab in TED failed to meet the primary endpoint, resulting in the decision to discontinue development of batoclimab. Any delay in, or termination of, our clinical trials will prevent or delay the submission of an NDA or other similar applications to the FDA or other relevant comparable non-U.S. regulatory authorities and, ultimately, our ability to commercialize our product candidates following regulatory approval, and generate product revenues. Even if our clinical trials are completed as planned, we cannot be certain that their results will support our claims for differentiation or the effectiveness or safety of our product candidates. The FDA and other regulatory authorities, including the European Commission, the EMA and the MHRA, have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preliminary or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clinical trials, which are based on a preliminary analysis of then-available data. These results and related findings and conclusions are subject to change following a full analysis of all data related to the particular trial.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make assumptions, estimations, calculations and conclusions as part of our analyses of data, and we may not have received or had the opportunity to fully and carefully evaluate all data. As a result, the interim,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interim, preliminary and topline data should be viewed with caution until the final data are available. Interim data are subject to the risk that one or more of the clinical outcomes may materially change as patient enrollment continues and more patient data become available. Adverse differences between interim, preliminary or topline data and final data could significantly harm our business prospects. Further, disclosure of preliminary or interim data by us or by our competitors could result in increased volatility in the price of our shares.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other parties, including our collaborators or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and our business in general. 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activities or otherwise regarding a particular product, product candidate or our business. If the interim, preliminary or topline data that we report differ from later, final or actual results, or if others, including our collaborators or regulatory authorities, disagree with the conclusions reached, our ability to obtain approval for and commercialize our product candidates and our business, operating results, prospects or financial condition may be harmed.</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and retaining patients in clinical trials and clinical development activities could thereby be delayed or otherwise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and retention in our clinical trials for a variety of reasons, including:</w:t>
      </w:r>
    </w:p>
    <w:p>
      <w:pPr>
        <w:spacing w:after="0" w:line="17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characteristics of the patient population;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 including biomarker-driven identification and certain highly-specific criteria related to stage of disease progression, which may limit the patient populations eligible for our clinical trials to a greater extent than competing clinical trials for the same indication that do not have biomarker-driven patient eligibility criteria;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including the size of the study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 sites, including the proximity of patients to trial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and clinicians’ and participants’ perceptions of the relative advantages, risks and side effects of our product candidates compared to other available therapies, including any new drugs or treatments;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monitor trial participants adequately during and after treatment;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other safety signals in our trials or related to other product candidates, and any resulting negative publicity which could discourage potential participants and their physicians from participating in our trials;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such trials, for any reason, including the risk of higher drop-out rates if participants become infected with a virus or other infectious disease that impacts their participation in our trials.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inability to enroll and retain a sufficient number of patients for our clinical trials would result in significant delays or may require us to abandon one or more clinical trials altogether. Enrollment delays and retention challenges in our clinical trials may result in increased development costs for our product candidates, delay our ability to obtain clinical data, and jeopardize our ability to obtain marketing approval for the sale of our product candidates. For certain of our product candidates, including brepocitinib and IMVT-1402, which target various autoimmune indications, there are limited patient 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any negative results or new safety signals we may report in clinical trials of our product candidates may make it difficult or impossible to recruit and retain patients in other clinical trials we are conducting or to resume enrolling patients once a paused clinical trial has been resumed. Similarly, negative results reported by our competitors about their drug candidates may negatively affect patient recruitment in our clinical trials. Also, marketing authorization of</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competitors in this same class of drugs may impair our ability to enroll patients into our clinical trials, delaying or potentially preventing us from completing recruitment of one or more of our trials.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impracticable. In addition, we expect to rely on CROs and clinical trial sites to ensure proper and timely conduct of our future clinical trials, and, while we intend to enter into agreements governing their services, we will be limited in our ability to compel their actual performance. Any such delays in our current or future clinical trials could have a material adverse impact on our operations and financial condition and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our product candidates proceed through the development process,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 candidates to perform differently and affect the results of planned clinical trials or other future clinical trials conducted with the altered materials. Such changes may also require additional testing, FDA notification or FDA approval, or another regulatory authority’s notification or approval, as applicable, since similar requirements apply in other jurisdictions. This could delay the completion, or result in the abandonment, of clinical trials, require the conduct of bridging clinical trials, the repetition of one or more clinical trials, increase clinical trial costs, delay approval of our product candidates and jeopardize our ability to commence sales and generate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and Commercialization of Our Product Candidates</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approval of a new drug is an extensive, lengthy, expensive and inherently uncertain process, and the FDA or another regulatory authority may delay, limit or deny approval. We cannot give any assurance that any of our product candidates will receive regulatory approval, which is necessary before they can be commercialized. If we are unable to obtain regulatory approval in one or more jurisdictions for any of our product candidates, our business will be substantially harmed.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for commercial sale. Following the completion of the Dermavant Transaction in October 2024, we no longer have any approved products in the U.S. or any other jurisdiction and there can be no assurance that we will be successful in obtaining regulatory approval in the U.S. and other jurisdictions for any of our product candidates. In addition, we cannot be certain that any product candidates that receive regulatory approval will be successfully commercialized.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 involved. In addition, approval policies, regulations or the type and amount of clinical data necessary to gain approval may change during the course of a product candidate’s clinical development and may vary between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to the leadership at the FDA and other federal agencies under the Trump administration, as well as executive orders and other executive actions, such as a freeze on hiring, the implementation of new regulations and certain external communications, may impact our clinical development and timelines. In particular, ongoing efforts by the Trump Administration to reduce the size of the FDA and other branches of the Department of Health and Human Services (“HHS”), including through completed and potentially future reductions in staff, may further increase the unpredictability in approval timelines for our product candidates. The termination of FDA employees in 2025 has been preceded and accompanied by the resignation of senior leaders within the FDA, resulting in the loss of institutional knowledge and experience. Terminations and resignations at the FDA have continued and there has been notable turnover and instability in key leadership positions. Although the full impact of these events remains unclear, we expect there will be an adverse effect on the FDA’s ability to efficiently carry out its functions, including conducting inspections and timely reviewing drug and biologic product applications, and a potential impact on how it interprets and enforces its authorities. Actions taken by the Trump Administration could create regulatory uncertainty for biopharmaceutical companies. Additionally,</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remains as to how the FDA’s agency-wide implementation of ELSA, a generative artificial intelligence tool, including for review of drug product applications, as well as its deployment of agentic artificial intelligence capabilities, will impact the outcomes and timeliness of FDA reviews and other activities. In addition, the future of the currently applicable Prescription Drug User Fee Act construct to ensure timely FDA review of applications may be impacted due to expressed concerns about the effect on industry-FDA relations, and staffing shortages.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Contributing to this uncertainty,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gave deference to regulatory agencies’ statutory interpretations in litigation against federal government agencies, including the FDA, where the law is ambiguous. This landmark decision may invite more companies and other stakeholders to bring lawsuits against the FDA to challenge longstanding decisions and policies, including the FDA’s statutory interpretations of market exclusivities and the “substantial evidence” requirements for drug approvals, which could undermine the FDA’s authority, lead to greater uncertainty about the regulatory process in the pharmaceutical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Further,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Obtaining marketing approval of a new drug is an extensive, lengthy, expensive and inherently uncertain process and the FDA or other regulatory authorities may delay, limit or deny approval of a product candidate for many reasons, including:</w:t>
      </w:r>
    </w:p>
    <w:p>
      <w:pPr>
        <w:spacing w:after="0" w:line="162" w:lineRule="exact"/>
        <w:rPr>
          <w:sz w:val="20"/>
          <w:szCs w:val="20"/>
          <w:color w:val="auto"/>
        </w:rPr>
      </w:pPr>
    </w:p>
    <w:p>
      <w:pPr>
        <w:jc w:val="both"/>
        <w:ind w:left="66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pre-approval studies or clinical trials, which would increase costs and prolong development timelines;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or clinical significance required by the FDA or other relevant regulatory authorities for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an interpretation of data or significance of results from nonclinical, preclinical studies or clinical trials or may require additional studies;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accept data generated at clinical trial sites, including in situations where the authorities deem that the data was not generated in compliance with GCP, ethical standards or applicable data protection 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NDA, BLA or a similar application is referred for review by an advisory committee, the FDA or other relevant regulatory authority, as the case may be, may have difficulties scheduling an advisory committee meeting</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 timely manner or the advisory committee may recommend against approval of our application or may recommend that the FDA or other relevant regulatory authorities, as the case may be, require, as a condition of approval, additional nonclinical, preclinical studies or clinical trials, limitations on approved labeling or distribution and use restrictions;</w:t>
      </w:r>
    </w:p>
    <w:p>
      <w:pPr>
        <w:spacing w:after="0" w:line="176" w:lineRule="exact"/>
        <w:rPr>
          <w:sz w:val="20"/>
          <w:szCs w:val="20"/>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development of a risk evaluation and mitigation strategy (“REMS”) drug safety program or its equivalent, as a condition of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post-marketing studies and patient registries for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find the chemistry, manufacturing and controls data insufficient to support the quality of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identify deficiencies in the manufacturing processes or facilities of third-party manufacturers;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change their approval policies or adopt new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 candidates have patent protection and may allow our competitors to bring products to market before we do, which could impair our ability to successfully commercialize product candidates and may harm our business and results of operations.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development process. The results of preclinical studies of our product candidates may not be predictive of the results of early-stage or later-stage clinical trials, and results of early-stage clinical trials of our product candidates may not be predictive of the results of later-stage clinical trials. The results of clinical trials in one set of patients or disease indications may not be predictive of those obtained in another set of patients or disease indications.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Open-label extension studies may also extend the timing and increase the cost of clinical development substantially. Product candidates in later stages of clinical trials may fail to show the desired safety and efficacy profile despite having progressed through preclinical studies and earlier stage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when regulatory approval is secured for a product candidate, the terms of such approval may limit the scope and use of the specific product candidate, which may also limit its commercial potential.</w:t>
      </w:r>
    </w:p>
    <w:p>
      <w:pPr>
        <w:spacing w:after="0" w:line="1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delay or prevent their regulatory approval, limit the scope of any approved label or market acceptance following regulatory approval or result in significant negative consequences.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Adverse events caused by or associated with our product candidates have caused us and could, in the future, cause us, our collaborators, other reviewing entities, clinical trial sites or regulatory authorities to interrupt, delay or halt clinical trials and could result in the denial of regulatory approval. Treatment-related side effects arising from, or those perceived to arise from, our product candidates or those from other companies targeting similar diseases, could also affect patient recruitment or the ability of enrolled patients to complete their participation in our clinical trials or result in potential product liability claims. We cannot predict whether our product candidates will cause toxicities in humans that would preclude or delay successful completion of clinical trials. Additionally, these side effects may not be appropriately recognized or managed by the treating medical staff. If an unacceptable frequency or severity of adverse events or new safety signals are reported in our clinical trials for our product candidates or any future product candidates, our ability to obtain regulatory approval for such product candidates may be negatively impacted.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one or more of our product candidates receives marketing approval, and we or others, including our collaborators, later identify undesirable side effects or adverse events caused by such products, a number of potentially significant negative consequences could result, including but not limited to:</w:t>
      </w:r>
    </w:p>
    <w:p>
      <w:pPr>
        <w:spacing w:after="0" w:line="162" w:lineRule="exact"/>
        <w:rPr>
          <w:sz w:val="20"/>
          <w:szCs w:val="20"/>
          <w:color w:val="auto"/>
        </w:rPr>
      </w:pPr>
    </w:p>
    <w:p>
      <w:pPr>
        <w:ind w:left="660" w:right="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revoke, suspend, vary or limit their approval of the product candidate or require a REMS (or equivalent outside the U.S.) to impose restrictions on its distribution or other risk management measures;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or require that we recall a product candidate;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being imposed on the distribution, marketing or manufacturing processes of our product candidates or any components thereof, including “black box” warning or contraindications on product labels or communications containing warnings, field alerts or other safety information about the product candidate to physicians, pharmacies or the public;</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 require other labeling changes of a product candidate or require field alerts or other communications to physicians, pharmacies or the public;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distributed, conduct additional clinical trials, change the labeling of a product candidate or conduct additional post-marketing studies or surveillance;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repeat preclinical studies or clinical trials or terminate programs for a product candidate, even if other studies or trials related to the program are ongoing or have been successfully completed;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and held liable for harm caused to patients, or may be subject to 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stop prescribing a product candidate;</w:t>
      </w:r>
    </w:p>
    <w:p>
      <w:pPr>
        <w:spacing w:after="0" w:line="225" w:lineRule="exact"/>
        <w:rPr>
          <w:rFonts w:ascii="Times New Roman" w:cs="Times New Roman" w:eastAsia="Times New Roman" w:hAnsi="Times New Roman"/>
          <w:sz w:val="18"/>
          <w:szCs w:val="18"/>
          <w:color w:val="auto"/>
        </w:rPr>
      </w:pPr>
    </w:p>
    <w:p>
      <w:pPr>
        <w:ind w:left="660" w:right="6220" w:hanging="328"/>
        <w:spacing w:after="0" w:line="970"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may not be available for a product candidate;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discontinue the sale of a product candidate;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become less competitive;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substantially increase the costs of commercializing any product candidates in the future following regulatory approval, and could significantly harm our business, financial condition, results of operations and growth prospects. We cannot predict whether our product candidates will cause toxicities in humans that would preclude or lead to the revocation of regulatory approval based on nonclinical studies or clinical trials.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non-U.S. regulatory authorities are lengthy, time consuming and inherently unpredictable, and gaining approval for a product candidate in one country or jurisdiction does not guarantee that we will make efforts to, or be able to, obtain approval for or commercialize it in any other jurisdiction, which would limit our ability to realize our full market potential.</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any jurisdiction, we or our collaborators must demonstrate with substantial evidence from well-controlled clinical trials, and to the satisfaction of the FDA or comparable non-U.S. regulatory authorities, that such product candidate is safe and effective and, as applicable, pure and potent for its intended use. Results from nonclinical studies and clinical trials can be 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Approval of a product candidate by the FDA does not ensure approval by regulatory authorities in any other country or jurisdiction outside the U.S. In addition,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many jurisdictions outside the U.S., a product candidate must be approved for reimbursement before it can be sold in that jurisdiction. In some cases, the price that we intend to charge for our product candidates is also subject to approval. The regulatory approval process outside of the U.S. may include all of the risks associated with obtaining FDA approval. We do not have any product candidates approved for sale in any jurisdiction, including international markets, and we do not have significant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any product we develop will be unrealized.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regulatory approvals, our products will remain subject to extensive regulatory scrutiny.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regulatory requirements, including for manufacturing processes, post-approval clinical data, labeling, packaging, distribution, continuous supply, adverse event reporting, storage, recordkeeping, traceability, conduct of potential post-marketing studies and post-marketing submission requirements, export, import, advertising and promotional activities for such product, among other things, will be subject to extensive and ongoing requirements of and review by the FDA and other regulatory authorities.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healthcare professionals are free to use and prescribe drug products for off-label uses, the FDA and other foreign competent authorities strictly regulate manufacturers’ promotion of drug products. In particular, a product may not be promoted for uses that are not approved by the FDA as reflected in the FDA-approved labeling. A company that is found to have improperly promoted off-label uses may be subject to large civil and criminal fines, penalties and enforcement actions. The same rules on off-label promotion apply in the E.U. and the U.K. Further, in the U.S., we expect</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direct-to-consumer (“DTC”) advertisements will be subject to increased scrutiny and enforcement by the FDA based on its aggressive enforcement posture with respect to DTC prescription drug advertisements. The FDA has also increased its scrutiny of the data used to substantiate prescription drug and biologic advertising and promotional claims more generally, which may also lead to additional industry enforcement. In the E.U. and the U.K., the promotion of prescription-only medicinal products to any audience, other than licensed healthcare professionals, is prohibited. If we cannot successfully manage the promotion of our approved product candidates, we could become subject to significant liability, which could materially adversely affect our business and financial condition.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or contain requirements for potentially costly post-marketing testing. We will be required to report certain adverse reactions and production problems, if any, to the FDA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In certain indications, regulatory approval may limit the market of a product candidate to target patient populations when patient selection biomarkers are used. In these indications, regulatory authorities may require us to run additional clinical trials prior to expanding the label for approval that includes a broader patient population.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non-biologic products or the safety, purity and potency of our biologic products, in general or in specific patient subsets. Regulators may increasingly rely on post-approval studies or real-world evidence to determine whether to maintain, modify or expand approved indications or population eligibility, which could increase costs, delay commercialization or limit the scope of approved use of our products. The Food and Drug Omnibus Reform Act reformed the accelerated approval pathway, such that the FDA is now required to specify conditions for post-approval study requirements and set forth procedures for the FDA to withdraw a product on an expedited basis for non-compliance with post-approval requirements. An unsuccessful post-marketing study or failure to complete such a study could result in the withdrawal of marketing approval.</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issue warning letters, impose penalties, suspend regulatory approvals or require a product recall. Any of these actions by a regulatory agency could require us to expend significant time and resources, generate negative publicity and adversely affect the value of our company.</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develop product candidates for the treatment of conditions for which there is little clinical experience and, in some cases, use new endpoints or methodologies, and the FDA or other regulatory authorities may not consider the endpoints of these clinical trials to provide clinically meaningful results.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may not be any pharmacologic therapies approved to treat certain conditions that we attempt to address, and there may be few clinical trials attempted and no approved treatments for these conditions. As a result, the design and conduct of clinical trials of product candidates for the treatment of these conditions may take longer, be more costly or be more complicated to design due to the novelty of development in these conditions; and even if the FDA or other regulatory authorities do find our success criteria to be sufficiently validated and clinically meaningful, we may not achieve the pre-specified endpoint to a degree of statistical significance in our pivotal or other clinical trials. Further, even if we achieve the pre-specified criteria, our clinical trials may produce unpredictable or inconsistent results compared to the more traditional efficacy endpoints in the trial. As a result, achieving regulatory approval for such product candidates could be more uncertain, more costly and more time-consuming, which could adversely affect our business.</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or continuously improve our quality management program could have an adverse effect upon our business, subject us to regulatory actions and cause patients to lose confidence in us or our product candidates, among other negative consequences.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Quality management plays an essential role in the manufacturing of drugs or drug products, conducting clinical trials, preventing defects, improving our product candidates and services and assuring the safety and efficacy of our product candidates. We seek to maintain a robust quality management program which includes the following broad pillars of quality:</w:t>
      </w:r>
    </w:p>
    <w:p>
      <w:pPr>
        <w:spacing w:after="0" w:line="176" w:lineRule="exact"/>
        <w:rPr>
          <w:sz w:val="20"/>
          <w:szCs w:val="20"/>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assuring regulatory compliance for clinical trials, manufacturing and testing of good applicable practice (“GxP”) (e.g., GCP, Good Laboratory Practices (“GLP”) and Good Manufacturing Practices (“GMP”) regulated)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providing oversight of all GxP suppliers (e.g., contract development manufacturing organizations and CROs);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an integrated, robust quality management system for clinical, manufacturing, supply chain and distribution operations;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a proactive, preventative quality culture and employee and supplier training to ensure quality.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maintain and continuously improve our quality management program. A quality or safety issue may result in adverse inspection reports, warning letters, monetary sanctions, injunctions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product candidates, which may result in difficulty in successfully launching product candidates following regulatory approval and the loss of potential future sales, which could have an adverse effect on our business, financial condition and results of operations.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or Orphan Drug Designation by the FDA or similar status granted by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sought, or may in the future seek, Breakthrough Therapy Designation, Fast Track Designation or Orphan Drug Designation for certain of our product candidates. For example, Priovant announced that brepocitinib received Breakthrough Therapy Designation from the FDA for the treatment of CS in May 2026 and Fast Track Designation from the FDA for the treatment of NIU in September 2024. Immunovant plans to seek orphan drug designation from the FDA for IMVT-1402 where there is a medically plausible basis for IMVT-1402’s use. Immunovant may also seek orphan drug designation for IMVT-1402 for the treatment of other indications in the E.U. We may seek similar designations for other of our product candidates in the future where there is a basis for doing so. However, the FDA has broad discretion as to whether or not to grant such designations, so even if we believe a particular product candidate qualifies for such a designation, we cannot assure you that the FDA would decide to grant it. Further, even if our product candidates receive such a designation, the FDA may later decide that such product candidate no longer qualifies and we may not necessarily experience a faster development process, review or approval compared to conventional FDA procedures.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has been heightened scrutiny of the accelerated approval pathway, with some stakeholders advocating for reform. The HHS Office of Inspector General has completed an assessment of how the FDA implements the accelerated approval pathway. In addition, Section 3210 of the Consolidated Appropriations Act, 2023, revised the accelerated approval pathway. Although this legislation did not change the standard for accelerated approval, it, among other things, requires the FDA to specify the conditions for required post-marketing trials, permits the FDA to require such trials to be underway prior to, or within a specific period after, approval, requires sponsors to provide reports on post-marketing trial progress no later than 180 days after approval and every 180 days thereafter until such trials are completed, makes the failure to conduct required post-marketing trials with due diligence and the failure to submit the required reports prohibited acts, and details procedures the FDA must follow to withdraw an accelerated approval on an expedited basis. We understand that FDA approval letters to products granted accelerated approval subsequent to passage of this legislation are including language that informs the sponsor that they are required to submit status reports of the progress of each</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requirement no later than 180 days post-approval and every 180 days thereafter and that the FDA is otherwise exercising its new authorities. The FDA has also been issuing guidance documents regarding the accelerated approval pathway. At this time, it is not clear what impact, if any, these developments may have on our business, financial condition results of operations or prospects.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also recently announced the Commissioner’s National Priority Voucher (“CNPV”) and pilot program, designed to accelerate the development and review of certain drugs and biological products that are aligned with U.S. national health priorities and to enhance the health interests of Americans. Specific priorities include addressing a U.S. public health crisis, addressing a large unmet need and increasing affordability, among others. Companies selected for the program will be issued a voucher entitling the company to benefits including enhanced communications and rolling review to allow for a shortened review time. On October 16, 2025, the FDA announced the initial nine CNPV recipients under the program and has announced additional recipients since then.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also recently introduced the Rare Disease Evidence Principles (“RDEP”) to help provide greater speed and predictability in the review of therapies intended to treat rare diseases driven by a known, in-born genetic defect with very small populations or subpopulations (generally fewer than 1,000 patients in the United States) facing progressive deterioration in function leading to rapid or significant disability or death in a relatively short period of time and for whom there are no adequate alternative therapies that alter the course of the disease. Sponsors of eligible investigational therapies intended to address the genetic defect that is the major driver of the pathophysiology for such rare disease may apply to the RDEP process prior to the launch of a pivotal trial. Approval under the process may be based on one adequate and well-controlled study together with robust confirmatory evidence and may result in additional post-marketing requirements to further ensure safety and effectiveness. The RDEP process is separate from and independent of requests for orphan drug designation discussed below and does not bear on the FDA’s determination of whether a drug may be eligible for orphan drug designation. The FDA also released a plausible mechanism concept as part of its efforts to streamline and facilitate the development of rare disease and bespoke therapies for which a randomized trial is not feasible as further described in draft guidance issued in February 2026.</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the U.K. and the European Economic Area (the “EEA”), may designate drugs and biologics for relatively small patient populations as orphan drugs that can benefit from orphan drug market exclusivities when approved if certain conditions are met.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 Further, in response to Catalyst Pharms., Inc. v. Becerra, a 2021 decision from the U.S. Court of Appeals for the Eleventh Circuit, the FDA clarified in a January 2023 notice that the FDA intends to continue to apply its 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This interpretation was subsequently codified in statute by the Consolidated Appropriations Act, 2026.</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2026, the E.U. institutions agreed the text of legislation constituting the reform of the E.U. regulatory framework for medicinal products (which will not apply in the U.K.). The new legislation is set to apply in full in late 2028 or late 2029. As set out above, it will significantly change the regulatory regime applicable to both the “normal” data and market exclusivity and the orphan exclusivities and reduce/modulate the exclusivities and rewards that could be granted to medicinal products. In addition, the legislation changes the concept of unmet medical need and considers introducing additional rewards for orphan medicinal products considered to be “breakthrough orphan medicinal products” (i.e., orphan medicinal products addressing a disease with no current available medicinal treatment and which bring a clinically relevant reduction in morbidity or mortality).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Brexit, a separate process for orphan drug designation applies to the U.K. There is no pre-marketing authorization orphan designation step required (as there is in the EEA), and the application for orphan designation will be reviewed by the MHRA at the time of the marketing authorization application. The criteria are the same as in the EEA,</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save that they apply to the U.K. only (e.g., there must be no satisfactory method of diagnosis, prevention or treatment of the condition concerned in the U.K.). Following the application of the Windsor Framework on January 1, 2025, authorization of orphan products by the MHRA covers the whole of the U.K.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obtain orphan drug exclusivity for a product, that exclusivity may not effectively protect the product from competition because different drugs can be approved for the same condition. Even after an orphan drug is approved, the FDA, EMA or MHRA can subsequently approve the same drug for a different condition or the same condition if the FDA, EMA or the MHRA concludes that the later drug is clinically superior in that it is shown to be safer, more effective or makes a major contribution to patient care. In the EEA and U.K.,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Moreover, our orphan exclusivity and “normal” data and market exclusivities will be modulated and likely shortened if we submit an application for marketing authorization for an orphan medicinal product after the start of full application of the new E.U. pharmaceutical legislation in late 2028 or early 2029, as discussed above.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also possible that current or future litigation or action by Congress could change the scope of available orphan exclusivity. Any changes to the orphan drug provisions could change our opportunities for, or likelihood of success in obtaining, orphan drug exclusivity and could materially adversely affect our business, financial condition, results of operations, cash flows and prospects.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Receipt of marketing approval for our product candidates does not guarantee that they will achieve market acceptance by physicians, patients, third-party payors or others in the medical community necessary for commercial success.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commercial success of our product candidates, once regulatory approval has been received, will depend upon their degree of market acceptance by physicians, patients, third-party payors and others in the medical community. Receipt of marketing approval for our product candidates does not guarantee that they will gain sufficient market acceptance by physicians, patients, healthcare payors and others in the medical community. The degree of market acceptance for our product candidates will depend on a number of factors, including:</w:t>
      </w:r>
    </w:p>
    <w:p>
      <w:pPr>
        <w:spacing w:after="0" w:line="180"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these products for sale at competitive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financial assistance programs, such as commercial insurance co-pay assistance;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or comparable non-U.S. regulatory agencies;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comparable non-U.S. regulatory authorities, including any limitations, contraindications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candidate is dispensed or distributed;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and health authority communications concerning our product candidates or competing products and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cost and sufficient third-party insurance coverage or reimbursement, and patients’ willingness to pay out-of-pocket in the absence of third-party coverage or adequate reimbursement; and</w:t>
      </w:r>
    </w:p>
    <w:p>
      <w:pPr>
        <w:spacing w:after="0" w:line="161" w:lineRule="exact"/>
        <w:rPr>
          <w:rFonts w:ascii="Times New Roman" w:cs="Times New Roman" w:eastAsia="Times New Roman" w:hAnsi="Times New Roman"/>
          <w:sz w:val="18"/>
          <w:szCs w:val="18"/>
          <w:color w:val="auto"/>
        </w:rPr>
      </w:pPr>
    </w:p>
    <w:p>
      <w:pPr>
        <w:ind w:left="660" w:right="5160" w:hanging="328"/>
        <w:spacing w:after="0" w:line="970"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the prevalence and severity of any side effects or adverse events.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clinical trials, market acceptance will be unknown until after it is launched. Our efforts to educate the medical community and third-party payors on the benefits of our products may require significant resources and may never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approved, our product candidates regulated as biologics may face competition from biosimilars approved through an abbreviated regulatory pathway.</w:t>
      </w:r>
    </w:p>
    <w:p>
      <w:pPr>
        <w:spacing w:after="0" w:line="2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(the “BPCIA”), which created an abbreviated approval pathway under section 351(k) of the PHSA for biological products that are biosimilar to or interchangeable with 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Its provisions do have the potential to facilitate the development and future approval of biosimilar versions of our product candidates, introducing biosimilar competition that could have a material adverse impact on our business, financial condition and results of operations. The FDA under the Trump Administration has taken actions to help facilitate biosimilar development and approval. For example, the FDA issued guidances eliminating the need for data from comparative clinical efficiency studies to demonstrate biosimilarity in many circumstances as well as streamlining clinical pharmacokinetic testing when scientifically justified, each of which may accelerate biosimilar market entry. Further, the FDA has proposed amending the PHSA to no longer include a separate statutory standard for interchangeability and deem all approved biosimilars to be interchangeable, facilitating pharmacy substitution. It remains to be seen whether such a legislative amendment will be enacted.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approval of a biological product qualifies for reference product exclusivity turns on whether the FDA considers the approval a “first licensure.” Not every licensure of a biological product is considered a “first licensure” that gives rise to its own exclusivity period. Our product candidates approved as a biological product under a BLA may qualify for the 12-year period of exclusivity. However, there is a risk that this exclusivity could be shortened due to congressional action or otherwise. The extent to which a biosimilar, once licensed, will be substituted for any one of our reference products in a way that is similar to traditional generic substitution for non-biological products is variable, and will depend on a number of marketplace and regulatory factors. If competitors are able to obtain marketing approval for biosimilars referencing our product candidates, our products may become subject to competition from such biosimilars, with the attendant competitive pressure and consequences.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commercialization efforts will be dependent on sales, marketing and distribution capabilities, including agreements with third parties to sell, market and distribute our product candidates.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effectively market our product candidates following regulatory approval, we must successfully employ our sales, distribution, marketing and related capabilities or make arrangements with third parties to perform these services. Our Vants with product candidates in late-stage clinical development, including Immunovant, Priovant and Pulomvant, are currently building out focused sales, marketing and distribution infrastructure, and would expect to expand such functions, or make arrangements with third parties to perform these services, as they approach commercialization of their product candidates following regulatory approval. These Vants will also need patient support services organizations to ensure patients have appropriate access to their products, once approved.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significant expenses and risks involved with establishing sales, marketing and distribution capabilities, including the ability to hire, retain and appropriately incentivize qualified individuals, develop an appropriate and effective compliance function, provide adequate training to sales and marketing personnel and effectively manage geographically dispersed sales and marketing teams to generate sufficient demand. Any failure or delay in the development in our sales,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and distribution capabilities could delay a product launch, which would adversely impact its commercialization. If the commercial launch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The costs associated with a sales, marketing and distribution infrastructure may exceed the net revenues we are able to generate from the sale of a product candidate following regulatory approval.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 product candidate, if approved, on our own include:</w:t>
      </w:r>
    </w:p>
    <w:p>
      <w:pPr>
        <w:spacing w:after="0" w:line="225" w:lineRule="exact"/>
        <w:rPr>
          <w:sz w:val="20"/>
          <w:szCs w:val="20"/>
          <w:color w:val="auto"/>
        </w:rPr>
      </w:pPr>
    </w:p>
    <w:p>
      <w:pPr>
        <w:ind w:left="660" w:right="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marketing, reimbursement, customer service, medical affairs and other support personnel;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appropriately inform and educate healthcare providers regarding the potential benefits and proper administration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products at a sufficient price point to ensure an adequate and attractive level of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the Vants are unable to build an internal sales force or negotiate a collaborative relationship for the commercialization of a product candidate following regulatory approval, it could result in a delay to, or reduce the effectiveness of, our commercialization efforts. This could adversely impact the product revenues generated from a product candidate following regulatory approval.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decide to fund commercialization activities ourselves, we may need to obtain additional capital, which may not be available to us on acceptable terms, or at all. If we do not have sufficient funds, we will not be able to bring a product candidate to market or generate product revenues. We could enter into arrangements with collaborative partners at an earlier stage than otherwise would be ideal and we may be required to relinquish certain rights to a product candidate or otherwise agree to terms unfavorable to us, any of which may have an adverse effect on our business, operating results and prospects.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revenues, including net revenues, may be lower than if we were to market and sell a product candidate through an internal sales force.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or may expose us to legal and regulatory risk by not adhering to regulatory requirements and restrictions governing the sale and promotion of prescription drug products, including those restricting off-label promotion.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do not establish commercialization capabilities successfully, either on our own or in collaboration with third parties, we will not be successful in commercializing our product candidates following regulatory approvals, which could have an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 candidates following regulatory approval, which could make it difficult for us to profitably sell our product candidates.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acceptance and sales of our product candidates following regulatory approval will depend in part on the extent to which coverage and adequate reimbursement for these product candidates will be available from third-party</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payors, including government health administration authorities and private health insurers. The pricing and reimbursement of our product candidates following regulatory approval must be adequate to support the costs associated with commercialization efforts. If we are unable to obtain adequate levels of reimbursement, our ability to successfully market and sell our product candidates following regulatory approval will be adversely affected. The manner and level at which reimbursement is provided for services related to our product candidates (e.g., for administration of our products to patients) is also important. Inadequate reimbursement for such services may lead to physician resistance and adversely affect our ability to market or sell our product candidates following regulatory approval. There is no assurance that our product candidates, if approved, will achieve adequate coverage and reimbursement levels.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U.S., no uniform policy of coverage and reimbursement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 following regulatory approval will be made on a plan-by-plan basis. For example, one payor’s determination to provide coverage for a product does not assure that other payors will also provide coverage and adequate reimbursement for the same product candidate, and payors may periodically review and change their coverage and reimbursement rates. Additionally, a third-party payor’s decision to provide coverage does not imply that an adequate reimbursement rate will be approved. Each plan determines whether or not it will provide coverage, what amount it will pay the manufacturer,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candidates following regulatory approval unless coverage is provided and reimbursement is adequate to cover a significant portion of the cost of the product candidate. Further, from time to time, typically on an annual basis, payment rates are updated and revised by third-party payors. Such updates could impact the demand for our product candidates to the extent that patients who are prescribed our product candidates following regulatory approval are not separately reimbursed for the cost of the product candidate.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drug may be separate from the process for setting the price or for establishing the reimbursement rate that such a payor will pay. Even if we obtain adequate levels of reimbursement, third-party payors, such as government or private healthcare insurers, carefully review and increasingly question the coverage of, and challenge the prices charged for, products. Reimbursement rates may vary according to the use of the drug and the clinical setting in which it is used, may be based on reimbursement levels already set for lower cost drugs and may be incorporated into existing payments for other services. A primary trend in the U.S. healthcare industry and elsewhere is cost containment.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 particularly our therapeutic products or those that are individualized for a particular patient.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be required to conduct expensive pharmacoeconomic studies to justify the coverage and the amount of reimbursement for particular drugs. Target patient populations for some of our product candidates may be small. The pricing and reimbursement of our product candidates, if approved, must be adequate to support commercial infrastructure. We cannot be sure that coverage and reimbursement will be available for any product that we commercialize and, if reimbursement is available, what the level of reimbursement will be. Inadequate coverage and reimbursement may impact the demand for, or the price of, any product candidate following regulatory approval. If coverage and adequate reimbursement are not available, or are available only to limited levels, we may not be able to successfully commercialize any product candidate for which we are able to obtain regulatory approval. The manner, level and specific type of reimbursement provided for services related to patients is also important. Inadequate reimbursement for such services may discourage physicians from prescribing or recommending our product candidates, if approved, adversely affecting our ability to market or sell those products.</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Products approved for rare or orphan indications, such as brepocitinib if approved for dermatomyositis, may be subject to heightened public, media and legislative scrutiny with respect to their pricing. Because orphan drugs are often priced at a premium to reflect the relatively small patient populations, high unmet medical need and significant costs of development and commercialization, they have attracted particular attention from Congress, government agencies, patient advocacy groups and the press. Government authorities and third-party payors are increasingly attempting to limit or regulate drug prices and reimbursement for orphan drugs specifically. These dynamics may give rise to heightened attention and potential negative reactions to our pricing decisions for any product candidate that we commercialize, including brepocitinib, even where we believe such pricing reflects the clinical value of the therapy and the investment required to develop it. Such attention could pressure us to reduce prices, offer discounts beyond those required by law, limit our ability to negotiate adequate reimbursement rates with payors or otherwise adversely affect our ability to generate sufficient revenue to sustain commercialization of our product candidates.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there have been a number of legislative and regulatory proposals to change the healthcare system in the U.S. and in some other jurisdictions that could affect our ability to profitably sell any product candidate following regulatory approval. These legislative and regulatory changes may negatively impact the reimbursement for any product candidate following regulatory approval. For example, a budget resolution passed in the U.S. House of Representatives in February 2025 to reduce the federal deficit by at least $880 billion over 10 years and the majority of these cuts are expected to impact Medicaid and Children’s Health Insurance Program (“CHIP”) if enacted into law. These cuts could involve reducing the scope of coverage under Medicaid and CHIP, including as it relates to prescription drug benefits. There can be no assurance that our product candidates will be considered medically reasonable and necessary, that they will be considered cost-effective by third-party payors, that coverage or an adequate level of reimbursement will be available or that reimbursement policies and practices in the U.S. and in other countries where our product candidates are approved and sold will not harm our ability to profitably sell our product candidates following regulatory approval. Separately, President Trump signed into law the One Big Beautiful Bill Act on July 4, 2025, which is expected to impact Medicaid and other government entitlement programs. In addition, other changes and proposals enacted by and under consideration by state and local governments to Medicaid and other government assistance and entitlement programs also may impact our business.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set the price for any product we develop will vary significantly by country. Our inability to obtain and maintain adequate prices in a particular country may limit the revenues from our products, if approved, within that country and adversely affect our ability to secure acceptable prices in existing and potential new markets, which may limit market growth. This may create the opportunity for third-party cross-border trade or influence our decision whether to sell a product, thus adversely affecting our geographic expansion plans and revenues. In the E.U., similar political, economic and regulatory developments may affect our ability to profitably commercialize our product candidates following regulatory approval. In addition to continuing pressure on prices and cost containment measures, legislative developments in the E.U. or the E.U. Member States may harm our ability to profitably sell our product candidates following regulatory approval.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and generally a similar approach is taken in the U.K. where a key consideration is the affordability of drugs for treatment of patients under the National Health Service. The National Health Service expenditure on branded health service medicines is subject to a cap on permitted growth, enforced through rebate payments. However, following agreement with the US government, the U.K. government has significantly reduced the repayment rate owed by companies in 2026 under the Voluntary Scheme for Branded Medicines Pricing, Access and Growth with the intention of improving the commercial environment in the U.K. The U.K. government will update the parallel statutory scheme, which applies to companies that are not members of the voluntary scheme, to ensure broad commercial equivalence with the Voluntary Scheme. In markets outside of the U.S., E.U. and U.K., reimbursement and healthcare payment systems vary significantly by country, and many countries have instituted price ceilings on specific products and therapies. All of this could affect our ability to successfully commercialize our product candidates following regulatory approval.</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measures aimed at reducing healthcare costs may have a material adverse effect on our business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 and many other jurisdictions have enacted or proposed legislative and regulatory changes affecting the healthcare system that could restrict or regulate post-approval activities for our product candidates, affect our ability to profitably sell our product candidates following regulatory approval and prevent or delay marketing approval of our</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candidates.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Moreover, as discussed above, the removal of the Richardson Waiver may impact our ability to meaningfully engage in any rulemaking for which HHS does not engage in the notice-and-comment process.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the Trump Administration is pursuing various drug pricing, trade and tariff, social and other policy objectives from prior administrations, which introduces further uncertainty as to how future legislative or regulatory changes may impact our business. For example, within his initial days in office, President Trump issued an executive order repealing former President Biden’s executive order 14087, which directed the Centers for Medicare and Medicaid Services (“CMS”) Center for Medicare and Medicaid Innovation to test new payment models that would lower drug costs and promote access to innovative drug therapies for Medicare and Medicaid beneficiaries. In addition, the Trump Administration published an executive order 14273 titled “Lowering Drug Prices by Once Again Putting Americans First.” Generally, this executive order instructs HHS to recommend ways to lower drug prices. The Trump Administration also renewed the idea of international reference pricing through the May 2025 executive order 14297 titled “Delivering Most-Favored-Nation Prescription Drug Pricing to American Patients.” Among other things, this executive order directs the Secretary of HHS to communicate MFN price targets to manufacturers and propose a rulemaking plan to impose MFN pricing if “significant progress” is not made towards achieving such pricing. It also states that the Administration will take additional aggressive action should manufacturers fail to offer American consumers the MFN lowest price. It is not clear if and how these executive orders will impact our business. This risk could arise not only from our own commercialization activities, but also from the activities of our partners, licensors or collaborators who, following regulatory approval, market our product candidates in their respective geographies at prices lower than those charged in the United States, which could be used as a reference price to impose MFN obligations and require us to lower our U.S. pricing. Furthermore, MFN pricing requirements could lead to disagreements with our partners, licensors or collaborators regarding pricing decisions, as our respective interests in setting prices in their geographies may conflict with our interest in maintaining U.S. pricing, and any such disputes could be difficult and costly to resolve and could harm our relationships with such parties.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several manufacturers have publicly announced confidential MFN agreements with the U.S., which per public Trump Administration statements would, among other things, “provide every State Medicaid program in the country access to MFN drug prices on products made by the [signing] companies”; “guarantee[] MFN prices on all new innovative medicines the [signing] companies bring to market”; “require the [signing] companies to repatriate increased foreign revenue on existing products that they realize as a result of . . . U.S. trade policies”; and require “the [signing] companies to offer medicines at a deep discount off the list price when selling directly to American patients through TrumpRx.” The Trump Administration has also called on Congress to codify the Trump Administration’s Most-Favored-Nation deals. It is uncertain if such legislation will be enacted, and if it is, how it could affect our business. Furthermore, in November 2025, CMS announced a new, voluntary program called the GENEROUS (GENErating cost Reductions for U.S. Medicaid) Model, under which manufacturers can offer MFN rebates to State Medicaid Programs. Also, as explained in more detail below, in December 2025, CMS issued two proposed rules related to MFN pricing. Additionally, President Trump also took executive action to end diversity, equity and inclusion initiatives among public-sector contractors and grantees. Moreover, the Trump Administration is prioritizing efforts to restructure HHS, including substantial reductions in workforce. It is not clear how this restructuring of HHS will impact our business. Finally, the Trump Administration has imposed broad tariffs on foreign imports, which in some cases has caused other nations to levy reciprocal tariffs on goods manufactured in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 2026, the United States announced significant tariffs on certain pharmaceutical products, active pharmaceutical ingredients and key starting materials. These tariffs, which were imposed pursuant to a national security investigation under Section 232 of the Trade Expansion Act of 1962, will generally go into effect in September 2026. The tariffs, which range from 10% to 100% depending on type of product and country of origin, are also subject to a number of exemptions and exclusions. There is still significant uncertainty about implementation and application of the tariffs and the exemptions and exclusions as various elements of the tariff action remain to be determined in subsequent agency actions. These new U.S. tariffs may raise costs for drug products and inputs used in our clinical development programs or that our contract manufacturers and suppliers may procure in connection with manufacturing our product candidates.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drug pricing practices. Notably, the U.S. government enacted the Inflation Reduction Act of 2022 (the “IRA”), the implementation and scope of which is subject to change through ongoing and future regulatory processes and rulemaking, and which could result in additional rebate payments for certain products, adversely affect the pricing of healthcare products and services in the U.S.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implement price limitations or otherwise restrict the amount of reimbursement available from governmental agencies or third-party payors. In addition, the IRA includes provisions that generally require manufacturers of Medicare Part B and Part D rebatable drugs to pay inflation rebates to the Medicare program if pricing metrics associated with their products increase faster than the rate of inflation. The impact of the IRA on research and development, the pharmaceutical supply chain and other aspects of our business and industry remains uncertain and difficult to predict. There are several ongoing legal challenges to the IRA’s drug price negotiation program, and we cannot predict the outcome of these cases or the impact they could have on implementation of the law. Over time, the IRA could increase our government discount and rebate liabilities, reduce the revenues we are able to collect from sales of our products as well as present challenges for payor negotiations and formulary access. However, the degree of impact that the IRA will ultimately have upon our business remains unclear at this time. Various industry stakeholders, including pharmaceutical companies, the U.S. Chamber of Commerce and the Pharmaceutical Research and Manufacturers of America, have initiated lawsuits against the federal government asserting that the price negotiation provisions of the IRA are unconstitutional. The impact of these judicial changes, future litigation brought in view of the Supreme Court’s overrule of the Chevron doctrine, legislative, executive and administrative actions and any future healthcare measures and agency rules implemented by the government on us and the pharmaceutical industry as a whole is unclear.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also have been and continue to be a number of other federal and state legislative and regulatory initiatives to contain healthcare costs, including costs for pharmaceuticals. For example, as discussed in detail above, the ACA substantially changed the way healthcare is financed by both governmental and private insurers, and significantly impacted the U.S. pharmaceutical industry.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One notable example includes Colorado, where the state Prescription Drug Affordability Board set the first upper payment limit on a drug based on the IRA’s maximum fair price.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following regulatory approval or put pressure on the pricing of our product candidates.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U.S. regulators continue to pursue policies designed to lower drug costs for federal programs and patients. In May 2019,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This rulemaking also created a new safe harbor for price reductions reflected at the point-of-sale, as well as a safe harbor for certain fixed fee arrangements between pharmacy benefit managers and manufacturers. However, Congress has adopted various delays on the implementation or enforcement of the rule, including a postponement until January 2032 under the IRA.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2020, CMS enacted a final rule that, among other things, expanded the scope of drug products that may be considered “line extensions” subject to inflationary rebates under the Medicaid Drug Rebate Program. On September 26, 2024, CMS published a Medicaid Drug Rebate Program final rule, which, among other things, amends the definitions of a “covered outpatient drug,” adds regulations and penalties for drug product misclassifications, including failure to report pricing and product information in a timely manner, and limits the period for manufacturers to initiate disputes concerning state-invoiced utilization data. These changes have generally taken effect since November 2024 and could significantly increase manufacturer rebate liability, expand the scope of products subject to Medicaid rebates, and subject manufacturer drug pricing practices to further scrutiny. On November 5, 2025, CMS issued a Medicare Physician Fee Schedule final rule, which increases bona fide service fee documentation requirements, defines “bundled arrangement,” addresses “unbundling” of both contingent and non-contingent discounts and include sales of Part B units at the Maximum Fair Price in average sales price calculations. These changes could lower reimbursement for Medicare Part B utilization and require manufacturers to comply with new, uncertain or complex reporting obligations and drug pricing documentation practices.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on December 23, 2025, CMS published two proposed rules to create new drug pricing models: the Global Benchmark for Efficient Drug Pricing Model (“GLOBE”) and the Guarding U.S. Medicare Against Rising Drug</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Model (“GUARD”). If finalized, these rules would require MFN pricing by requiring manufacturers to pay additional rebates for certain drugs based on the difference between the drug’s Medicare price and the drug’s price in market basket countries. CMS proposes that the agency would apply the new rebate requirement to utilization by approximately 25% of Medicare Part D enrollees (under GUARD) and 25% of Medicare Part B fee-for-service enrollees (under GLOBE). Assuming these proposed rules are finalized and withstand any legal challenge, it is uncertain how they could affect Roivant and its subsidiaries. Additionally, legislative proposals have been introduced in Congress that would mandate MFN pricing for particular healthcare programs if enacted. However, we cannot be certain whether any of these proposals will be enacted and if they are, how they could impact our business.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upcoming legislative and policy changes in the E.U. and the U.K., some of which may materialize in the near term,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through product revenue or commercialize our product candidates following regulatory approval. Such reforms could have an adverse effect on anticipated revenue from our product candidates following regulatory approval and may affect our overall financial condition and ability to develop future product candidates and obtain marketing approval for those product candidates. We cannot predict the initiatives that may be adopted in the future. The continuing efforts of the government, insurance companies, managed care organizations and other payors of healthcare services to contain or reduce costs of healthcare and impose price controls may adversely affect:</w:t>
      </w:r>
    </w:p>
    <w:p>
      <w:pPr>
        <w:spacing w:after="0" w:line="189"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following regulatory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 candidates following regulatory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sustained profitability;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that we are required to pay.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our product candidates following regulatory approval. Any denial in coverage or reduction in reimbursement from Medicare or other government-funded programs may result in a similar denial or reduction in payments from private payors, which may prevent us from being able to generate sufficient revenue, attain sustained profitability or successfully commercialize our product candidates following regulatory approval.</w:t>
      </w:r>
    </w:p>
    <w:p>
      <w:pPr>
        <w:spacing w:after="0" w:line="179" w:lineRule="exact"/>
        <w:rPr>
          <w:sz w:val="20"/>
          <w:szCs w:val="20"/>
          <w:color w:val="auto"/>
        </w:rPr>
      </w:pPr>
    </w:p>
    <w:p>
      <w:pPr>
        <w:jc w:val="both"/>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investigators, healthcare professionals, consultants, third-party payors, patient support, charitable organizations, customers and others are subject to applicable healthcare regulatory laws, which could expose us to penalties and other risks.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 candidates following regulatory approvals. Such laws include, without limitation:</w:t>
      </w:r>
    </w:p>
    <w:p>
      <w:pPr>
        <w:spacing w:after="0" w:line="180" w:lineRule="exact"/>
        <w:rPr>
          <w:sz w:val="20"/>
          <w:szCs w:val="20"/>
          <w:color w:val="auto"/>
        </w:rPr>
      </w:pPr>
    </w:p>
    <w:p>
      <w:pPr>
        <w:jc w:val="both"/>
        <w:ind w:left="660" w:hanging="328"/>
        <w:spacing w:after="0" w:line="273" w:lineRule="auto"/>
        <w:tabs>
          <w:tab w:leader="none" w:pos="65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is a criminal law that prohibits, among other things, persons and entities from knowingly and willfully soliciting, offering, receiving or providing remuneration, directly or indirectly, in cash or in-kind,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w:t>
      </w:r>
    </w:p>
    <w:p>
      <w:pPr>
        <w:spacing w:after="0" w:line="200" w:lineRule="exact"/>
        <w:rPr>
          <w:rFonts w:ascii="Times New Roman" w:cs="Times New Roman" w:eastAsia="Times New Roman" w:hAnsi="Times New Roman"/>
          <w:sz w:val="17"/>
          <w:szCs w:val="17"/>
          <w:color w:val="auto"/>
        </w:rPr>
      </w:pPr>
    </w:p>
    <w:p>
      <w:pPr>
        <w:spacing w:after="0" w:line="349"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89" w:lineRule="exact"/>
        <w:rPr>
          <w:sz w:val="20"/>
          <w:szCs w:val="20"/>
          <w:color w:val="auto"/>
        </w:rPr>
      </w:pPr>
    </w:p>
    <w:p>
      <w:pPr>
        <w:jc w:val="both"/>
        <w:ind w:left="660" w:hanging="328"/>
        <w:spacing w:after="0" w:line="254"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The False Claims Act provides for suit by the federal government or private parties (</w:t>
      </w:r>
      <w:r>
        <w:rPr>
          <w:rFonts w:ascii="Times New Roman" w:cs="Times New Roman" w:eastAsia="Times New Roman" w:hAnsi="Times New Roman"/>
          <w:sz w:val="18"/>
          <w:szCs w:val="18"/>
          <w:i w:val="1"/>
          <w:iCs w:val="1"/>
          <w:color w:val="auto"/>
        </w:rPr>
        <w:t>qui tam relator</w:t>
      </w:r>
      <w:r>
        <w:rPr>
          <w:rFonts w:ascii="Times New Roman" w:cs="Times New Roman" w:eastAsia="Times New Roman" w:hAnsi="Times New Roman"/>
          <w:sz w:val="18"/>
          <w:szCs w:val="18"/>
          <w:color w:val="auto"/>
        </w:rPr>
        <w:t>) and when an entity is determined to have violated the federal civil False Claims Act, the government may impose significant civil fines and penalties for each false claim or statement for penalties assessed after January 30, 2023, plus treble damages, and exclude the entity from participation in Medicare, Medicaid and other federal healthcare programs;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fraud statute (established by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clearinghouses, and most healthcare providers (collectively, “covered entities”), and such covered entities’ “business associates,” defined as independent contractors or agents of covered entities that create, receive or obtain personally identifiable health information in connection with providing a service for or on behalf of the covered entity;</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privacy, cybersecurity and data protection laws, rules and regulations at the international, federal, state and local level, which impose obligations with respect to safeguarding the privacy, security, and cross-border transmission of personally identifiable data, including personal health information;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(i) knowingly presenting, or causing to be presented, a claim for services not provided as claimed or that is otherwise false or fraudulent in any way; (ii) arranging for or contracting with an individual or entity that is excluded from participation in federal health care programs to provide items or services reimbursable by a federal health care program; (iii) violations of the federal Anti-Kickback Statute; or (iv) failing to report and return a known overpayment;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w:t>
      </w:r>
    </w:p>
    <w:p>
      <w:pPr>
        <w:spacing w:after="0" w:line="180" w:lineRule="exact"/>
        <w:rPr>
          <w:sz w:val="20"/>
          <w:szCs w:val="20"/>
          <w:color w:val="auto"/>
        </w:rPr>
      </w:pPr>
    </w:p>
    <w:p>
      <w:pPr>
        <w:jc w:val="both"/>
        <w:ind w:left="660" w:hanging="328"/>
        <w:spacing w:after="0" w:line="261"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drug price reporting and government contracting statutes and regulations, the violation of which can lead to civil penalties, debarment and enforcement under the federal False Claims Act, and certain local and state laws that require disclosures to state agencies or boards and commercial purchasers, for example, with respect to certain price increases, some of which contain ambiguous requirements that government officials have not yet clarified;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foreign national laws prohibiting promotion of prescription-only medicinal products to individuals other than healthcare professionals, governing strictly all aspects of interactions with healthcare professionals and healthcare organizations, including prior notification, review and approval of agreements with healthcare professionals,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or state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8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face competition in the U.S. for our product candidates from therapies sourced from foreign countries that have placed price controls on pharmaceutical products. In the U.S., the Medicare Modernization Act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The court dismissed the case in February 2023.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a July 2021 executive order pertaining to drug pricing directs the FDA to support and work with States and Indian Tribes to develop importation plans to import prescription drugs from Canada under the MMA and final rule. Several states have enacted laws intended to support importation processes and have submitted importation program proposals to the FDA. On January 5, 2024, the FDA authorized Florida’s importation program for the importation of certain prescription drugs from Canada into Florida; however, the state must file Pre-Import Requests for specific drug products that the FDA must grant before any importation may take place. In response, Health Canada issued a statement on January 8, 2024 making clear that it is ready to take immediate action to help safeguard the Canadian drug supply if necessary. These importation programs remain a focus of the Trump Administration. For example, executive order 14273 directed the FDA to take steps to make it easier for States to obtain approval of their import program proposals without sacrificing safety or quality. The FDA has subsequently taken steps to do so, such as offering States and Indian Tribes the opportunity to submit a draft proposal for pre-review and meet with the FDA to obtain initial feedback before formally submitting a proposal and reducing the burden in producing cost-savings analyses. If implemented in Florida or elsewhere, importation of drugs from Canada may materially and adversely affect the price we receive for our product candidates following regulatory approval. The regulatory and market implications of the final rule and guidance are unknown at this time. Proponents of drug reimportation may attempt to pass other legislation that would directly allow reimportation under certain circumstances. Legislation or regulations allowing the reimportation of drugs, if enacted, could decrease the price we receive for our product candidates following regulatory approval and adversely affect our future revenues and prospects for profitability.</w:t>
      </w:r>
    </w:p>
    <w:p>
      <w:pPr>
        <w:spacing w:after="0" w:line="19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is subject to extensive regulatory obligations and policies that may be subject to significant and abrupt change, including due to judicial challenges, election cycles and resulting regulatory updates and changes in policy priorities.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28, 2024, the U.S. Supreme Court issued an opinion holding that courts reviewing agency action pursuant to the Administrative Procedure Act (the “APA”) “must exercise their independent judgment” and “may not defer to an agency interpretation of the law simply because a statute is ambiguous.” The decision has had and will have a significant impact on how lower courts evaluate challenges to agency interpretations of law, including those by the Department of Health and Human Services, CMS,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federal agency priorities, leadership, policies, rulemaking, communications, spending and staffing may be significantly impacted by election cycles and legislative developments. For example, the Trump Administration has committed to significantly reduce government spending through cuts to federal healthcare programs and reductions in the workforces of key government agencies, such as HHS, FDA and CMS. Efforts by the current administration to limit federal agency budgets or personnel may result in reductions to agency budgets, employees and operations. The administration and agencies have also made abrupt announcements about new or changed regulatory policies, such as policies related to the use of AI to review product applications. And, the recent federal government shutdown may prevent the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and longer review periods, potentially affecting our ability to progress development of our product candidates or obtain regulatory approval for our product candidates. Any resulting changes in regulation may result in unexpected delays, increased costs or other negative impacts on our business that are difficult to predict.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rely on CROs, clinical data management organizations, medical institutions and clinical trial sites to conduct some aspects of our research and preclinical testing and to ensure the proper and timely conduct of our clinical trials, and we expect to have limited influence over their actual performance. Any of these third parties may terminate their engagements with us or be unable to fulfill their contractual obligations. If we need to enter into alternative arrangements, it would delay our product development activities. In addition, we rely upon CROs to monitor and manage data for our</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clinical programs, as well as for the execution of future nonclinical studies. We expect to control only certain aspects of our CROs’ activities. Nevertheless, we will be responsible for ensuring that each of our studies is conducted in accordance with the applicable contract, protocol, legal, regulatory and scientific standards and that clinical trial sites meet applicable protocol and regulatory requirements. Our reliance on CROs does not relieve us of our regulatory or specified contractual responsibilities.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third-party service providers are not our employees, and we are therefore unable to directly monitor whether or not they devote sufficient time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8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and our CROs are required to comply with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Our expected reliance on the CROs does not relieve us of our regulatory or contractual responsibilities. If we or our CROs fail to comply with GCPs, the clinical data generated in our clinical trials may be deemed unreliable and the FDA or non-U.S. regulatory authorities may reject our marketing authorization applications and require us to perform additional clinical trials to generate additional data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pacing w:after="0" w:line="1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i w:val="1"/>
          <w:iCs w:val="1"/>
          <w:color w:val="auto"/>
        </w:rPr>
        <w:t>We do not have our own manufacturing capabilities and rely on third parties to produce clinical and commercial supplies of our product candidates.</w:t>
      </w:r>
    </w:p>
    <w:p>
      <w:pPr>
        <w:spacing w:after="0" w:line="24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do not own or operate, and do not expect to own or operate, facilities for product manufacturing, storage and distribution or testing. Accordingly, we rely on third parties for the manufacture of our drug substance and our drug product. With respect to IMVT-1402, we have established arrangements with CMOs to supply drug substance and drug product to support our current and planned clinical trial programs, as well as anticipated commercial supply to support the potential launch of IMVT-1402, if approved. With respect to brepocitinib, as we approach potential near-term commercialization, we are working with our CMOs to scale manufacturing processes from clinical to commercial quantities. Additional 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 candidates are adversely impacted by supply chain constraints, our supply chain may be disrupted, limiting our ability to manufacture our product candidates for our preclinical studies, clinical trials, research and development activities and, following regulatory approval, commercialization. Any significant delay in the supply of a product candidate, or the raw material components thereof, or of equipment and devices as necessary, for either commercialization or an ongoing clinical trial, due to the need to replace a third-party manufacturer or otherwise, could considerably delay marketing efforts for the product in question or the completion of clinical trials, product testing and potential regulatory approval of the product candidate in question.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 from the sale of our product candidates and may require notification to the FDA or other regulatory authorities.</w:t>
      </w:r>
    </w:p>
    <w:p>
      <w:pPr>
        <w:spacing w:after="0" w:line="19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Moreover, as a result of projected supply constraints for certain materials used in the production of our product candidates, we have in the past and may in the future reserve manufacturing capacity in advance of receiving required efficacy or safety results from our clinical trials, which may involve committing substantial financial resources to product</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candidates that may never be approved or achieve commercialization at scale or at all. In addition, legislative, executive and regulatory proposals were recently enacted or are pending to, among other things, prevent drug shortages, improve pandemic preparedness and reduce the dependency of the U.S. on foreign supply chains and manufacturing; this may include the imposition of tariffs on foreign-manufactured products that we procure as well as limitations on our ability to use biotechnology equipment or services produced or provided by select Chinese biotechnology companies in the performance of federal contracts or grants. While we are still assessing these developments, they could impact our selection and utilization of CMOs, vendors and other suppliers and could have a material adverse impact on our business, financial condition and results of operations.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pursuant to inspections that will be conducted after we submit an NDA or other similar application to the FDA. Such facilities must also register with the FDA. Similar requirements apply in other jurisdictions. We do not control the manufacturing process of, and are completely dependent on, our contract manufacturing partners for compliance with cGMP requirements for the manufacture of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 candidates or if they withdraw any such approval in the future, we may need to find alternative manufacturing facilities, which would significantly impact our ability to develop and obtain regulatory approval for our product candidates and, if approved, market our product candidates. We, our contract manufacturers, any future collaborators and their contract manufacturers could be subject to periodic unannounced inspections by the FDA or other comparable foreign regulatory authorities to monitor and ensure compliance with cGMP. Despite our efforts to audit and verify regulatory compliance, one or more of our third-party manufacturing vendors may be found on regulatory inspection by the FDA or other comparable foreign regulatory authorities to be noncompliant with cGMP regulations. This may result in shutdown of the third-party vendor or invalidation of drug product lots or processes. In some cases, a product recall may be warranted or required, which would materially affect our ability to supply and market our drug products.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would not be subject if we manufactured our product candidates ourselves, including:</w:t>
      </w:r>
    </w:p>
    <w:p>
      <w:pPr>
        <w:spacing w:after="0" w:line="162"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regulations and standards, including cGMP and similar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deficient or improper record-keeping;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product components, such that if we are unable to secure a sufficient supply of these product components, we will be unable to manufacture and sell our product candidates following regulatory approval in a timely fashion, in sufficient quantities or under acceptable terms;</w:t>
      </w:r>
    </w:p>
    <w:p>
      <w:pPr>
        <w:spacing w:after="0" w:line="175" w:lineRule="exact"/>
        <w:rPr>
          <w:rFonts w:ascii="Times New Roman" w:cs="Times New Roman" w:eastAsia="Times New Roman" w:hAnsi="Times New Roman"/>
          <w:sz w:val="18"/>
          <w:szCs w:val="18"/>
          <w:color w:val="auto"/>
        </w:rPr>
      </w:pPr>
    </w:p>
    <w:p>
      <w:pPr>
        <w:ind w:left="660" w:right="1800" w:hanging="328"/>
        <w:spacing w:after="0" w:line="970"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 source supplier;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product candidates under specified storage conditions and in a timely manner.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lead to clinical trial delays, cost overruns, delay or failure to obtain regulatory approval or impact our ability to successfully commercialize our product candidates as well as potential product liability litigation, product recalls or product withdrawals. Some of these events could be the basis for the FDA or other regulatory authority action, including injunction, recall, seizure, total or partial suspension of production, or suspension or revocation of manufacturing/import authorizations and GMP certificates.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contract manufacturing facilities on which we rely do not continue to meet regulatory requirements or are unable to meet our requirements, including providing an adequate supply, our business will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product candidates for clinical trials or commercial sale following regulatory approval, including our existing CMOs for all of our product candidates, are subject to extensive regulation. Components of a finished therapeutic product approved for commercial sale or used in late-stage clinical trials must be manufactured in accordance with cGMP, or similar regulatory requirements outside the U.S.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Our failure, or the failure of third-party manufacturers, to comply with applicable regulations could result in the issuance of inspectional observations on the FDA’s Form-483, Warning or Untitled Letters, similar communications or objections by other authorities, public safety alerts identifying our company or product candidates and sanctions being imposed on us, including clinical holds, import alerts, fines, injunctions, civil penalties, delays, suspension or withdrawal of approvals, license revocations, suspensions of production, seizures or recalls of product candidates, operating restrictions and criminal prosecutions, any of which could significantly and adversely affect clinical supplies of our product candidates or, following regulatory approval, commercial supplies for those product candidates.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CMOs must supply all necessary documentation in support of an NDA or similar regulatory application on a timely basis, and must adhere to regulations enforced by the FDA and other regulatory agencies through their facilities inspection program. Some of our CMOs may not have produced a commercially approved pharmaceutical product and therefore may not have obtained the requisite regulatory authority approvals to do so.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 time 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trials, regulatory submissions, required approvals or commercialization of our product candidates following regulatory approval.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dependent on one or a limited number of suppliers for certain components of our product candidates.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For certain of our product candidates, we may now or in the future be dependent on one or a limited number of third-party suppliers. We cannot ensure that such suppliers will be available or have sufficient capacity or supply to meet our needs, or that they will not be acquired by a competitor and cease working with us. As a result, we face a number of related risks, including disruptions or delays in the supply of our product candidates or price fluctuations for those supplies.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legislative proposals and certain enacted legislation could negatively impact U.S. funding for certain biotechnology providers that have relationships with certain foreign governments or which pose a threat to national security. Currently, the potential downstream adverse impacts on entities having commercial relationships with any impacted biotechnology provider is unknown but may include supply chain disruptions or delays. If any of our suppliers become subject to any such laws, including those yet to be enacted, this may result in material delays or other disruptions to our development and, if approved, commercial activities, add significant additional cost, require that we move our non-clinical or clinical development and manufacturing activities to alternative suppliers, in each case, which may materially and adversely impact our ability to develop and manufacture our product candidates, conduct our clinical trials and, if approved, commercialize our products in a timely manner, or at all, or result in unacceptable additional costs.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required to change suppliers, the manufacture and delivery of our product candidates could be interrupted for an extended period of time. Establishing additional or replacement suppliers for any of the components or processes used in our product candidates, if required, may not be accomplished quickly, if at all. Any replacement supplier would need to be qualified and may require additional regulatory approval, resulting in further delay. Any interruption or delay in the supply of components or materials, or our inability to obtain components or materials from alternate sources at acceptable prices in a timely manner, could limit the supply of our product candidates available for use in clinical trials or commercial sale following applicable regulatory approvals.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novel, complex and difficult to manufacture. We could experience manufacturing problems that result in delays in our development or commercialization programs or otherwise harm our business.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manufacturing processes our CMOs use to produce our product candidates are novel, complex and have not necessarily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biologic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candidate may not be sufficient to ensure that the product candidate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including minor deviations from the normal process, could result in product candidate defects or manufacturing failures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result in lot failures, product recalls, product liability claims or insufficient inventory to conduct clinical trials or supply commercial markets. We may encounter problems achieving adequate quantities and quality of clinical-grade materials that meet the FDA, the E.U., the U.K. or other applicable standards or specifications with consistent and acceptable production yields and costs.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FDA, the EMA, the MHRA and other regulatory authorities may require us to submit samples of any lot of any approved product candidate together with the protocols showing the results of applicable tests at any time. Under some circumstances, the FDA, the EMA, the MHRA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candidate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processes or facilities could result in delays in planned clinical trials and increased costs, and could make us a less attractive collaborator for potential partners, including larger biopharmaceutical companies and academic research institutions, which could limit access to additional attractive development programs. Problems in any of our manufacturing processes could restrict our ability to conduct clinical trials with our product candidates or meet potential future market demand for our product candidates following regulatory approval.</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operational risks associated with the physical and digital infrastructure at the manufacturing facilities that our external service providers utilize.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manufacturing facilities we rely on may incorporate a significant level of automation of equipment with integration of several digital systems, including those that may utilize AI, to improve efficiency of operations. The digitization of these facilities exposes us to the risk of process equipment malfunctions. These risks include potential system failures or shutdowns due to internal or external factors including design issues, system compatibility or potential cybersecurity compromises, incidents or breaches. Upgrades or changes to these systems, infrastructure or the software that our external service providers implement, use, or upon which our business relies, may result in the introduction of new cybersecurity vulnerabilities and risks.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facilities and infrastructure of our contract manufacturers or other third-party providers may also be subject to attacks or acts of sabotage by outside actors, contractors or employees. Any disruption in our contract manufacturers’ manufacturing capabilities could delay scaling up production capacity for our product candidates or shut down facilities, impose additional costs, cause us to fail to meet certain product volume or delivery timing obligations, or may require us to identify, qualify and establish an alternative manufacturing site, which could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Related to Our Business and Industry</w:t>
      </w:r>
    </w:p>
    <w:p>
      <w:pPr>
        <w:spacing w:after="0" w:line="22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achieve certain regulatory approvals before us or develop therapies that are safer, more advanced or more effective than ours, which may negatively impact our ability to successfully market or commercialize our product candidates following regulatory approval and ultimately harm our financial condition.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Now and in the future we may face competition from major pharmaceutical companies, specialty pharmaceutical companies, biotechnology companies, academic institutions, government agencies and other public and private research organizations worldwide.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 candidates.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and commercialization of product candidates for the treatment of the indications that we are also pursuing. Examples of such competing products include, but are not limited to:</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VYVGART (efgartigimod alfa-fcab) and VYVGART Hytrulo (efgartigimod alfa and hyaluronidase-qvfc), FcRn blockers, potential competitors to brepocitinib and IMVT-1402;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IMAAVY (nipocalimab-aahu) and RYSTIGGO (rozanolixizumab-noli), FcRn blockers, potential competitors to IMVT-1402;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Dazukibart, an interferon beta (IFN-beta) inhibitor, a potential competitor to brepocitinib;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Tyvaso (treprostinil) and Yutrepia (treprostinil), prostacyclin mimetics, potential competitors to mosliciguat.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our product candidates.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regulatory approval for their products more rapidly than we do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 candidates uneconomical or obsolete and we may not be successful in marketing the product candidates we may develop against competitors.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 enforceability of our patents relating to our competitors’ products and our competitors may allege that our product candidates infringe, misappropriate or otherwise violate their intellectual property. The availability of our competitors’ products could limit the demand, and the price we are able to charge, for our future products.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financial, accounting and legal personnel. We have benefited substantially from the leadership, performance and vision of our senior leaders, including our Principal Executive Officer, Matthew Gline, as well as other senior executives at Roivant and the Vants. The loss of the services provided by any of our executive officers, key employees or other scientific and medical advisors and our inability to find suitable replacements could result in delays in the development of our product candidates and harm our business. Due to the small number of employees at some of the Vants, the loss of a key employee may have a larger impact on our business. In addition, we rely on a limited number of employees in certain key jurisdictions, including the U.K. and Switzerland. Competition for skilled personnel is intense and the turnover rate can be high, which may limit our ability to hire and retain highly qualified personnel on acceptable terms or at all. In addition, while we expect to engage in an orderly transition process as we integrate newly appointed officers and managers, we face a variety of risks and uncertainties related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our key personnel or that of our Vants.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Our employment agreements provide that our employees may leave our employ at any time. We do not maintain “key person” insurance for any members of our senior leadership team or other employees. Our success also depends on our ability to continue to attract, retain and motivate highly skilled junior,</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mid-level and senior managers as well as junior, mid-level and senior scientific and medical personnel. Negative business developments and changes in immigration laws, policies or enforcement patterns, or announcements thereof, that make it more difficult or less desirable for immigrants to work in the U.S. or introduce greater uncertainty into the immigration system and changes in immigration laws, policies or enforcement patterns, or announcements thereof, that make it more difficult or less desirable for immigrants to work in the U.S. or introduce greater uncertainty into the immigration system may make it difficult to recruit and retain qualified personnel. If we are unable to attract and incentivize quality personnel on acceptable terms, or at all, it may cause our business and operating results to suffer.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our continued growth, we expect to hire, either directly or through our current or future affiliates, additional employees for our managerial, finance and accounting, clinical, scientific and engineering, regulatory, operational, manufacturing and commercial teams. We may have difficulties in connection with 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our product candidates will be harmed, which could negatively impact our financial condition, results of operations and cash flows.</w:t>
      </w:r>
    </w:p>
    <w:p>
      <w:pPr>
        <w:spacing w:after="0" w:line="179"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legal, regulatory, political, operational, financial and economic risks associated with conducting business globally.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Doing business internationally involves a number of risks, including but not limited to:</w:t>
      </w:r>
    </w:p>
    <w:p>
      <w:pPr>
        <w:spacing w:after="0" w:line="225" w:lineRule="exact"/>
        <w:rPr>
          <w:sz w:val="20"/>
          <w:szCs w:val="20"/>
          <w:color w:val="auto"/>
        </w:rPr>
      </w:pPr>
    </w:p>
    <w:p>
      <w:pPr>
        <w:ind w:left="660" w:right="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collaborators to obtain appropriate licenses or regulatory approvals for the sale or use of our product candidates in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operations in different jurisdictions;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payor-reimbursement regimes or self-pay systems;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currency exchange rate fluctuations;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protection for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negatively impact our financial condition, results of operations and cash flows.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harm our reputation, our brand, our international expansion efforts, our ability to attract and retain employees and our business, prospects, operating results and financial condition.</w:t>
      </w:r>
    </w:p>
    <w:p>
      <w:pPr>
        <w:spacing w:after="0" w:line="18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are subject to litigation and investigation risks which could adversely affect our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our subsidiaries are from time to time subject to various litigation matters and claims, including regulatory proceedings, administrative proceedings, product liability claims related to our clinical trials,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our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insurance policies for certain litigation and various business risks, but such policies may not be adequate to compensate us for any or all potential losses. In addition, such insurance may not be available to us in the future on economically reasonable terms, or at all. Further, our insurance, if available,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as they arise from time to time, and they could have a material adverse effect on our and our subsidiaries’ businesses, results of operations and financial conditions, could impact our ability to consummate a transaction that is challenged or otherwise subject to such litigation and could cause the market value of our common shares to decline.</w:t>
      </w:r>
    </w:p>
    <w:p>
      <w:pPr>
        <w:spacing w:after="0" w:line="1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other information technology systems, or those used by our collaborators, CROs or other contractors, consultants or third parties upon whom we rely, may fail or suffer other breakdowns, cyberattacks or information security breaches or incidents, including as a result of a deficiency in our cybersecurity practices, that could compromise the confidentiality, integrity and availability of such systems and data, expose us to liability and affect our reputation.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to operate our business. We also rely on third-parties and their information technology systems. We generally require our third-party providers to implement effective security measures and to identify and correct for any information technology security failures, deficiencies or breaches. Although we seek to supervise such third parties’ security measures, our ability to do so is limited. We also rely on cloud-based infrastructure provided by third-party providers, including major public cloud platforms, to support key aspects of our operations. A prolonged outage, service disruption or security breach affecting one or more of these cloud providers could materially impact our ability to conduct operations, access critical data or maintain the continuity of our development programs. Despite the implementation of security measures, our internal computer and other information technology systems and those of our collaborators, CROs and other contractors, consultants and third parties upon whom</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may be vulnerable to damage, outages and interruptions resulting from computer viruses and other malicious code or unauthorized access, or breached, compromised or otherwise subject to security incidents due to operator error, inadvertent or intentional actions by our employees or other third parties, malfeasance, cybercriminals, natural disasters (including hurricanes and earthquakes), terrorism, war, telecommunication and electrical failures or other system disruptions. Geopolitical events, such as wars and other conflicts, may increase the risks of cyberattacks, disruptions and security breaches and incidents that we and these third parties face. Security threats can come from a variety of sources, ranging in sophistication from an individual hacker to a state-sponsored attack. Cyber threats may be broad-based or otherwise generic in nature, or they may be custom-crafted against our information technology systems or those of our collaborators, CROs or other contractors, consultants or third parties upon whom we rely.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the cyber-threat landscape evolves, cyberattacks have become more prevalent, intense, sophisticated and much harder to detect and defend against. Such attacks could include the use of key loggers or other harmful and virulent malware, including ransomware or other denials of service, and can be deployed through malicious websites, the use of social engineering, including phishing attacks, and other means. Bad actors around the world use increasingly sophisticated methods, including the use of artificial intelligence, to engage in illegal activities involving the theft and misuse of personal information, confidential information and other sensitive information. We and our collaborators, CROs or other contractors, consultants and third parties upon whom we rely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Although to our knowledge we have not experienced any such material system failure or security breach or incident to date, if a breakdown, cyberattack or other information security breach or incident were to occur and cause interruptions in our operations, it could result in a material disruption of our development programs and our business operations, whether due to loss or misappropriation of trade secrets or loss of, or unauthorized modification, unavailability, disclosure or other unauthorized processing of, other proprietary information or other similar disruption, and we could incur liability and reputational damage. For example, any corruption, loss or other unavailability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and other information technology systems could also have a material adverse effect on our business.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Cyberattacks, breaches, interruptions or other data security incidents could result in legal claims or proceedings by private parties or governmental authorities, liability under federal or state laws that protect the privacy of personal information, regulatory penalties, significant remediation costs, disruption of key business operations and diversion of the attention of management and key information technology resources. In the United States, notice of breaches generally must be made to affected individuals and regulatory authorities in the states where those individuals reside, and, in certain cases, also to HHS and the media. Such notices could harm our reputation and our ability to compete, and as demonstrated by other companies’ experience, could trigger large class action lawsuits. In addition, U.S. state attorneys general are authorized to bring civil actions seeking either injunctions or damages in response to violations that threaten the privacy of state residents. We are also subject to SEC rules requiring the disclosure of material cybersecurity incidents within four business days of a materiality determination, as well as annual disclosure of our cybersecurity risk management processes, strategy and governance. These rules require us to make judgments about the materiality of cybersecurity incidents, and an incorrect determination could itself expose us to securities law liability. Compliance with these disclosure obligations imposes additional operational and legal burdens on our management and may require us to publicly disclose sensitive information about our systems or incidents at a time when full information is not yet available.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our collaborators, CROs, contractors, consultants and any other business counterparties will be successful in efforts to detect, prevent, protect against or fully recover systems or data from all break-downs, service interruptions, attacks or security breaches or incidents. Although we maintain insurance protection against cybersecurity events or incidents, the costs related to significant security breaches, incidents or disruptions could be material and exceed the limits of any insurance coverage we have, and may result in increases in our insurance costs, or we may otherwise have to expend significant resources to mitigate the impact of such incidents and to develop and implement protections to prevent future events of this nature from occurring. Relevant insurance may in the future become unavailable to us on commercially reasonable terms or at all.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Any disruption or security breach or incident that results in or is perceived to have resulted in</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loss of, or damage to, our data or systems, or inappropriate disclosure, use, acquisition, transfer, modification, unavailability or other processing of confidential or proprietary information, including data related to our personnel, could result in the loss, unauthorized modification, use, unavailability, disclosure or other unauthorized processing of critical or sensitive data, and could cause us to incur liability. Further, in any such event, the development and commercialization of our product candidates following regulatory approval could be delayed and our business and operations could be adversely affected. Any of the foregoing could result in significant financial, legal or reputational harm to us and our business.</w:t>
      </w:r>
    </w:p>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and regulations, information security and other policies, and contractual obligations relating to privacy and data protection and security, including the use, processing and cross-border transfer of personal information. These laws and regulations are subject to change and uncertain interpretation, and could result in claims, changes to our business practices, or monetary penalties, and otherwise may harm our business, as could any actual or perceived failure by us or third parties upon whom we rely to comply with such laws and regulations and other obligations.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our subsidiaries and affiliates collect, receive, store, and otherwise process significant and increasing volumes of personal data (including protected health information), research and developmental information, commercial information, and business and financial information, including information we collect about patients and healthcare providers in connection with clinical trials in the U.S. and abroad necessary to operate their businesses and for legal, marketing and other business-related purposes. We heavily rely on external security and infrastructure vendors to manage our information technology systems and data centers. We face a number of risks relative to protecting this critical information, including the loss of access, inappropriate use or disclosure, inappropriate modification, and the risk of our being unable to adequately monitor, audit and modify our controls over our critical information. This risk extends to third-party vendors and subcontractors we use to manage this sensitive data.</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governing the collection, transmission, storage and use of personally-identifying information, which among other things, impose requirements relating to the privacy, security, transmission and disposal of such information. The legislative and regulatory landscape for privacy and data protection continues to evolve in jurisdictions worldwide. A failure by us, our subsidiaries or affiliates or vendors acting on our behalf to comply with applicable privacy and data security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 New legislation anticipated to be enacted in various states will continue to shape the U.S. data privacy regulatory framework. The effects on our business of this growing body of privacy and data protection laws, which vary from state to state, are potentially significant, and may require us to modify our data processing practices and policies and to incur substantial costs and expenses in an effort to comply.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Currently, there are numerous U.S. federal and state laws and regulations related to the privacy, data protection and security of personal information. At the federal level, regulations promulgated pursuant to HIPAA establish privacy and security standards, including those that limit the use and disclosure by “covered entities” (group health plans and most healthcare providers) of individually identifiable health information (“protected health information”), and require the implementation of administrative, physical and technological safeguards to protect the security, confidentiality, integrity and availability of electronic protected health information. While we generally are not subject to the HIPAA privacy or security regulations, we do business with entities (including physicians, pharmacies and clinical trial investigators) that are subject to those regulations, and we have to expend resources to understand their obligations, adjust contractual terms in light of those obligations, or otherwise modify our business practices. In addition, as discussed further below, several U.S. states have enacted legislation specifically to regulate the collection, use, and disclosure of personal health information by entities not subject to the HIPAA privacy and security regulations, which requires us to invest in compliance resources and creates liability risks for us. The U.S. Department of Justice has also adopted a complex regulation that restricts, and in some cases prohibits, certain transfers of sensitive personal data to business partners located in China or other “countries of concern” with links to such designated countries. The regulations also restrict certain investment agreements, employment agreements and vendor agreements involving such data and countries of concern, absent specified cybersecurity controls. Actual or alleged violations of these regulations may be punishable by criminal and civil sanctions, and may result in exclusion from participation in federal and state programs.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Trade Commission (“FTC”), along with certain state attorneys general, have taken aggressive action to protect consumers’ privacy and the use of consumer personal information. Using its authority under Section 5 of the FTC Act, which prohibits unfair and deceptive practices harming consumers, the FTC has brought numerous cases against companies for failing to protect the privacy and security of personal information in a manner consistent with consumer</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expectations and such companies’ stated privacy policies, notices or other representations. Particularly because the FTC has taken these actions based on theories that are not codified in regulations, the risk of such an action is difficult to quantify and to mitigate.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there are numerous laws governing the privacy and/or security of personal information. With respect to health information specifically, for example, the California Confidentiality of Medical Information Act (the “CMIA”), which expressly applies to pharmaceutical companies as well as health care providers and health plans, imposes stringent data privacy and security requirements and obligations with respect to the personal health information of California residents. Among other things, the CMIA, with limited exceptions, requires that a pharmaceutical company obtain a signed, written authorization from a patient or company employee in order to disclose his or her personal health information and requires the company to maintain reasonable security measures to protect such information. The CMIA authorizes administrative fines and civil penalties of up to $25,000 for willful violations and up to $250,000 for violations made for purposes of financial gain, as well as criminal fines. Washington State’s My Health My Data Act, and a similar Nevada law, both of which apply broadly to entities collecting personal health information either within the state or about residents of the state, generally require consent for the collection and use of such information, as well as a separate consent for sharing any such information. Violations of the Washington State law can result in civil penalties of up to $7,500 per violation, up to $25,000 in treble damages at the sole discretion of the court, and injunctive relief. Consumers also may bring their own actions to recover (i) actual damages, (ii) treble damages; and (iii) attorney’s fees. Violations of the Nevada law can result in up to $10,000 civil penalties per violation and injunctive relief.</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protect all types of personal information, various U.S. states have enacted privacy legislation in recent years and/or amended existing laws to address privacy and data security risks, including those posed by new technologies, which create additional burdens and risks for us. For example, the California Consumer Privacy Act of 2018 (“CCPA”) requires us to provide notice to state residents regarding our collection, use and sharing of their personal information, and give state residents the right to, among other things, limit the use and disclosure of their “sensitive” (including health) personal information other than for specified purposes and the ability to opt-out of certain sales of personal information. Most of the broadly applicable state privacy laws are enforceable only by state authorities, but the CCPA (which is enforceable by both the California Attorney General and the California Privacy Protection Agency) provides a private right of action for data security breaches that result in the compromise of certain sensitive personal information, increasing the likelihood of data breach litigation. Numerous other states in the United States have enacted or may seek to enact similar legislation. The U.S. federal government also contemplates federal privacy legislation from time to time.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Outside of the U.S., laws, regulations and standards in many jurisdictions apply broadly to the collection, use, retention, security, disclosure, transfer and other processing of personal information. For example, in the E.U. the collection and use of personal data is governed by the provisions of the E.U.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inter alia: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The E.U.-U.S. Privacy Shield was such a transfer mechanism put in place by the E.U. and the U.S., but the Privacy Shield was invalidated for international transfers of personal data in July 2020 by the Court of Justice of the European Union (“CJEU”). A replacement of the Privacy Shield – the E.U.-U.S. Data Privacy Framework (“DPF”) was since developed. In July 2023, the U.S. and E.U. implemented the DPF. Companies can now use this new mechanism to transfer personal data from the E.U. to the U.S. and from Switzerland to the U.S., following the national implementation in Switzerland. The U.K. Extension to the E.U.-U.S. Data Privacy Framework (“Data Bridge”) entered into force on October 12, 2023, allowing certifying entities to transfer personal data from the U.K. to the U.S. It is unclear whether any legal challenges against the DPF, which may be similar to the challenge that led to the invalidation of the Privacy Shield, would be successful. One such challenge was already unsuccessful and the General Court of the European Union upheld the validity of the DPF by a first-instance judgment of September 3, 2025 in Case T--553/23 Latombe v Commission. This first-instance ruling is now subject to an appeal in the CJEU. It is also unclear whether actions by the Trump Administration will lead the European Commission to reconsider the DPF. Related questions were raised in the European Parliament in the beginning of 2025.</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in July 2020 the CJEU upheld the validity of standard contractual clauses (“SCCs”) as a legal mechanism to transfer personal data to jurisdictions that the European Commission has not found to provide an adequate level of protection and while the European Commission adopted new SCCs in July 2021, companies relying on SCCs must, subject to additional guidance from regulators in the EEA and the U.K., regularly evaluate and implement supplementary measures that provide privacy protections additional to those provided under SCCs. The use of the new SCCs may increase the legal risks and liabilities under EEA privacy, data protection and information security laws. Given that, at present, there are few, if any, viable alternatives to the SCCs and the DPF, any transfers by us or our vendors of personal information from the EEA to the U.S. may not comply with the EEA data protection laws, which may increase our exposure to the GDPR’s heightened sanctions for violations of its cross-border data transfer restrictions and may prohibit our transfer of EEA personal information outside of the EEA (including clinical trial data), and may adversely impact our operations, product development and ability to provide our products.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 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if such company does not have an establishment in the E.U. Member State in question and the competent authority bringing the claim is not the lead supervisory authority.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as of January 1, 2021, and the expiry of transitional arrangements agreed to between the U.K. and the E.U. (i.e., following the U.K.’s exit from the E.U.), data processing in the U.K. is governed by a U.K. version of the GDPR (combining the GDPR and the Data Protection Act 2018), exposing us to two parallel regimes, each of which potentially authorizes similar substantial fines and other potentially divergent enforcement actions for certain violations. While the GDPR and the U.K. GDPR remain substantially similar for the time being, the government of the U.K. has adopted reforms to its data privacy and cybersecurity legal framework in its Data Use and Access Act 2025, which became the law on June 19, 2025 (phasing in between June 2025 and June 2026) and will introduce significant changes from the GDPR.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In December 2025, the validity of the European Commission's adequacy decision in favor of the U.K. was extended until December 27, 2031, with the possibility to be further renewed. The European Commission will review the functioning of the adequacy decision after a period of four years. Moreover, other countries have also passed or are considering passing laws requiring local data residency or restricting the international transfer of data. In June 2025, the U.K. adopted a reform of the data protection and e-privacy legislation intended to create a more business-friendly regime in the U.K. and increase fines for e-privacy breaches. If we or our third-party service providers are unable to properly protect the privacy and security of personal information or other confidential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FTC, E.U. Data Protection Authorities and other regulatory authorities in relation to privacy and cybersecurity matters can result in financial liability and reputational harm, and responses to such enforcement activity can consume significant internal resources. In the U.S.,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laws and regulations frequently being adopted and coming into effect. It is possible that these laws may be interpreted and applied in a manner that is inconsistent with our current practices. Significant resources are needed to understand and comply with this changing landscape. Failure to comply with federal, state and international laws regarding privacy and security of personal information could expose us to penalties, including government-imposed fines or orders requiring that we change our practices or unwind certain lines of business, claims for damages or other liabilities, regulatory investigations and</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enforcement action, litigation and significant costs for remediation, any of which could adversely affect our business. Even absent any findings that we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affiliates’ employees, independent contractors, principal investigators, consultants, commercial collaborators, service providers or other vendors or potential collaborators fail to comply with healthcare laws or regulatory standards and requirements, we could face substantial penalties and our business, operations and financial conditions could be adversely affected.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 laws that may impact our operations include the federal Anti-Kickback Statute, the False Claims Act, the HIPAA, as amended by HITECH, the federal Physician Payment Sunshine Act, federal consumer protection and unfair competition laws and analogous state and foreign laws and regulations.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could expose us to liability or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certain of our early-stage discovery Vants and healthcare technology businesses use machine learning and AI as part of our business. However, there are significant risks involved in utilizing AI and no assurance can be provided that our use of AI will enhance our business or operations or result in our business or operations being more efficient or profitable. For example, AI algorithms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Inappropriate or controversial data practices by developers and end-users, or other factors adversely affecting public opinion of AI, could impair the acceptance of AI solutions, including those incorporated in our businesses. If the AI solutions that we create or use are deficient, inaccurate or controversial, we could suffer from</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competitive harm, legal liability, brand or reputational harm or other adverse impacts on our business and financial results. If we do not have sufficient rights to use the data or other material or content on which our AI solutions or other AI tools we use rely, we also may incur liability through the violation of applicable laws, third-party intellectual property, privacy or other rights or contracts to which we are a party. In addition, the use of generative AI models in our internal or third-party systems may create new attack surfaces or methods for adversaries, which could impact us and the third parties with whom we work. These AI-specific risks include, among others, model poisoning attacks in which adversaries corrupt or manipulate training data to cause AI models to produce incorrect or biased outputs, adversarial input attacks designed to manipulate model outputs in ways that are difficult to detect and model extraction attacks in which competitors or other bad actors seek to reconstruct or steal proprietary AI models by probing their outputs. These risks are of particular relevance to our drug discovery activities, where compromised AI models could undermine target identification, compound screening or other critical research processes. Furthermore, the data used to train our AI models, which may include proprietary research data, licensed third-party data or data derived from patients or clinical studies, may itself be subject to privacy regulations, third-party intellectual property claims or contractual restrictions. If our use of such training data is found to be inconsistent with applicable law, license terms or data subject rights, we could face legal claims, regulatory action, ownership disputes or restrictions on our ability to use or further develop the affected AI models. Any of these effects could damage our reputation, result in the loss of valuable property and information, cause us to breach applicable laws and regulations and adversely impact our business. The integration of AI into our and third parties’ systems (potentially without the third party disclosing such use to us) subjects us to the risk that the providers of AI technologies may not meet existing or evolving legal, regulatory or industry standards relating to privacy, data protection, cybersecurity, intellectual property, product safety, human oversight or algorithmic accountability. Compliance with these requirements may require substantial investments in governance, documentation, monitoring, testing or operational controls, and may limit our ability to deploy or scale certain AI-enabled tools or features. If we do not adopt AI or other machine-learning technologies effectively or at an appropriate pace, we may also be less competitive relative to peers who do.</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regulation of AI is rapidly evolving worldwide as legislators and regulators are increasingly focused on these powerful emerging technologies. The technologies underlying AI and its uses are subject to a variety of laws, including intellectual property, privacy, data protection and cybersecurity, consumer protection, competition and equal opportunity laws, and are expected to be subject to increased regulation and new laws or new applications of existing laws. AI is the subject of ongoing review by various U.S. governmental and regulatory agencies, and various U.S. states and other foreign jurisdictions are applying, or are considering applying, their platform moderation, cybersecurity and data protection laws to AI or are considering general legal frameworks for AI. For example, in August 2024, the E.U. Artificial Intelligence Act (the “E.U. AI Act”), which establishes broad obligations for the development and use of AI-based technologies in the E.U. based on their potential risks and level of impact, came into force. The E.U. AI Act includes requirements around transparency, conformity assessments and monitoring, risk assessments, human oversight, security, accuracy, general purpose AI and foundation models, and provides for fines of up to the greater of €35 million or 7% of worldwide annual turnover for violations. Moreover, on July 7, 2025, the European Commission published draft GMP guidelines on the use of AI in manufacturing of medicinal products in the E.U. These guidelines exclude the use of generative AI, large language models (LLMs), dynamic AI models and AI models with probabilistic outputs from critical GMP functions.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over the past year, states have advanced, and in some cases passed, dozens of laws focusing on AI governance and regulation, including on deployment of AI technologies in healthcare settings. At the same time, the Trump Administration has endorsed a federal moratorium on the enforcement of state AI laws, including through an executive order on “Ensuring a National Policy Framework for Artificial Intelligence.” So far, these efforts have not been successful at curtailing state action on AI regulation, contributing to a complicated legislative patchwork, which may be litigated in state and federal courts. Moreover, the FDA has advanced guidance and proposed frameworks for regulating AI technologies in drug discovery, marketing submissions and medical device development.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anticipate how to respond to these rapidly evolving frameworks, and we may need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our healthcare technology and computational drug discovery Vants participate are competitive and our drug discovery efforts may not be successful in identifying new product candidates. If we do not compete effectively, our business and operating results could be adversely affected.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overall market for healthcare technologies and software is global, rapidly evolving, competitive and subject to changing technology and shifting customer focus. Our healthcare technology Vants, including Zest, which is building a medical dermatology platform, face competition from well-established providers of similar solutions, certain of which may have long-standing relationships with many of our current and potential customers, including large biopharmaceutical companies, payors, providers and other software and services vendors.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drug discovery efforts are centered on our discovery Vants, including PsiThera (formerly Psivant) and Covant, which employ a variety of approaches to the drug discovery process, including quantitative proteomics, induced proximity and covalency. As a company, we have relatively limited experience in drug discovery generally and with certain of the computational tools that are employed in those efforts. Our future success depends, in part, on our ability to successfully use these approaches and technologies to identify promising new product candidates and eventually advance those product candidates through preclinical studies and clinical trials. We have not yet succeeded and may not succeed in advancing any product candidates developed through these discovery efforts into clinical trials, demonstrating the efficacy and safety of such product candidates or obtaining regulatory approval thereafter. As a result, it is difficult to predict the time and cost of product candidate development from our discovery Vants and we cannot predict whether the application of these approaches will result in the development and regulatory approval of any products. The failure to advance these drug discovery efforts could materially affect our business, prospects, financial condition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our computational drug discovery efforts face competition from both established industry competitors and an increasing wave of competition in the in silico discovery and development worlds, including startups, large and mid-sized biopharmaceutical companies, large technology companies and others. Our computational drug discovery companies develop highly specific technologies designed to accelerate the process of drug discovery. We have no assurance that our technologies will perform as expected, and new and existing competitors from academia, the startup ecosystem or established biopharmaceutical companies may already have or will develop more performant technology. The field is growing rapidly and more and better funded competitors will continue to enter our markets and innovate.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healthcare technology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and may generally have more effective relationships with key healthcare stakeholders, including payors, providers, regulators and other software and services vendors, among others. If our competitors’ products, services or technologies are more capable or become more accepted than our solutions, if our competitors are successful in bringing their products or services to market earlier than we do or if our competitors are able to respond more quickly and effectively to new or changing opportunities, technologies or customer requirements than we can, then the business and prospects of these Vants could be adversely affected.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these competitors are involved in drug discovery (either themselves or with partners) and others develop software or other tools utilizing AI which can be used, directly or indirectly, in drug discovery. To the extent these other AI approaches to drug discovery prove to be more successful than our approaches, we may not be successful in identifying potential targets or attracting collaborators to work with us. Any of these risks, if encountered, could negatively impact our financial condition, results of operations and cash flows.</w:t>
      </w:r>
    </w:p>
    <w:p>
      <w:pPr>
        <w:spacing w:after="0" w:line="17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Cross-border transfers of personal data and compliance with international data protection regulations, including the GDPR, create legal and operational risks for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 clinical trials and other activities in the European Union and other jurisdictions that impose stringent data protection requirements. The GDPR imposes obligations with respect to the collection, storage, transfer and other processing of personal data relating to individuals in the E.U., including clinical trial participants, employees and other data subjects, and provides for fines of up to the greater of €20 million or 4% of total worldwide annual turnover for violations. The transfer of personal data from the E.U. to the U.S. and other countries is subject to specific legal mechanisms and ongoing legal uncertainty, including as a result of legal challenges to applicable transfer frameworks. In addition, the interaction between GDPR requirements and E.U. AI Act obligations, including requirements around the use of personal data in AI training and automated decision-making, creates further compliance complexity for our AI-enabled drug</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discovery and clinical operations. If we or our third-party processors fail to comply with applicable data protection laws, or if the legal mechanisms on which we rely for cross-border data transfers are invalidated or become unavailable, we could face regulatory enforcement, significant fines, restrictions on our data processing activities or other adverse consequences that could materially affect our operations and development programs.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FDA electronic records and data integrity requirements creates cybersecurity-adjacent regulatory risk that could adversely affect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biopharmaceutical company, we are subject to FDA regulations governing electronic records and electronic signatures, including 21 CFR Part 11, as well as data integrity expectations applicable to regulated clinical and manufacturing systems. These regulations require that electronic records used in connection with FDA-regulated activities be trustworthy, reliable and generally equivalent to paper records. A cyberattack, breach, system failure or unauthorized modification affecting our regulated electronic records or systems, or those of our CROs, CMOs or other third parties conducting regulated activities on our behalf, could compromise the integrity, authenticity or availability of required records in a manner that triggers FDA scrutiny, warning letters, clinical hold or other regulatory action. Remediation of data integrity findings can be time-consuming and costly, and in severe cases could result in delays to or rejection of regulatory submissions, invalidation of clinical data, or restrictions on our operations. We may not be able to prevent all such events, and the consequences of a data integrity failure in a regulated context could be disproportionately severe relative to the underlying cybersecurity incident.</w:t>
      </w:r>
    </w:p>
    <w:p>
      <w:pPr>
        <w:spacing w:after="0" w:line="184"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substantial liabilities, delay our planned or ongoing clinical trials and limit commercialization of our product candidates following regulatory approval.</w:t>
      </w:r>
    </w:p>
    <w:p>
      <w:pPr>
        <w:spacing w:after="0" w:line="159"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We face risks associated with product liability claims related to the use of our product candidates in clinical trials, future sales of our product candidates following regulatory approval or historical sales of approved products.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following regulatory approval. Even successful defense would require significant costs to defend litigation and a diversion of management’s time and resources. Regardless of the merits or eventual outcome, liability claims may result in a decreased or interrupted demand for our product candidates, if approved, injury to our reputation, withdrawal of clinical trial participants and inability to continue clinical trials, and initiation of investigation by regulators. Any successful liability claims could result in substantial monetary awards to trial participants or patients; product recalls, withdrawals, or labeling, marketing or promotional restrictions; loss of revenue; exhaustion of any available insurance and our capital resources; the inability to commercialize any product candidate following regulatory approval; and a decline in our share price. The new E.U. Product Liability Directive (Directive (E.U.) 2024/2853), came into force on December 8, 2024 and must be transposed by the E.U. Member States into national law by December 9, 2026. The Directive will apply to products placed on the market after that date. The new Directive modernizes the European product liability regime to address technological advancements, including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enabled devices, standalone software, continuous learning systems, cybersecurity risks and circular-economy business models. Importantly, whereas historically product liability claims were difficult for plaintiffs to prove in the E.U., the new Directive has been drafted with the intention of rebalancing the apportionment of risk in favor of plaintiffs.</w:t>
      </w: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have insurance coverage which extends to liabilities arising from our product candidates; however, there is no assurance that we will be able to maintain this insurance coverage on commercially reasonable terms or in adequate amounts or that this coverage will be sufficient to cover any losses arising from any claims related to those product candidates.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A successful product liability claim or series of claims brought against us</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adversely affect our results of operations and business, including preventing or limiting the commercialization of our product candidates following regulatory approval.</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or suppliers we engage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hurricanes, fires, outbreak of disease or other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Earthquakes, hurricanes, fires or other natural disasters could severely disrupt our operations, and have a material adverse effect on our business, results of operations, financial condition and prospects. If a natural disaster, power outage or other event occurs that prevents us from using all or a significant portion of our offices, that damages critical infrastructure, such as the manufacturing facilities of our third-party CMOs,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limited earthquake and flood insurance coverage,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 candidates and the diseases our product candidates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constituting prohibited promotion of prescription-only medicinal products if it reaches an EEA/U.K.-audience and could trigger enforcement and penalties. This is an area of increased scrutiny in both the EEA and the U.K.and trigger enforcements and penalties. This is an area of increased scrutiny in both the EEA and the U.K.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we may not be able to compete effectively in our markets.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and product candidates. Our success depends in large part on our ability to obtain and maintain patent protection in the U.S. and other countries with respect to our product candidates. We seek to protect our proprietary position by in-licensing or acquiring intellectual property and filing or working with our licensors to file patent applications in the U.S. and abroad related to our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 candidates, in whole or in part, and may not effectively prevent others from commercializing competitive products, or that an alteration to our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our product candidates may not be protected by patents in all jurisdictions. We generally apply for patents in those countries where we intend to make, have made, use, offer for sale or sell our product candidates following regulatory approval and where we assess the risk of infringement to justify the cost of seeking patent protection. However, we do not seek protection in all countries where we intend to sell product candidates following regulatory approval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 candidates in the U.S. or in other countries. We may also inadvertently make statements to regulatory agencies during the regulatory approval process that may be inconsistent with positions that have been taken during prosecution of our patents, which may result in such patents being narrowed, held unpatentable, invalidated or held unenforceable in enforcement and other adversarial proceedings.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product candidates in the U.S. or in other countries. Our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We cannot guarantee any current or future patents will provide us with any meaningful protection of our product candidates or other technology or competitive advantage. For example, any issued patents might not cover the pharmaceutical composition of the product candidate that is ultimately commercialized following regulatory approval. There is no assurance that all of the potentially relevant prior art relating to our patents and patent applications has been found, which can prevent a patent from issuing from a pending patent application or be used to invalidate an issued patent or otherwise find an issued patent to be unpatentable. The examination process may require us to narrow our claims, which</w:t>
      </w: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may limit the scope of patent protection that we may ultimately obtain. Even if patents do successfully issue and even if such patents cover our product candidates, third parties may challenge their patentability, validity, enforceability or scope, which may result in such patents being narrowly construed, invalidated or held unenforceable or unpatentable, any of which could limit our ability to prevent competitors and other third parties from developing and marketing similar products or product candidates or limit the length of terms of patent protection we may have for our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 candidates, or practicing our own patented technology, or impose a substantial royalty burden to do so. Any successful opposition to these patents or any other patents owned by or licensed to us could deprive us of rights necessary for the successful commercialization of product candidates following regulatory approval. Further, if we encounter delays in regulatory approvals, and we are not granted any patent term extension, the period of time during which we could market a product candidate under patent protection could be reduced. If any of our patents are challenged, invalidated, circumvented by third parties or otherwise limited or expire prior to the commercialization of our product candidates following regulatory approval, and if we do not own or have exclusive rights to other enforceable patents protecting our product candidates or other technologies, competitors and other third parties could market products or product candidates and use processes that are substantially similar to, or superior to, ours and our business would suffer.</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patent applications we own or have in-licensed with respect to our product candidates fail to issue, if their validity, patentability, enforceability, breadth or strength of protection is threatened, or if they fail to provide meaningful exclusivity for our product candidates, it could dissuade companies from collaborating with us to develop product candidates and threaten our ability to commercialize our product candidates following regulatory approval. Any such outcome could have a materially adverse effect on our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standards that the USPTO and its counterparts in other countries use to grant patents are not always applied predictably or uniformly. In addition, the laws of countries other than the U.S. may not protect our patent rights and other intellectual property rights to the same extent as the state and federal laws of the U.S., and many companies have encountered significant problems in protecting and defending such rights in such jurisdictions. For example, European patent law restricts the patentability of methods of treatment of the human body more than U.S. law does.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owned or licensed patent applications or issued patents. Furthermore,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or our licensors were the first to make the inventions claimed in our owned or in-licensed patents or pending patent applications, or that we or our licensors were the first to file for patent protection of such inventions. As a result, the issuance, scope, patentability,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patentability, validity or enforceability, and our owned and licensed patents may be challenged in the courts or patent offices in the U.S.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post-grant review or interference or derivation proceedings in the U.S. or in other jurisdictions challenging our patent rights or the patent rights of others. A third party may also claim that our owned or licensed patent rights are invalid or unenforceable in a litigation.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example, certain U.S. patents relating to lipid nanoparticle molar ratios and the aggregation of lipid nanoparticles that Genevant Sciences GmbH (“GSG”), as assignee of Genevant Sciences Ltd. (“Genevant”), exclusively licensed from Arbutus Biopharma Corp. (“Arbutus”) have previously been the subject of IPR proceedings brought by Moderna Therapeutics, Inc. (“Moderna”) before the Patent Trial and Appeal Board (“PTAB”), whose decisions were subsequently reviewed by the U.S. Court of Appeals for the Federal Circuit.</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outcome following legal assertions of unpatentability, invalidity and unenforceability is unpredictable. An adverse determination in any such submission, proceeding or litigation could reduce the scope of, or invalidate, our patent rights, allow third parties to commercialize our technology or product candidates and compete directly with us, without payment to us, result in our inability to manufacture or, following regulatory approval, commercialize product candidates without infringing third-party patent rights or result in our breach of agreements pursuant to which we license such rights to our collaborators or licensees. In addition, if the patentability, validity, breadth or strength of protection provided by our patents and patent applications is threatened, it could dissuade companies from collaborating with us to license, develop or commercialize product candidates. Such challenges may result in loss of exclusivity or in patent claims being narrowed, invalidated or held unenforceable or unpatentable, in whole or in part, which could limit our freedom to operate, our ability to stop others from using or commercializing similar or identical technology and product candidates, or the duration of the patent protection of our technology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they are unchallenged, our owned and in-licensed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 party may develop a competitive product that provides benefits similar to one or more of our product candidates but that falls outside the scope of our patent protection. Without patent protection, our product candidates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 candidates similar or identical to our own,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length of our patent terms may be inadequate to protect the competitive position of our product candidates for an adequate amount of time.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statutory expiration of a patent is generally 20 years from its earliest U.S. non-provisional filing date, without taking into account any possible patent term adjustment or extension and assuming payment of all appropriate maintenance, renewal, annuity or other governmental fees. In certain instances, the patent term may be adjusted to add additional days to compensate for delays incurred by the USPTO in issuing the patent. Also, the patent term may be extended for a period of time to compensate for at least a portion of the time a product candidate was undergoing FDA regulatory review. However, the life of a patent, and the protection it affords, are limited. Even if patents covering product candidates are obtained, once the patent life has expired, we may be open to competition from other products or product candidates, including generics or biosimilars. Given the amount of time required for the development, testing and regulatory review of new product candidates, patents protecting such product candidates might expire before or shortly after such candidates are commercialized. As a result, our owned and in-licensed patent portfolio may not provide us with sufficient rights to exclude others from commercializing product candidates similar or identical to our product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by extending the patent term, our business may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largely depend on our ability to obtain and maintain patent rights and other intellectual property rights in the U.S. and other countries with respect to our proprietary technology, product candidates and our target indications. Given the amount of time required for the development, testing and regulatory review of product candidates, patents protecting our product candidates might expire before or shortly after such candidate begins to be commercialized. We expect to seek extensions of patent terms in the U.S. and, if available, in other countries where we are prosecuting patents.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extend the remaining term of a patent beyond a total of 14 years from the date of product approval and is limited to only one patent that covers the approved product, the approved use of the product or a method of manufacturing the product. Patent term extension also may be available in certain foreign countries, including the E.U. where it is known as a Supplementary Protection Certificate, upon regulatory approval of our product candidates, based on similar legislation.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for a given product candidate.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17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underpayment or non-payment of fees and failure to properly legalize and submit formal documents within prescribed time limits. If we or our licensors fail to maintain the patents and patent applications covering our product candidates, our competitors might be able to enter the market earlier than anticipated, which would have an adverse effect on our business.</w:t>
      </w:r>
    </w:p>
    <w:p>
      <w:pPr>
        <w:spacing w:after="0" w:line="188"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in-licensed patents and other intellectual property rights in connection with our development of certain product candidates and, if we fail to comply with our obligations under our existing and any future intellectual property licenses with third parties, we could lose license rights that are important to our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develop and eventually, if approved, commercialize product candidates is dependent, and will continue to be dependent, on licenses to patent rights and other intellectual property granted to us by third parties. Further, development and, following regulatory approval, commercialization of our product candidates may require us to enter into additional license or collaboration agreements.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 candidates following regulatory approval. Termination of any of our license agreements or reduction or elimination of our licensed rights may also result in our having to negotiate new or reinstated licenses with less favorable terms. Additionally, biotechnology and pharmaceutical license agreements are complex and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could harm our business, financial condition, results of operations and prospects. For example, disputes may arise with respect to our current or future licensing agreement include disputes relating to:</w:t>
      </w:r>
    </w:p>
    <w:p>
      <w:pPr>
        <w:spacing w:after="0" w:line="162"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or product candidates may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enforce patent rights against third party infringers under the license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agreements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disputes over intellectual property that we have in-licensed prevent or impair our ability to maintain our current licensing arrangements on acceptable terms, we may be unable to successfully develop and, following regulatory approval, commercialize our product candidates. If our licenses are terminated, we may lose our rights to develop and market our technology and product candidates, lose patent protection for our product candidates and technology, experience significant delays in the development and, following regulatory approval, commercialization of our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subsidiary Immunovant has licensed certain intellectual property rights covering IMVT-1402 and batoclimab from HanAll. We and Immunovant depend, and will continue to depend, on the HanAll Agreement for the rights to develop, manufacture and commercialize certain product candidates. If, for any reason, the rights granted to Immunovant under the HanAll Agreement are terminated or Immunovant otherwise loses those rights, it would adversely affect our and Immunovant’s business. The HanAll Agreement also imposes, and any future collaboration agreements or license agreement we enter into are likely to impose, various development, commercialization, funding, milestone payment, royalty, diligence, sublicensing, insurance, patent prosecution and enforcement or other obligations on us or our Vants. For more information regarding the risks associated with the HanAll Agreement, please see the risk factor above entitled “Immunovant relies on the HanAll Agreement to provide the rights to the core intellectual property relating to IMVT-1402 and batoclimab. Any termination or loss of significant rights under the HanAll Agreement would adversely affect Immunovant’s development and commercialization of IMVT-1402 and batoclimab.”</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following regulatory approval, commercialization of certain of our product candidates. Moreover, if disputes over intellectual property that we license prevent or impair our ability to maintain other licensing arrangements on commercially acceptable terms, we may be unable to successfully develop and commercialize the affected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 In addition, in some circumstances, we may not have the right to control the preparation, filing and prosecution of patent applications, or to maintain or enforce the patents covering technology that our licensor licenses from third parties. Therefore, we cannot be certain that these or other patents will be prosecuted, maintained and enforced in a manner consistent with the best interests of our business. Additionally, we may not have sufficient ability to provide input into the patent prosecution, maintenance, enforcement and defense process with respect to such patents, and our licensors may fail to take the steps that we believe are necessary or desirable in order to obtain, maintain, enforce and defend the in-licensed patents. If our current or future licensors or collaboration partners fail</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obtain, maintain, defend, protect or enforce any patents or patent applications licensed to us, our rights to such patents and patent applications may be reduced or eliminated and our right to develop and, following regulatory approval, commercialize product candidates that are the subject of such licensed rights could be adversely affected.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certain of our current and future licenses may not provide us with exclusive rights to use the licensed intellectual property and technology or may not provide us with rights to use such intellectual property and technology in all relevant fields of use and in all territories in which we may wish to develop or commercialize our technology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IMVT-1402 or file or enforce patents relating to these assets in territories other than the U.S., Canada, Mexico, the E.U., the U.K., Switzerland, the Middle East, North Africa and Latin America, as such rights in other jurisdictions have been retained by HanAll or licensed by HanAll to third parties.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even if such litigation or administrative proceeding occurs in a territory in which we do not have a license. As a result, we may not be able to prevent competitors or other third parties from developing and commercializing competitive products, including in territories covered by our licenses.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misappropriation or other violations of third-party patents or other proprietary rights or seeking to invalidate our patents or other proprietary rights, may delay or prevent the development and commercialization of our product candidates.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and will continue to depend,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 candidates infringe their patents. We cannot be certain that we do not infringe existing patents or that we will not infringe patents that may be granted in the future.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IPR and post-grant review before the USPTO, as well as oppositions and similar processes in other 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 candidates. We could also be required to pay damages, which could be significant, including treble damages and attorneys’ fees if we are found to have wilfully infringed such patents.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any of our product candidates, the holders of any such patents may be able to block our ability to commercialize such product candidates following regulatory approval, unless we obtained a license under the applicable patents, or until such patents expire or are finally determined to be invalid or unenforceable or unpatentable. Similarly, if any third-party patent were held by a court of competent jurisdiction to cover aspects of our formulations, processes for manufacture or methods of use, including combination therapy, the holders of any such patent may be able to block our ability to develop and, following regulatory approval, commercialize the applicable product candidate, unless we obtained a license or until such patent expires or is finally determined to be invalid or unenforceable or unpatentable. In either case, such a license may not be available on commercially reasonable terms or at all. Claims that we have 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the rights in related or resulting know-how and inventions, which could be time-consuming and divert the attention of senior management.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following regulatory approval.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wilful infringement, obtain one or more licenses from third parties, pay royalties or redesign our affected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following regulatory approval,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product candidates, resulting in either an injunction prohibiting our sales, or, with respect to our sales, an obligation on our part to pay royalties and other forms of compensation to third parties.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 competitors have substantially greater financial and other resources. In addition, intellectual property litigation, regardless of its outcome, may cause negative publicity, adversely impact prospective customers, cause product shipment delays or prohibit us from manufacturing, marketing or otherwise commercializing our product candidates following regulatory approval. Any uncertainties resulting from the initiation and continuation of any litigation could adversely impact our ability to raise additional funds or otherwise harm our business, results of operation, financial condition or cash flows.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harm our ability to develop and, following regulatory approvals, market our product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or may be relevant to or necessary for the commercialization of our product candidates in any jurisdiction. Patent applications in the U.S.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U.S. remain confidential until patents issue. Therefore, patent applications covering our product candidates could have been filed by others without our knowledge. Additionally, pending patent applications that have been published can, subject to certain limitations, be later amended in a manner that could cover our product candidates, or the use thereof, provided such pending patent applications result in issued patents. Our ability to develop and market our product candidate following regulatory approval can be adversely affected in jurisdictions where such patents are issued.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following regulatory approval. We may incorrectly determine that our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and we may incorrectly conclude that a third-party patent is unpatentable, invalid or unenforceable. Our failure to identify and correctly interpret relevant patents may negatively impact our ability to develop and market our product candidates following regulatory approval.</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covering our product candidates or their methods of manufacture or use,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2022, Roivant’s subsidiary GSG and Roivant’s affiliate Arbutus filed a lawsuit in the U.S. District Court for the District of Delaware against Moderna and an affiliate seeking damages for infringement of certain patents, including U.S. Patent Nos. 8,492,359, 9,364,435, 9,504,651 and 11,141,378, in the manufacture and sale of MRNA-1273, Moderna’s vaccine for COVID-19 (the “Moderna Action”). In 2025, GSG and Arbutus filed five international lawsuits against Moderna targeting alleged infringing activity with respect to Moderna’s vaccine for COVID-19 in 30 countries (the “Moderna International Cases”). On March 3, 2026, GSG and, solely for certain purposes, Genevant, and Arbutus entered into a settlement agreement with Moderna Inc. and Moderna TX, Inc. (the “Settlement Agreement”) to resolve the Moderna Action and the Moderna International Cases. Under the Settlement Agreement, Moderna agreed to make a $950 million noncontingent lump sum payment to GSG and Arbutus on or before July 8, 2026. In addition, as described in more detail below, Moderna agreed to make an additional contingent lump sum payment of up to $1.3 billion (the “Contingent Payment”) to GSG and Arbutus, depending on the outcome of Moderna’s appeal of the District Court’s rejection of Moderna’s affirmative defense under 28 U.S.C. § 1498 (“§ 1498”). In March 2026, Moderna filed a notice of its appeal (the “§ 1498 Appeal”) with the U.S. Court of Appeals for the Federal Circuit (the “Federal Circuit”). Briefing of the § 1498 Appeal is expected to be completed in July 2026, with oral arguments before the Federal Circuit expected to take place in 2027.</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Settlement Agreement, Moderna will make the Contingent Payment to GSG and Arbutus (i) if the Federal Circuit affirms, or if there is a final non-appealable judgment that affirms, the rejection of Moderna’s affirmative defense pursuant to § 1498 by the District Court in its entirety or otherwise holds that § 1498 does not bar GSG’s and Arbutus’s claim against Moderna as to either or both of direct infringement and indirect infringement with respect to all of the doses subject to Moderna’s appeal, or (ii) upon a voluntary dismissal of Moderna’s appeal (any of the foregoing under (i) or (ii), a “GSG/Arbutus § 1498 Victory”).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receipt of the Contingent Payment is subject to a number of risks and uncertainties that could impact the amount and timing of any proceeds received by GSG and Arbutus. If the Federal Circuit determines that § 1498 bars GSG’s and Arbutus’s direct and indirect infringement claims with respect to all doses subject to Moderna’s appeal, no Contingent Payment will be owed to GSG and Arbutus. If § 1498 is found to bar claims only with respect to some of such doses, the Contingent Payment will be prorated and the precise amount of the Contingent Payment could be subject to dispute if the Federal Circuit’s ruling does not clearly articulate the number of affected doses, potentially requiring binding arbitration to resolve. We cannot predict the timing or outcome of the § 1498 Appeal. Even if GSG and Arbutus receive the Contingent Payment following a favorable appellate outcome, as described above, GSG and Arbutus would be required to return the Contingent Payment to Moderna, plus interest, if the favorable outcome were to be subsequently overturned in Moderna’s favor in a final non-appealable decision. The obligation to potentially return the Contingent Payment, together with interest, could have a material adverse effect on our consolidated financial condition if such a repayment obligation were to arise after the proceeds are deployed or distributed.</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 broadly, litigation settlement agreements involve inherent risks and uncertainties. For example, Moderna could default on, or otherwise fail to make, the Contingent Payment under certain circumstances. In addition, the terms of the Settlement Agreement represent a final resolution of the Moderna Action and the Moderna International Cases. GSG and Arbutus will have no further ability to seek additional damages from Moderna in connection with the licensed products and activities covered by the Settlement Agreement, even if circumstances change or additional infringing activities are discovered that fall within the scope of the license. The mutual releases contained in the Settlement Agreement extinguish claims that might otherwise have been available to GSG and Arbutus. In addition, the Settlement Agreement resolves only</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disputes between GSG and Arbutus, on the one hand, and Moderna and its affiliates, on the other, and does not affect other pending litigation, including the Pfizer Action described below, which remains ongoing and subject to its own risks and uncertainties.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GSG and Arbutus filed a lawsuit in the U.S. District Court for the District of New Jersey against Pfizer and BioNTech seeking damages for infringement of U.S. Patent Nos. 9,504,651, 8,492,359, 11,141,378, 11,298,320 and 11,318,098 in the manufacture and sale of COMIRNATY (the “Pfizer Action”). In July 2023, Pfizer and BioNTech filed an answer. The court held a claim construction hearing in the Pfizer Action in December 2024. In September 2025, the court issued its claim construction ruling, which construed the disputed claim terms in a manner that GSG generally considers to be favorable.</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Pfizer Action, will ultimately be resolved successfully. In particular, there is no assurance that the resolution of the Moderna Action will be predictive of the outcome of the Pfizer Action. Further, even if we prevail against an infringer in U.S. district court, there is always the risk that the infringer will file an appeal and the district court judgment will be overturned at the appeals court and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 party may also cause the third-party to bring counter claims against us such as claims asserting that our patents are unpatentable,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as well as for double-patenting. Grounds for an unenforceability assertion could be an allegation that someone connected with prosecution of the patent withheld relevant material information from the USPTO, or made a materially misleading statement, during prosecution or that inventorship of the patent was incorrectly named. Third parties may also raise similar validity or unpatentability claims before the USPTO in post-grant proceedings such as ex parte reexaminations, IPR or post-grant review, or oppositions or similar proceedings outside the U.S., in parallel with litigation or even outside the context of litigation. The outcome following legal assertions of unpatentability, invalidity and unenforceability is unpredictable. We cannot be certain that there is no invalidating prior art, of which we and the patent examiner were unaware during prosecution. For the patents and patent applications that we have in-licensed, we may have limited or no right to participate in the defense of any licensed patents against challenge by a third party. If a defendant were to prevail on a legal assertion of unpatentability, invalidity or unenforceability, we would lose at least part, and perhaps all, of any future patent protection on our product candidates. Such a loss of patent protection could harm our business. Additionally, any adverse outcome could allow third parties to commercialize our product candidates and compete directly with us, without payment to us, or result in our inability to manufacture or commercialize products, if approved, without infringing third-party patent rights.</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U.S. Any litigation or other proceedings to enforce our intellectual property rights may fail and, even if successful, may result in substantial costs and distract our management and other employees.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the Pfizer Action or any other such litigation or proceedings. Some of our competitors or other third parties may be able to sustain the costs of such litigation or proceedings more effectively than we can because of their greater financial resources. Because of the expense and</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many of the patents we own or have licensed are owned or licensed by our subsidiaries, and in certain cases by subsidiaries that are not or will not be directly commercializing products, if approved, we may not be in a position to obtain a permanent injunction against a third party that is found to infringe our patents.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patents that we own or have in-licensed are assigned to or licensed by our direct or indirect subsidiaries. For example, any patents that Immunovant has licensed are assigned to its wholly-owned subsidiary IMVT Corp. If a third party is found to be infringing such patents, we and our direct subsidiaries may not be able to permanently enjoin the third-party from making, using, offering for sale or selling the infringing product or activity for the remaining life of such patent in the U.S. or other jurisdictions when the patent is assigned to a subsidiary, which is not the entity that is or would be commercializing a potentially competitive product or service. In such a circumstance, such third-party may be able to compete with us or our subsidiaries, which could have a material adverse effect on our competitive position, business, financial condition, results of operations and prospects.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 candidates.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is the case with other biopharmaceutical companies, we depend and will continue to depend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U.S. or USPTO rules and regulations could increase the uncertainties and costs.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 has, in the past and more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and U.S. Court of Appeals for the Federal Circuit have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Any waiver of our patent or other intellectual property protection by the U.S. and other foreign governments, including with respect to GSG’s licensed lipid nanoparticle (“LNP”) delivery technology as used in connection with messenger RNA vaccine delivery, could have a material adverse effect on our competitive position, business, financial condition, results of operations and prospects.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or to challenge the patentability, validity or enforceability of patents owned by other parties. For example, the USPTO Director has recently exercised discretionary authority to raise the threshold for instituting IPR and other post-grant proceedings, which may make it more difficult for parties like us to challenge the patentability of patents owned or controlled by competitors through these proceedings.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U.S. and non-U.S. legislative bodies. Those changes may materially affect our patents or patent applications and our ability to obtain additional patent protection in the future.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acquired or in-licensed patent rights and technology for certain product candidates was funded in part by the U.S. federal government. As a result, the federal government may have certain rights to such patent</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 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 candidates embodying such inventions in the U.S.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third-party of its reserved rights could have a material adverse effect on our competitive position, business, financial condition, results of operations and prospects.</w:t>
      </w:r>
    </w:p>
    <w:p>
      <w:pPr>
        <w:spacing w:after="0" w:line="1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our product candidates or patents that cover our biologic product candidates can be challenged by third parties.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one of our product candidates is approved by the FDA and if a third party files an application under Section 505(b)(2) or an abbreviated new drug application (“ANDA”) under Section 505(j) for a generic product containing any of our product candidates and relies in whole or in part on studies conducted by or for us, the third party will be required to certify to the FDA that either: (1) there is no patent information listed in the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product. A certification under 21 CFR § 314.94(a)(12)(i)(A)(4) that the new product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 third party may challenge the current patents, or patents that may issue in the future, within our portfolio, which could result in the invalidation of some or all of the patents that might otherwise be eligible for listing in the Orange Book for one of our future products. If a third party successfully challenges all of the patents that might otherwise be eligible for listing in the Orange Book for one of our future products before an ANDA or 505(b)(2) NDA is filed we will be unable to obtain a 30-month stay of FDA approval of a 505(b)(2) or ANDA.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party’s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unsuccessful in enforcing our patents against generics or biosimilars, our future products could face competition prior to the expiration of the patents which cover such products, which could have a material adverse effect on</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U.S., or from selling or importing product candidates made using our inventions in and into the U.S. or other jurisdictions. Competitors may use our technologies in jurisdictions where we have not obtained patent protection to develop their own product candidates and may also export infringing product candidates to territories where we have patent protection, but enforcement is not as strong as that in the U.S. These product candidates may compete with our product candidates and our patents or other intellectual property rights may not be effective or sufficient to prevent them from competing.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have and may not obtain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 candidates and services that are the same as or similar to our product candidates and services, and our competitive position would be harmed.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biotechnology and pharmaceutical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or pharmaceutical product candidates, which could make it difficult for us to stop the infringement of our patents or marketing of competing product candidates in violation of our intellectual property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any trade secrets, our business and competitive position would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manufacturers, consultants, advisors and other third parties. We also enter into confidentiality and invention or patent assignment agreements with our employees and consultants.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we rely and expect to continue to rely on third parties to manufacture our product candidates, and we collaborate and expect to continue to collaborate with third parties on the development of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and information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Policing unauthorized use of our or our licensors’ intellectual property is difficult, expensive and time-consuming, and we may be unable to determine the extent of any unauthorized use or know whether the steps we have taken to protect our intellectual property will be effective. Moreover, enforcing a claim that a party illegally disclosed or misappropriated a trade secret is difficult, expensive and time-consuming, and the outcome is unpredictable. In addition, some courts inside and outside the U.S. are less willing or unwilling to protect trade secrets. The enforceability of confidentiality agreements may also vary from jurisdiction to jurisdiction.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third-party’s discovery of our trade secrets, including our proprietary software, would impair our competitive position and have an adverse impact on our business.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guarantee that we have entered into non-disclosure agreements, confidentiality agreements, material transfer agreements or consulting agreements with each party that may have or have had access to our trade secrets or proprietary software, technology and processes. Even if such agreements are in place, a court may find the agreements or certain provisions to be unenforceable or may limit their scope or duration in ways that fail to fully protect our trade secrets, proprietary software, technology, processes and other confidential information. Furthermore, any of these parties may breach the agreements and disclose our proprietary information, including our trade secrets and proprietary software, and we may not be able to obtain adequate remedies for such breaches. If any of our trade secrets, including our proprietary software, were to be lawfully obtained or independently developed by a competitor or other third-party, we would have no right to prevent them, or those to whom they communicate such information, from using that technology or information to compete with us. If any of our trade secrets, including our proprietary software, were to be disclosed to or independently developed by a competitor or other third-party, our competitive position would be harmed.</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consultants, independent contractors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in-licensed patents or patent applications.</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and product candidates and could result in our inability to develop, manufacture or commercialize our product candidates following regulatory approval without infringing third-party patent rights. Such intellectual property rights could be awarded to a third party, and we could be required to obtain a license from such third-party to commercialize our product candidates following regulatory approval.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and will continue to rely, on a combination of internally developed and in-licensed intellectual property rights and we or our licensors may be subject to claims that former employees, consultants, independent contractors,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independent contractors or other third parties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independent contractors and other third parties who may be involved in the development of intellectual property to execute agreements assigning such intellectual property to 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including the Pfizer Action,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pursue our commercialization efforts,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pursue our commercialization efforts, continue our</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continue our research programs, license necessary technology from third parties, or enter into development collaborations that would help us commercialize our product candidates following regulatory approval. Any of the foregoing could harm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by us, our early-stage discovery Vants and our healthcare technology businesses may introduce intellectual property risks.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use of AI by us, our early-stage discovery Vants and healthcare technology businesses may introduce intellectual property risks that may adversely affect our ability to protect and commercialize our innovations. As part of our business strategy, we and certain of our Vants integrate AI-driven technologies into various stages of research and development processes, including target identification, drug discovery, compound screening and clinical trial optimization. The use of generative AI algorithms, particularly those that autonomously generate data, models, or potential therapeutic candidates, raises unresolved legal questions about inventorship and ownership under current patent laws in the United States and other jurisdictions. Patent offices, including the USPTO, have yet to adopt a consistent framework for determining inventorship of AI-generated inventions. If we are unable to establish that our employees or systems meet the legal criteria for inventorship, we may be unable to secure patent protection for certain innovations developed using AI. Inability to protect such AI-generated inventions may diminish our competitive advantage and allow others to compete with us, harming our business. Obtaining and enforcing intellectual property protection for AI-generated outputs, such as product candidates or clinical trial designs, also presents risks to our business. If we are found to have used data in a manner inconsistent with applicable laws or agreements, we could face legal claims, ownership disputes, invalidation of our intellectual property rights or restrictions on the use of our AI models. For example, certain proprietary information, trade secrets or other confidential data may be uploaded to or processed by third-party AI platforms without our authorization or in violation of our policies, and we cannot assure that such platforms will maintain the confidentiality of any information submitted to them or that such information will not be used to train AI models, disclosed to third parties or accessed by unauthorized users, any of which could result in the loss of trade secret status or other competitive harm. If we become subject to significant intellectual property litigation or licensing restrictions based on our use of AI tools, our ability to achieve or sustain a successful business may be materially harmed. Our use of AI in these processes may involve several intellectual property risks that may materially impact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intellectual property rights to future product candidates through acquisitions and in-licenses.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and will continue to rely, on trademarks as one means to distinguish product candidates that are approved for marketing from the product candidates of our competitors. Our current and future trademark applications in the U.S.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Once granted, patents may remain open to invalidity challenges including opposition, interference, re-examination, post-grant review, IPR,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the granted claims may be finally determined to be unpatentable, invalid or unenforceable altogether.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if a third party has intellectual property rights that cover the practice of our technology, we may not be able to fully exercise or extract value from our intellectual property rights. The following examples are illustrative:</w:t>
      </w:r>
    </w:p>
    <w:p>
      <w:pPr>
        <w:spacing w:after="0" w:line="162" w:lineRule="exact"/>
        <w:rPr>
          <w:sz w:val="20"/>
          <w:szCs w:val="20"/>
          <w:color w:val="auto"/>
        </w:rPr>
      </w:pPr>
    </w:p>
    <w:p>
      <w:pPr>
        <w:ind w:left="66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formulations or compositions that are the same as or similar to our product candidates, but that are not covered by the claims of the patents that we own;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that we intend to commercialize that are not covered by the patents that we exclusively licensed and have the right to enforce;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 or any collaborators might not have been the first to make or reduce to practice the inventions covered by the issued patents or pending patent applications that we own or have exclusively licensed;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or any collaborators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 candidates or technologies could use the intellectual property of others without obtaining a proper license;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software utilized in our computational drug discovery efforts may include third-party open source software. Any failure to comply with the terms of one or more open source software licenses could adversely affect our business, subject us to litigation or create potential liability.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software utilized in our computational drug discovery efforts may include third-party open source software and we expect to continue to incorporate open source software in the future. The use or distribution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including patent rights and copyrights.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Use or distribution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 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We may also face claims alleging that the contractual terms of an open source license provide the licensor with an ownership interest in our developments made using software that incorporates the open source code. Any of these events</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could create liability for us and damage our reputation, which could have a material adverse effect on our competitive position,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performance does not meet market expectations, the price of our common shares may decline. In addition, the trading price of our common shares could be volatile and subject to wide fluctuations in response to various factors, some of which are beyond our control. Any of the factors listed below could have a material adverse effect on the price of our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common shares may include:</w:t>
      </w:r>
    </w:p>
    <w:p>
      <w:pPr>
        <w:spacing w:after="0" w:line="225" w:lineRule="exact"/>
        <w:rPr>
          <w:sz w:val="20"/>
          <w:szCs w:val="20"/>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and annual financial results or the quarterly and annual financial results of companies perceived to be similar to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 for a product candidate in one or more jurisdictions, or the failure to receive such marketing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preclinical studies conducted by us and the Vants;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the Vants or the biopharmaceutical industry and market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and the Vants’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or other claims or proceedings, including governmental and regulatory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shares available for public sale and the relatively limited free float of our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shares by directors, executive officers or significant shareholders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tariffs and trade conditions in the global economy, commodity prices, international currency fluctuations and acts of war or terrorism.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 price of our common shares also could adversely affect our ability to issue additional securities and our ability to obtain additional financing in the future.</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shares may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costly. If we or our auditors are unable to conclude that our internal control over financial reporting is effective, investors may lose confidence in our financial reporting and the trading price of our common shares may decline.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determined that our internal control over financial reporting was effective as of March 31, 2026, we cannot assure you that there will not be material weaknesses or significant deficiencies in our internal control over financial reporting in the future. Any failure to maintain internal control over financial reporting could adversely impact our ability to accurately and timely report our financial condition and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shares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Vants may need additional capital in the future to continue our operations. To the extent we raise additional capital by issuing equity securities, including in our subsidiaries, our shareholders may experience substantial dilution. We or the Vants may sell securities, including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2021 Equity Incentive Plan (the “2021 EIP”), we are authorized to grant options, restricted stock units and other share-based awards to our employees, directors and consultants. The aggregate number of shares reserved for issuance under the 2021 EIP increases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(the “evergreen increase”). In February 2026, our board of directors approved an evergreen increase for the fiscal year ending March 31, 2026, resulting in the number of shares available for issuance under the 2021 EIP plan increasing by an amount representing 5% of the common shares outstanding as of March 31, 2025 (having previously deferred this decision from March 31, 2025). The issuance of securities pursuant to this or future evergreen increases may result in additional dilution for our shareholders, potentially causing our share price to fall.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Issuance of options, restricted stock units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shares by us or our existing shareholders could cause the market price for our common shares to decline and impact our ability to raise capital in the future.</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our common shares by us or certain of our existing large shareholders, or the perception that these sales could occur, could substantially decrease the market price of our common shares. Shares held by</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large shareholders have been registered for re-sale pursuant to a registration statement on Form S-3 and may also be sold pursuant to Rule 144 under the Securities Act, subject to certain restrictions (including restrictions applicable to affiliates in the case of shares held by persons deemed to be our affiliates). The market price of our common shares could drop significantly if the holders of these shares sell them or are perceived by the market as intending to sell them. This, in turn, could also make it more difficult for us to raise additional funds through future offerings of our common shares or other securities at prices that are attractive to us,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publish negative evaluations of our shares, the price of our common shares could decline.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our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plans to pay cash dividends on our common shares for the foreseeable future, you may not receive any return on investment unless you sell our common shares for a price greater than that which you paid for it.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other corporate uses and have no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As a result, you may not receive any return on an investment in our common shares unless you sell your shares for a price greater than that which you paid for them.</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of association and bye-laws, as well as provisions of Bermuda law, could delay or prevent a change in control, limit the price investors may be willing to pay in the future for our common shares and could entrench management.</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memorandum of association and bye-laws contain provisions that could make it more difficult for a third party to acquire us without the consent of our board of directors. These provisions provide for:</w:t>
      </w:r>
    </w:p>
    <w:p>
      <w:pPr>
        <w:spacing w:after="0" w:line="162"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shareholder proposals and nominations and placing limitations on convening shareholder meetings.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provisions may make the removal of management more difficult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exempted company limited by shares incorporated under the laws of Bermuda and it may be difficult for you to enforce judgments against us or our directors and executive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U.S. and may afford less protection to our shareholders.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 and higher effective tax rates.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 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including as a result of the denial of treaty benefits that we may claim. Any such additional tax liability could materially adversely affect our results of operations.</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Bermuda and are centrally managed and controlled in the U.K. We currently have subsidiaries in the U.S., U.K., Switzerland and certain other jurisdictions. If any of our product candidates receives approval by applicable regulatory bodies, we expect to conduct increased operations through our subsidiaries in various countries and tax jurisdictions where such approvals have been granted, in part through intercompany service agreements between our subsidiaries and us. In that case, we anticipate that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and determinations are not binding on applicable taxing authorities. If taxing authorities in any jurisdiction were to successfully challenge our transfer pricing procedures and determinations as not reflecting arm’s length transactions between two or more affiliated companies, they could require such affiliated companies to adjust their transfer pricing procedures and determinations and thereby could require us to reallocate the income between such affiliated companies to reflect these revised transfer prices, which could result in a higher tax liability to us. In addition, if the jurisdiction from which the income is reallocated does not agree with the reallocation, both jurisdictions could tax the same income, resulting in double taxation. If taxing authorities were to allocate income to a higher tax jurisdiction, subject our income to double taxation or assess interest and penalties, it could increase our consolidated tax liability, which could adversely affect our financial condition, results of operations and cash flows.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determining our provision for income taxes. During the ordinary course of business, there are many transactions and calculations for which an ultimate tax determination is uncertain. As such, there can be no assurance that the relevant tax authorities will not assert that the actual tax treatment of such transactions differs from the intended tax treatment. As we operate in numerous countries and taxing jurisdictions, the application of tax laws can be subject to diverging and sometimes conflicting interpretations by tax authorities of these jurisdictions. It is not uncommon for taxing authorities in different jurisdictions to have conflicting views, for instance, with respect to, among other things, the manner in which the arm’s length standard is applied for transfer pricing purposes, or with respect to the valuation of intellectual property.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reduce our net income in future periods.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global tax authorities (including the U.K., Switzerland, the U.S., Bermuda and other jurisdictions), as well as being affected by certain changes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(i) the jurisdictions in which profits are determined to be earned and taxed; (ii) the resolution of issues arising from any future tax audits with various tax authorities; (iii) changes in the valuation of our deferred tax assets and liabilities; (iv) increases in expenses not deductible for tax purposes, including transaction costs and impairments of goodwill in connection with acquisitions; (v) changes in the taxation of stock-based compensation; (vi) changes in tax laws (including tax treaties) or the interpretation of such tax laws (including tax treaties)</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changes in U.S. generally accepted accounting principles; (vii) challenges to the transfer pricing policies related to our structure; (viii) potential taxation under the OECD BEPS 2.0; and (ix) potential limitation on tax attributes due to ownership changes (i.e. Internal Revenue Code 382 and 383) or expiration.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own 10% or more of the combined voting power or value of our common shares may be subject to U.S. federal income taxation on our undistributed earnings.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non-U.S. corporation is considered a “controlled foreign corporation” (“CFC”) if more than 50% of (i) the total combined voting power of all classes of stock of such corporation entitled to vote or (ii) the total value of the stock of such corporation, is 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for taxable years beginning before January 1, 2026, a portion of the CFC’s “global intangible low-taxed income” (commonly known as “GILTI”). The One Big Beautiful Bill Act provides for certain changes to this regime for taxable years beginning after December 31, 2025.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GILTI may include most of the remainder of a CFC’s income over a deemed return on its tangible assets, and “net CFC tested income” generally is similar to GILTI, but is computed without accounting for any such deemed return on a CFC’s tangible assets.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we were not classified as a CFC for the taxable year ended March 31, 2026. Regardless of whether we are a CFC, however, our non-U.S. subsidiaries will be classified as CFCs for the taxable year ended March 31, 2026 because our U.S. subsidiaries are treated as constructively owning the stock of such non-U.S. subsidiaries pursuant to a “downward attribution” rule (when not directly owned by a U.S. subsidiary). Following the enactment of the 2025 Tax Act, this rule generally will cease to apply to treat such non-U.S. subsidiaries as CFCs for taxable years beginning after December 31, 2025 other than in certain limited circumstances. Accordingly,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GILTI (or net CFC tested income in the case of taxable years to which the One Big Beautiful Bill Act applies)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 including as a result of the enactment of the 2025 Tax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if we own (directly or indirectly) at least 25% (by value) of the stock of another corporation, for purposes of determining whether we are a PFIC, generally we would be treated as if we held our proportionate share of the assets of such other corporation and received directly our proportionate share of the income of such other corporation and generally we would retain the character of such assets and income as if they were held directly by us rather than by such other corporation.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 Because our common shares should be considered to be “publicly traded” for the taxable year that ended on March 31, 2026, we would apply the 50% passive asset test using the fair market value of our assets. In addition, our status may also depend, in part, on how quickly we utilize our cash on-hand and cash from future financings in our business.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with respect to the taxable year that ended on March 31, 2026, we believe that we were not a PFIC based in part upon the fair market value of our assets, including any goodwill and intangible property and the nature and composition of our income and assets.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status as a PFIC is a fact-intensive determination made on an annual basis, which is subject to uncertainties, including but not limited to the fact that the value of our assets for purposes of the PFIC determination may be affected by the trading value of our common shares, which could fluctuate significantly. The total value of our assets for purposes of the PFIC asset test frequently (though not invariably) may be inferred using the market price of our ordinary shares, which may fluctuate considerably and thereby affect the determination of our PFIC status for future taxable years. Our U.S. counsel expresses no opinion with respect to our PFIC status for the current or future taxable years. We will endeavor to determine our PFIC status for each taxable year and make such determination available to U.S. holders.</w:t>
      </w:r>
    </w:p>
    <w:p>
      <w:pPr>
        <w:spacing w:after="0" w:line="18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Roivant’s corporate information security organization, led by our Chief Information Officer (“CIO”), is responsible for the overall information security strategy, policy, security engineering, operations and cybersecurity threat and incident detection and response centrally at Roivant and the majority of our Vants. Certain of our Vants, including Immunovant and our healthcare technology Vants, have established and maintain separate cybersecurity functions which are similarly designed to protect their information and assets from cybersecurity threats or incidents.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Roivant and the Vants’ information security organization manages a robust enterprise security structure with the goal of preventing and mitigating any cybersecurity incidents, while simultaneously working to continually increase information technology system resilience designed to minimize any business impact should a cybersecurity incident occur. Central to Roivant’s information security organization is our Cybersecurity Incident Response Team, which is responsible for the protection, detection and response capabilities used to protect our data and enterprise computing networks. The Cybersecurity Incident Response Team comprises members of our IT Security Operations function and is supported by third-party security partners providing managed detection, response and forensic capabilities. A Cybersecurity Steering Committee provides cross-functional leadership input and alignment for the cybersecurity program, ensuring security initiatives reflect organizational risk tolerance and business priorities and is responsible for escalating cybersecurity threats and incidents based on a defined severity framework. Threats and incidents assessed as having a moderate or higher potential business impact are escalated to senior management and reported to the Audit Committee of the board of directors.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Roivant and the Vants implement multiple levels of cybersecurity measures, including standard malware detection and prevention software, email security programs, vulnerability detection and remediation software, security patching management, security event logging and reviews and special isolation and access controls for data repositories that may contain sensitive information, including protected health information.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Roivant and the Vants’ cybersecurity programs are informed by recognized industry frameworks, including the National Institute of Standards and Technology Cybersecurity Framework (NIST CSF), and are designed to identify, protect against, detect, respond to and recover from cybersecurity threats. Our programs include periodic risk assessments and security testing supported by cybersecurity technologies, including third-party security solutions and vulnerability management and monitoring tools, designed to monitor, identify and manage risks from cybersecurity threats and incidents. Where applicable, our healthcare technology Vants maintain additional controls deisgned to align with HIPAA</w:t>
      </w: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requirements and other healthcare-specific regulatory obligations. In addition, we have implemented employee security and awareness training related to cybersecurity threats and incidents.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Roivant and the Vants undergo periodic internal compliance audits and external reviews to evaluate our controls, including cybersecurity controls. Additionally, a majority of our information technology systems are built on services provided by third parties. We operate a vendor risk management program under which third-party suppliers with access to our systems or data are assessed based on the sensitivity of the data or systems they access and the nature of their services. This tiered approach includes security assessments of vendor infrastructure, review of relevant certifications (such as SOC 2 Type II reports), and targeted questionnaires addressing specific risk areas, including the use and security of AI products. Vendors are subject to reassessment upon material changes to their services or upon identification of new risk factors. Findings from these assessments are reviewed by our information security organization and escalated as appropriate. Our control over and ability to monitor the security posture of third parties with whom we do business remains limited and there can be no assurance that we can prevent, mitigate or remediate the risk of any compromise or failure in the security infrastructure owned or controlled by such third parties. Additionally, any contractual protections with such third parties, including our right to indemnification, if any at all, may be limited or insufficient to prevent a negative impact on our business from any such compromise or failure.</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we did not experience any cybersecurity incidents that were determined to be material to our business, results of operations or financial condition. No previously reported cybersecurity incidents continue to have a material impact on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Roivant’s board of directors oversees our overall risk management strategy, including with respect to cybersecurity risks. Cybersecurity risk management policies and procedures are integrated into our overall risk management strategy, which is overseen by the audit committee of the board of directors (“Audit Committee”). At least annually, the Audit Committee receives a comprehensive briefing from our CIO covering our information security posture, key risk indicators, results of internal and external audits, and the status of ongoing cybersecurity initiatives. In addition, management provides updates to the Audit Committee on an as-needed basis when significant cybersecurity developments arise between scheduled reviews. The board of directors as a whole is informed of material cybersecurity matters through regular reporting from the Audit Committee.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management level, our CIO is primarily responsible for leading our cybersecurity strategy centrally at Roivant and the majority of our Vants. Our CIO has over 20 years of experience in information technology across biotechnology and other industries, holds a Bachelor of Science in Management Information Systems and an MBA in International Business. We also maintain a Security Operations team of experienced senior-level engineers who design, implement and operate our information technology ecosystem, helping to implement cybersecurity best practices throughout our infrastructure and governance processes. Members of this SecOps team have relevant security certifications including Certified Information Security Manager (“CISM”).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Immunovant and the healthcare technology Vants that have established and maintain separate cybersecurity functions, governance is similarly overseen in the first instance by the boards of directors of those Vants as part of their overall risk management strategy, with ultimate oversight on a company-wide basis by the Roivant board of directors.</w:t>
      </w:r>
    </w:p>
    <w:p>
      <w:pPr>
        <w:spacing w:after="0" w:line="1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7th Floor, 50 Broadway, London SW1H 0DB, United Kingdom. Our registered office is located at Clarendon House, 2 Church Street, Hamilton HM 11, Bermuda.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subsidiary Roivant Sciences, Inc. (“RSI”) leases 54,702 square feet of office space located in New York, New York, pursuant to a lease agreement (the “RSI Lease Agreement”) with One Penn Plaza LLC that expires in August 2041. The RSI Lease Agreement contains an option to early terminate in August 2036 and an option to extend the term for one additional period of five years or 10 years at then-market rates in August 2041. We do not own any properties.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subsidiaries’ leased facilities are in good condition and are well maintained and that our current arrangements will be sufficient to meet our needs for the foreseeable future and that any required additional space will be available on commercially reasonable terms to meet space requirements if they arise.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do not currently, however, expect any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pacing w:after="0" w:line="1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460" w:right="1020" w:hanging="1457"/>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“ROIV.”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12, 2026, there were 48 holders of record of our common shares. The actual number of holders of our common shares is greater than this number of record holders and includes shareholders who are beneficial owners but whose common shares are held in street name by banks, brokers and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our equity compensation plans in Item 12 of Part III of this Annual Report on Form 10-K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stock performance graph illustrates a comparison from October 1, 2021 (the date our common shares commenced trading on The Nasdaq Global Market) through March 31, 2026, of the total cumulative shareholder return on our common shares, The Nasdaq Composite Index and The Nasdaq Biotechnology Index. This graph assumes an initial investment of $100 on October 1, 2021 at the market closing price of $9.35 per share, and that all dividends were reinvested (although dividends have not been paid on our common shares). The comparisons in the graph are required by the SEC and are not intended to forecast or be indicative of possible future performance of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128270</wp:posOffset>
            </wp:positionV>
            <wp:extent cx="4732020" cy="2708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3202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 Performance Graph is “furnished” and not “filed” for purposes of Section 18 of the Exchange Act, or otherwise subject to the liabilities of that section, nor shall it be deemed to be “soliciting material” subject to Regulation 14A or incorporated by reference in any filing under the Securities Act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twelve months ended March 31, 2026, we repurchased 3,956,362 and 23,955,812 common shares, respectively, for $109.7 million and $314.9 million, respectively. As of March 31, 2026, we were authorized to repurchase up to $890.3 million of our common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common share repurchase transactions for the three months ended March 31,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May Yet</w:t>
            </w: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Be Purchased</w:t>
            </w:r>
          </w:p>
        </w:tc>
      </w:tr>
      <w:tr>
        <w:trPr>
          <w:trHeight w:val="215"/>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7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Program</w:t>
            </w:r>
            <w:r>
              <w:rPr>
                <w:rFonts w:ascii="Times New Roman" w:cs="Times New Roman" w:eastAsia="Times New Roman" w:hAnsi="Times New Roman"/>
                <w:sz w:val="23"/>
                <w:szCs w:val="23"/>
                <w:b w:val="1"/>
                <w:bCs w:val="1"/>
                <w:color w:val="auto"/>
                <w:w w:val="91"/>
                <w:vertAlign w:val="superscript"/>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the Program</w:t>
            </w:r>
            <w:r>
              <w:rPr>
                <w:rFonts w:ascii="Times New Roman" w:cs="Times New Roman" w:eastAsia="Times New Roman" w:hAnsi="Times New Roman"/>
                <w:sz w:val="23"/>
                <w:szCs w:val="23"/>
                <w:b w:val="1"/>
                <w:bCs w:val="1"/>
                <w:color w:val="auto"/>
                <w:w w:val="97"/>
                <w:vertAlign w:val="superscript"/>
              </w:rPr>
              <w:t>(2)</w:t>
            </w:r>
          </w:p>
        </w:tc>
      </w:tr>
      <w:tr>
        <w:trPr>
          <w:trHeight w:val="243"/>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3,535,907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3,535,907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3,956,362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3,956,362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right="140" w:hanging="328"/>
        <w:spacing w:after="0" w:line="282"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common shares purchased set forth in this column is based on the trade date of the repurchase transaction (not the settlement date of the repurchase transaction).</w:t>
      </w:r>
    </w:p>
    <w:p>
      <w:pPr>
        <w:spacing w:after="0" w:line="161"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 2024, we announced that our board of directors had authorized a common share repurchase program, allowing for repurchases of Roivant common shares in an aggregate amount of up to $1.5 billion (excluding fees and expenses). This share repurchase program was fully exhausted as of June 30, 2025. On June 25, 2025, we announced that our board of directors had authorized up to $500 million (excluding fees and expenses) in additional common share repurchases. On March 3, 2026, we announced that our board of directors authorized a further $500 million (excluding fees and expenses) in additional common share repurchases (in addition to the previously announced $500 million repurchase authorization from June 2025 and the $1.5 billion repurchase authorization from April 2024). The timing and total amount of common shares repurchased depends on several factors, including the market price of our common shares, general business, macroeconomic and market conditions and other investment opportunities. Share repurchases may be conducted through open market transactions, tender offers or privately negotiated transactions, including the use of trading plans under Rule 10b5-1 of the Securities Exchange Act of 1934, as amended. Please refer to Note 8, “Shareholders’ Equity” to Roivant’s consolidated financial statements included in this Annual Report on Form 10-K for additional information related to share repurchases. The table excludes fees and commissions payable in connection with common share repurchases.</w:t>
      </w:r>
    </w:p>
    <w:p>
      <w:pPr>
        <w:spacing w:after="0" w:line="151" w:lineRule="exact"/>
        <w:rPr>
          <w:sz w:val="20"/>
          <w:szCs w:val="20"/>
          <w:color w:val="auto"/>
        </w:rPr>
      </w:pPr>
    </w:p>
    <w:p>
      <w:pPr>
        <w:ind w:left="660" w:right="24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repurchase transactions set forth above, during the fiscal year ended March 31, 2026, we withheld 25,795,468 common shares associated with net share settlements to cover (i) tax withholding obligations upon the vesting and settlement of equity incentive awards issued under our equity incentive plans, including RSUs and CVARs and (ii) the payment of the exercise price of certain stock options.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Roivant’s financial condition and results of operations should be read in conjunction with Roivant’s consolidated financial statements and notes to those statements included elsewhere in this Annual Report on Form 10-K.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“Forward-Looking Statements” and “Risk Factors” in this Annual Report on Form 10-K. Our fiscal year ends on March 31 and our fiscal quarters end on June 30, September 30 and December 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Roivant is a biopharmaceutical company that aims to improve the lives of patients by accelerating the development and commercialization of medicines that matter. Roivant’s pipeline includes brepocitinib, a potent small molecule inhibitor of JAK1 and TYK2 currently under review at the FDA for the treatment of dermatomyositis and also in late stage development for the treatment of non-infectious uveitis, cutaneous sarcoidosis and lichen planopilaris; IMVT-1402, a fully human monoclonal antibody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primarily relates to amounts earned in connection with license agreements, as well as revenue generated by subscription and service-based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primarily relates to subscription and service-based revenue recognized for the use of technology developed and consists primarily of employee, hosting and third-party data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mainly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primarily include the following:</w:t>
      </w:r>
    </w:p>
    <w:p>
      <w:pPr>
        <w:spacing w:after="0" w:line="207" w:lineRule="exact"/>
        <w:rPr>
          <w:sz w:val="20"/>
          <w:szCs w:val="20"/>
          <w:color w:val="auto"/>
        </w:rPr>
      </w:pPr>
    </w:p>
    <w:p>
      <w:pPr>
        <w:jc w:val="both"/>
        <w:ind w:left="980" w:hanging="324"/>
        <w:spacing w:after="0" w:line="258" w:lineRule="auto"/>
        <w:tabs>
          <w:tab w:leader="none" w:pos="9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internal costs, including:</w:t>
      </w:r>
    </w:p>
    <w:p>
      <w:pPr>
        <w:spacing w:after="0" w:line="225"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share-based compensation and benefits, for research and development personnel; and</w:t>
      </w:r>
    </w:p>
    <w:p>
      <w:pPr>
        <w:spacing w:after="0" w:line="225"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related expenses that are not allocated to a specific program.</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will continue to be central to our business model. We anticipate that our research and development expenses will increase for the foreseeable future as we advance our product candidates with additional studies and our in-licensed assets through preclinical studies and clinical trials, as well as acquire or discover new product candidates.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of our product candidates will depend on a variety of factors that include, but are not limited to, the following:</w:t>
      </w:r>
    </w:p>
    <w:p>
      <w:pPr>
        <w:spacing w:after="0" w:line="162" w:lineRule="exact"/>
        <w:rPr>
          <w:sz w:val="20"/>
          <w:szCs w:val="20"/>
          <w:color w:val="auto"/>
        </w:rPr>
      </w:pPr>
    </w:p>
    <w:p>
      <w:pPr>
        <w:ind w:left="980" w:hanging="324"/>
        <w:spacing w:after="0" w:line="282" w:lineRule="auto"/>
        <w:tabs>
          <w:tab w:leader="none" w:pos="9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any future clinical trials of our product candidates and other research and development activities that we may conduct;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in clinical trial design and patient enrollment or drop out or discontinuation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leverage adequate CRO support for the conduct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appropriate safety and efficacy profile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and commercial manufacturing capabilities, or make arrangements with third-party manufacturers in order to ensure that we or our third-party manufacturers are able to make product successfully;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regulatory approval of our product candidates.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Consideration for the purchase of IPR&amp;D through asset acquisitions and license agreements may include cash upfront payments, shares and other liability instruments issued and the fair value of future contingent consideration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employee-related expenses, such as salaries, share-based compensation and benefits, for employees engaged in G&amp;A activities. G&amp;A employees include those responsible for the identification and acquisition or in-license of new drug candidates, as well as for managing Vant operations and facilitating the use of our platform and technologies at the Vants. G&amp;A expenses also consist of legal and accounting fees, consulting services and other operating costs relating to corporate matters and daily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G&amp;A expenses to increase in future periods to support our potential commercialization efforts. These increases will likely include additional costs related to the hiring of new personnel and fees to outside consultants, as well as other expenses. If any of our current or future product candidates receives regulatory approval in the U.S. or another jurisdiction, we expect that we would incur significantly increased expenses associated with building a sales and marketing team. Additionally, in July 2024, the Compensation Committee of the board of directors approved a multi-year incentive compensation program for each of Matthew Gline, Chief Executive Officer; Mayukh Sukhatme, President and Chief Investment Officer; and Eric Venker, President and Immunovant CEO. In July 2025, the Compensation Committee also approved a multi-year incentive compensation program for Frank Torti in connection with his appointment as an executive officer of the Company. Collectively, these compensation arrangements are referred to herein as the “Senior Executive Compensation Program.” The long-term equity incentive awards granted pursuant to this program will continue to result in significant share-based compensation expense over the vesting period of the awards. Refer to Note 9, “Share-Based Compensation and Other Compensation Plans” of our audited financial statements for further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Telavant net assets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Gain on sale of Telavant net assets reflects a gain resulting from the sale of our entire equity interest in our majority-owned subsidiary, Telavant Holdings, Inc. (“Telavant”), to Roche Holdings, Inc. (“Roche”) in December 2023 (the “Roche Transaction”) as well as a gain resulting from the achievement of a one-time milestone in June 2024. In December 2023, Roche acquired all of the issued and outstanding shares of capital stock of Telavant in exchange for approximately $7.1 billion in cash at the closing of the Roche Transaction and a one-time milestone payment of $150 million in cash, paid in August 2024 following the initiation of a Phase 3 trial in UC. Prior to the Roche Transaction, we held 75% of the issued and outstanding shares of common stock and preferred stock of Telavant, and Pfizer Inc. (“Pfizer”) owned the remaining 25%, in each case on an as-converted basis. The $7.1 billion in closing consideration and $150 million one-time milestone payment were paid to all of Telavant’s equity holders, including holders of Telavant restricted stock units, on a pro rata basis relative to their ownership of Telavant prior to the closing of the Roche Transaction. We recognized a gain on sale of Telavant net assets of $110.4 million for our pro rata portion of the one-time milestone consideration during the year ended March 31, 2025 and approximately $5.3 billion for the sale of our entire equity interest in Telavant during the year ended March 31, 2024. Refer to Note 5, “Recent Transactions and Developments” of our audited financial statements for further information regarding the Roche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litigation settlement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Gain on litigation settlement reflects a gain resulting from the settlement agreement (the “Settlement Agreement”) entered between our subsidiary, Genevant Sciences GmbH (“Genevant”), Arbutus Biopharma Corporation (together with Genevant, “Genevant/Arbutus”), and, solely for certain purposes, Genevant’s parent Genevant Sciences Ltd., and Moderna, Inc. and ModernaTx, Inc. (together, “Moderna”) in March 2026 to resolve all patent infringement litigation between Genevant/Arbutus and Moderna pending in the U.S. and internationally relating to Moderna’s unauthorized use of Genevant/Arbutus’ lipid nanoparticle (“LNP”) delivery technology in its vaccines, including SPIKEVAX. We recognized a gain on litigation settlement of $770.2 million during the year ended March 31, 2026 in the accompanying consolidated statements of operations for Genevant’s expected portion of the $950 million non-contingent, non-creditable, and non-refundable payment to be made by Moderna to Genevant and Arbutus on or before July 8, 2026 (the “Fixed Payment”). The allocation of this Fixed Payment is subject to adjustment upon final determination of actual litigation costs and expenses incurred. Refer to Note 5, “Recent Transactions and Developments” of our audited financial statements for further information regarding the Settlement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 in fair value of investments includes the unrealized (gain) loss on equity investments, including Arbutus Biopharma Corporation (“Arbutus”) and Heracles Parent, L.L.C. (“Datavant”). We have elected the fair value option to account for these investments.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liability instruments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liability instruments primarily includes the loss (gain) relating to the measurement and recognition of fair value on a recurring basis of certain liabilities, including the earn-out share liabilities (prior to vesting) (the “Earn-Out Shares”) and warrant liabilities (prior to their redemption) issued in connection with our business combination (the “Business Combination”) with Montes Archimedes Acquisition Corp. (“MAAC”), a special purpose acquisition company. Refer to Note 13, “Earn-Out Shares, Public Warrants and Private Placement Warrants” of our audited financial statements for further information regarding the redemption of our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subsidiaries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Gain on deconsolidation of subsidiaries resulted from the determination that we no longer had a controlling financial interest in certain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and consideration of the available facts and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(loss) from discontinued operations, net of tax consists of the gain on sale of subsidiary interests for the year ended March 31, 2025 resulting from the sale of our entire equity interest in our majority-owned subsidiary, Dermavant Sciences Ltd. (“Dermavant”), to Organon &amp; Co. (“Organon”) in October 2024 (the “Dermavant Transaction”) and the financial results of Dermavant through the closing of the Dermavant Transaction. Refer to Note 6, “Discontinued Operations” of our audited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interests consists of the portion of net loss of those consolidated entities that is not allocated to us. We record net loss attributable to noncontrolling interests equal to the noncontrolling interest’s proportionate share of the respective operations.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March 31, 2026,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March 31, 2026,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8"/>
          </w:tcPr>
          <w:p>
            <w:pPr>
              <w:ind w:left="70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260" w:type="dxa"/>
            <w:vAlign w:val="bottom"/>
          </w:tcPr>
          <w:p>
            <w:pPr>
              <w:spacing w:after="0"/>
              <w:rPr>
                <w:sz w:val="20"/>
                <w:szCs w:val="20"/>
                <w:color w:val="auto"/>
              </w:rPr>
            </w:pPr>
          </w:p>
        </w:tc>
        <w:tc>
          <w:tcPr>
            <w:tcW w:w="22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r>
      <w:tr>
        <w:trPr>
          <w:trHeight w:val="34"/>
        </w:trPr>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110,504</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w:t>
            </w:r>
          </w:p>
        </w:tc>
      </w:tr>
      <w:tr>
        <w:trPr>
          <w:trHeight w:val="284"/>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610,466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591,410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416,133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175,277</w:t>
            </w:r>
          </w:p>
        </w:tc>
      </w:tr>
      <w:tr>
        <w:trPr>
          <w:trHeight w:val="24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258,643</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(5,238,023)</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(515,068)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(1,003,294)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4,497,032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488,226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(5,500,326)</w:t>
            </w: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(103,159)</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(62,594)</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(111,950)</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(5,249,446)</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(5,276,117)</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688,177</w:t>
            </w:r>
          </w:p>
        </w:tc>
      </w:tr>
      <w:tr>
        <w:trPr>
          <w:trHeight w:val="283"/>
        </w:trPr>
        <w:tc>
          <w:tcPr>
            <w:tcW w:w="49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(356,734)</w:t>
            </w:r>
          </w:p>
        </w:tc>
        <w:tc>
          <w:tcPr>
            <w:tcW w:w="1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4,231,206</w:t>
            </w:r>
          </w:p>
        </w:tc>
        <w:tc>
          <w:tcPr>
            <w:tcW w:w="100" w:type="dxa"/>
            <w:vAlign w:val="bottom"/>
            <w:tcBorders>
              <w:top w:val="single" w:sz="8" w:color="CCEEFF"/>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10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(4,587,940)</w:t>
            </w: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(67,033)</w:t>
            </w:r>
          </w:p>
        </w:tc>
      </w:tr>
      <w:tr>
        <w:trPr>
          <w:trHeight w:val="27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(127,790)</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(4,520,907)</w:t>
            </w:r>
          </w:p>
        </w:tc>
      </w:tr>
      <w:tr>
        <w:trPr>
          <w:trHeight w:val="21"/>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Variance analysis for years ended March 31, 2026,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3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3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7"/>
        </w:trPr>
        <w:tc>
          <w:tcPr>
            <w:tcW w:w="3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decreased by $20.8 million to $8.3 million for the year ended March 31, 2026, compared to $29.1 million for the year ended March 31, 2025. Revenue decreased by $3.7 million to $29.1 million for the year ended March 31, 2025, compared to $32.7 million for the year ended March 31,</w:t>
      </w:r>
    </w:p>
    <w:p>
      <w:pPr>
        <w:jc w:val="both"/>
        <w:spacing w:after="0" w:line="260" w:lineRule="auto"/>
        <w:rPr>
          <w:sz w:val="20"/>
          <w:szCs w:val="20"/>
          <w:color w:val="auto"/>
        </w:rPr>
      </w:pPr>
      <w:r>
        <w:rPr>
          <w:rFonts w:ascii="Times New Roman" w:cs="Times New Roman" w:eastAsia="Times New Roman" w:hAnsi="Times New Roman"/>
          <w:sz w:val="18"/>
          <w:szCs w:val="18"/>
          <w:color w:val="auto"/>
        </w:rPr>
        <w:t>2024. During the years ended March 31, 2026, 2025 and 2024, revenue was primarily driven by amounts earned in connection with license agreements at Genevant.</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992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For the years ended March 31, 2026, 2025 and 2024, our research and development expenses consisted of the following:</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86"/>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4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2026 vs. 2025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r>
      <w:tr>
        <w:trPr>
          <w:trHeight w:val="283"/>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Program-specific costs:</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Anti-FcRn franchise—endocrine diseases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Anti-FcRn franchise—neurological diseases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52,164</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Anti-FcRn franchise—rheumatology diseases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w:t>
            </w: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Anti-FcRn franchise—dermatology diseases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Anti-FcRn franchise—other clinical and nonclinical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w:t>
            </w: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Anti-FcRn franchise—contractual costs related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batoclimab program discontinuation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Brepocitinib</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Mosliciguat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RVT-3101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r>
      <w:tr>
        <w:trPr>
          <w:trHeight w:val="277"/>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development and discovery programs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48,251</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57,729</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77"/>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program-specific costs</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428,870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78,538</w:t>
            </w:r>
          </w:p>
        </w:tc>
      </w:tr>
      <w:tr>
        <w:trPr>
          <w:trHeight w:val="256"/>
        </w:trPr>
        <w:tc>
          <w:tcPr>
            <w:tcW w:w="4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Unallocated internal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w:t>
            </w:r>
          </w:p>
        </w:tc>
      </w:tr>
      <w:tr>
        <w:trPr>
          <w:trHeight w:val="28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37,285</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8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681,812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550,413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110,504</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ind w:left="180" w:hanging="172"/>
        <w:spacing w:after="0" w:line="236" w:lineRule="auto"/>
        <w:tabs>
          <w:tab w:leader="none" w:pos="18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Certain prior period amounts have been reclassified to conform to current period presentation.</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8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For the year ended March 31, 2026, included terminated program expenses of $1.9 million for namilumab. For the year ended March 31, 2025, included terminated program expenses of $12.7</w:t>
      </w:r>
    </w:p>
    <w:p>
      <w:pPr>
        <w:spacing w:after="0" w:line="3" w:lineRule="exact"/>
        <w:rPr>
          <w:sz w:val="20"/>
          <w:szCs w:val="20"/>
          <w:color w:val="auto"/>
        </w:rPr>
      </w:pPr>
    </w:p>
    <w:p>
      <w:pPr>
        <w:ind w:left="340" w:right="280"/>
        <w:spacing w:after="0" w:line="278" w:lineRule="auto"/>
        <w:rPr>
          <w:sz w:val="20"/>
          <w:szCs w:val="20"/>
          <w:color w:val="auto"/>
        </w:rPr>
      </w:pPr>
      <w:r>
        <w:rPr>
          <w:rFonts w:ascii="Times New Roman" w:cs="Times New Roman" w:eastAsia="Times New Roman" w:hAnsi="Times New Roman"/>
          <w:sz w:val="14"/>
          <w:szCs w:val="14"/>
          <w:color w:val="auto"/>
        </w:rPr>
        <w:t>million for namilumab and $1.9 million for RVT-2001. For the year ended March 31, 2024, included terminated program expenses of $13.2 million for namilumab and $10.1 million for RVT-2001.</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$131.4 million to $681.8 million for the year ended March 31, 2026, compared to $550.4 million for the year ended March 31, 2025. This increase was primarily driven by an increase in program-specific costs of $101.1 million, personnel-related expenses of $21.6 million and share-based compensation of $8.1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of $101.1 million in program-specific costs was primarily driven by increases of $79.1 million related to the anti-FcRn franchise (of which $39.0 million related to contractual costs recognized in connection with the discontinuation of batoclimab), $16.3 million related to mosliciguat and $15.1 million related to brepocitinib.</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of $21.6 million in personnel-related expenses, which is an unallocated internal cost, was primarily driven by higher headcount to support additional clinical studies for the anti-FcRn franchise activities at Immunovant and brepocitinib at Priovant. The $8.1 million increase in share-based compensation expense was primarily driven by the Priovant Exchange Offer. Refer to Note 9, “Share-Based Compensation and Other Compensation Plans” of our financial statements for further details.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$110.5 million to $550.4 million for the year ended March 31, 2025, compared to $439.9 million for the year ended March 31, 2024. This increase was primarily driven by increases in program-specific costs of $78.5 million, personnel-related expenses of $22.9 million, share-based compensation of $7.4 million and other expenses of $1.7 million.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of $78.5 million in program-specific costs was primarily driven by increases of $91.1 million related to the anti-FcRn franchise, reflecting the progression of our programs, and $15.4 million related to mosliciguat, which was acquired during the year ended March 31, 2024. These increases were partially offset by a decrease in expense of $35.1 million related to RVT-3101, which was sold to Roche in December 2023.</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of $22.9 million in personnel-related expenses was primarily driven by higher personnel-related expenses at Immunovant as a result of higher headcount and enhancement of capabilities to support Immunovant’s strategic objectives as clinical activities progress. Included in personnel-related expenses is a special one-time cash retention bonus award granted to employees in December 2023 (the “Cash Bonus Program”). During the years ended March 31, 2025 and 2024, we recognized additional research and development expense of $5.8 million and $9.9 million, respectively, relating to the Cash Bonus Program.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i w:val="1"/>
                <w:iCs w:val="1"/>
                <w:color w:val="auto"/>
                <w:w w:val="99"/>
              </w:rPr>
              <w:t>Acquired in-process research and development expenses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3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4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4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p>
      <w:pPr>
        <w:spacing w:after="0" w:line="27" w:lineRule="exact"/>
        <w:rPr>
          <w:sz w:val="20"/>
          <w:szCs w:val="20"/>
          <w:color w:val="auto"/>
        </w:rPr>
      </w:pPr>
    </w:p>
    <w:p>
      <w:pPr>
        <w:ind w:left="180"/>
        <w:spacing w:after="0"/>
        <w:tabs>
          <w:tab w:leader="none" w:pos="3500" w:val="left"/>
        </w:tabs>
        <w:rPr>
          <w:sz w:val="20"/>
          <w:szCs w:val="20"/>
          <w:color w:val="auto"/>
        </w:rPr>
      </w:pPr>
      <w:r>
        <w:rPr>
          <w:rFonts w:ascii="Times New Roman" w:cs="Times New Roman" w:eastAsia="Times New Roman" w:hAnsi="Times New Roman"/>
          <w:sz w:val="18"/>
          <w:szCs w:val="18"/>
          <w:color w:val="auto"/>
        </w:rPr>
        <w:t>expenses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340" w:val="left"/>
          <w:tab w:leader="none" w:pos="1560" w:val="left"/>
          <w:tab w:leader="none" w:pos="1920" w:val="left"/>
          <w:tab w:leader="none" w:pos="2800" w:val="left"/>
          <w:tab w:leader="none" w:pos="3480" w:val="left"/>
          <w:tab w:leader="none" w:pos="4680" w:val="left"/>
          <w:tab w:leader="none" w:pos="5040" w:val="left"/>
          <w:tab w:leader="none" w:pos="58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26,450</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(26,450)</w:t>
      </w:r>
    </w:p>
    <w:p>
      <w:pPr>
        <w:spacing w:after="0" w:line="218" w:lineRule="exact"/>
        <w:rPr>
          <w:sz w:val="20"/>
          <w:szCs w:val="20"/>
          <w:color w:val="auto"/>
        </w:rPr>
      </w:pPr>
    </w:p>
    <w:p>
      <w:pPr>
        <w:sectPr>
          <w:pgSz w:w="11900" w:h="16838" w:orient="portrait"/>
          <w:cols w:equalWidth="0" w:num="2">
            <w:col w:w="4000" w:space="720"/>
            <w:col w:w="6520"/>
          </w:cols>
          <w:pgMar w:left="320" w:top="115" w:right="339" w:bottom="1440" w:gutter="0" w:footer="0" w:header="0"/>
          <w:type w:val="continuous"/>
        </w:sectPr>
      </w:pPr>
    </w:p>
    <w:p>
      <w:pPr>
        <w:spacing w:after="0" w:line="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were no acquired in-process research and development expenses for the years ended March 31, 2026 and 2025. Acquired in-process research and development expenses of $26.5 million for the year ended March 31, 2024 was driven by $14.0 million of consideration for the purchase of IPR&amp;D relating to the asset acquisition of mosliciguat completed by our subsidiary, Pulmovant, Inc. (“Pulmovant”) and $12.5 million relating to the achievement of development and regulatory milestones for batoclimab.</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6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610,466</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175,277</w:t>
            </w:r>
          </w:p>
        </w:tc>
      </w:tr>
      <w:tr>
        <w:trPr>
          <w:trHeight w:val="27"/>
        </w:trPr>
        <w:tc>
          <w:tcPr>
            <w:tcW w:w="3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$19.1 million to $610.5 million for the year ended March 31, 2026, compared to $591.4 million for the year ended March 31, 2025. This increase was primarily due to an increase in share-based compensation expense of $58.8 million, primarily due to the long-term equity incentive awards from the Senior Executive Compensation Program and incremental share-based compensation expense resulting from the Priovant Exchange Offer, an impairment loss of $17.1 million related to the relocation of the U.S. corporate headquarters of Roivant Sciences, Inc. and an increase of $9.1 million in professional fees, reflecting higher litigation-related costs incurred. These increases were partially offset by a decrease of $69.9 million in personnel-related expense, which largely resulted from higher expense for the year ended March 31, 2025 related to the one-time cash retention awards from the Senior Executive Compensation Program and the Cash Bonus Program (as defined below).</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$175.3 million to $591.4 million for the year ended March 31, 2025, compared to $416.1 million for the year ended March 31, 2024. This increase was primarily due to increases in share-based compensation expense of $84.6 million and personnel-related expenses of $79.6 million, largely as a result of long-term equity and one-time cash retention awards from the Senior Executive Compensation Program. Refer to Note 9, “Share-Based Compensation and Other Compensation Plans” of our audited financial statements for further information.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general and administrative expense relating to the one-time cash retention bonus award to its employees awarded during the year ended March 31, 2024 (the “Cash Bonus Program”) and Senior Executive Compensation Program is as follows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7"/>
            <w:vMerge w:val="restart"/>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Years Ended March 31,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vMerge w:val="continue"/>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Expense as</w:t>
            </w: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of March 31, 2026</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Bonus Program</w:t>
            </w:r>
          </w:p>
        </w:tc>
        <w:tc>
          <w:tcPr>
            <w:tcW w:w="106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Executive Compensation Program:</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awards</w:t>
            </w: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52,859</w:t>
            </w:r>
          </w:p>
        </w:tc>
        <w:tc>
          <w:tcPr>
            <w:tcW w:w="0" w:type="dxa"/>
            <w:vAlign w:val="bottom"/>
          </w:tcPr>
          <w:p>
            <w:pPr>
              <w:spacing w:after="0"/>
              <w:rPr>
                <w:sz w:val="1"/>
                <w:szCs w:val="1"/>
                <w:color w:val="auto"/>
              </w:rPr>
            </w:pPr>
          </w:p>
        </w:tc>
      </w:tr>
      <w:tr>
        <w:trPr>
          <w:trHeight w:val="283"/>
        </w:trPr>
        <w:tc>
          <w:tcPr>
            <w:tcW w:w="3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8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shd w:val="clear" w:color="auto" w:fill="CCEEFF"/>
          </w:tcPr>
          <w:p>
            <w:pPr>
              <w:spacing w:after="0"/>
              <w:rPr>
                <w:sz w:val="24"/>
                <w:szCs w:val="24"/>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172,885</w:t>
            </w: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Telavant net assets</w:t>
            </w: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2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8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(5,238,023)</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 on sale of Telavant net assets was $110.4 million for the year ended March 31, 2025 and $5.3 billion for the year ended March 31, 2024. The gain for the year ended March 31, 2025 resulted from the achievement of a one-time milestone in June 2024. The gain for the year ended March 31, 2024 resulted from the sale of our entire equity interest in Telavant to Roche in December 2023. Refer to Note 5, “Recent Transactions and Developments” of our audited financial statements for further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litigation settlement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6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8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 on litigation settlement was $770.2 million for the year ended March 31, 2026 and reflects Genevant’s expected portion of the Fixed Payment to be made by Moderna to Genevant and Arbutus as a result of the Settlement Agreement entered in March 2026. The allocation of this Fixed Payment is subject to adjustment upon final determination of actual litigation costs and expenses incurred. Refer to Note 5, “Recent Transactions and Developments” of our audited financial statements for further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20" w:type="dxa"/>
            <w:vAlign w:val="bottom"/>
            <w:gridSpan w:val="6"/>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4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3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(103,159)</w:t>
            </w:r>
          </w:p>
        </w:tc>
      </w:tr>
      <w:tr>
        <w:trPr>
          <w:trHeight w:val="27"/>
        </w:trPr>
        <w:tc>
          <w:tcPr>
            <w:tcW w:w="3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investments were unrealized gains of $105.0 million and $55.2 million for the years ended March 31, 2026 and 2025, respectively. The change of $49.9 million was primarily driven by changes in the public share price of Arbutus, as well as the change in fair value of our investment in Datavant, which was driven by growth in forecasted financial performance.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investments was an unrealized gain of $55.2 million and an unrealized loss of $48.0 million for the years ended March 31, 2025 and 2024, respectively. The change of $103.2 million was primarily driven by changes in the public share price of Arbutus, as well as the change in the fair value of our investment in Datavant. Refer to Note 4, “Equity Method Investments” of our audited financial statements for further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liability instruments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20" w:type="dxa"/>
            <w:vAlign w:val="bottom"/>
            <w:gridSpan w:val="6"/>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4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3"/>
        </w:trPr>
        <w:tc>
          <w:tcPr>
            <w:tcW w:w="3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(62,594)</w:t>
            </w:r>
          </w:p>
        </w:tc>
      </w:tr>
      <w:tr>
        <w:trPr>
          <w:trHeight w:val="27"/>
        </w:trPr>
        <w:tc>
          <w:tcPr>
            <w:tcW w:w="3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liability instruments was a loss of $47.7 million, a gain of $15.8 million and a loss of $46.8 million for the years ended March 31, 2026, 2025 and 2024, respectively. The change in fair value of liability instruments for the year ended March 31, 2026 consisted of a loss relating to the Earn-Out Shares issued as part of the Business Combination. The Earn-Out Shares vested during the year ended March 31, 2026. Accordingly, the Earn-Out Shares were remeasured upon their vesting, and these final remeasurements were recognized in the change in fair value of liability instruments. No further liability remains related to the Earn-Out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 in fair value of liability instruments for the year ended March 31, 2025 primarily consisted of a gain relating to the Earn-Out Shares issued as part of the Business Combination. Change in fair value of liability instruments for the year ended March 31, 2024 primarily consisted of losses relating to the warrants and Earn-Out Shares issued as part of the Business Combination. Refer to Note 13, “Earn-Out Shares, Public Warrants and Private Placement Warrants” of our audited financial statements for further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40" w:type="dxa"/>
            <w:vAlign w:val="bottom"/>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6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(111,950)</w:t>
            </w:r>
          </w:p>
        </w:tc>
      </w:tr>
      <w:tr>
        <w:trPr>
          <w:trHeight w:val="27"/>
        </w:trPr>
        <w:tc>
          <w:tcPr>
            <w:tcW w:w="3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decreased by $80.3 million to $178.1 million for the year ended March 31, 2026, compared to $258.4 million for the year ended March 31, 2025. This decrease is primarily due to lower cash equivalents and marketable securities balances in our interest-bearing accounts as well as lower interest rates.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by $112.0 million to $258.4 million for the year ended March 31, 2025, compared to $146.4 million for the year ended March 31, 2024. This increase is primarily due to higher cash balances in our interest-bearing cash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6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r>
      <w:tr>
        <w:trPr>
          <w:trHeight w:val="27"/>
        </w:trPr>
        <w:tc>
          <w:tcPr>
            <w:tcW w:w="3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increased by $85.2 million to $133.3 million for the year ended March 31, 2026, compared to $48.2 million for the year ended March 31, 2025. The increase was primarily due to income associated with the gain on litigation settlement. Refer to Note 5, “Recent Transactions and Developments” of our audited financial statements for additional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increased by $26.7 million to $48.2 million for the year ended March 31, 2025, compared to $21.5 million for the year ended March 31, 2024. The increase was primarily due to our fluctuating earnings by legal entity in various jurisdictions over the periods. As disclosed, the tax expense for the year ended March 31, 2024 was impacted by the gain on sale of Telavant’s net assets, which qualifies for the substantial shareholding exemption in the U.K. and consequently is not subject to the corporation income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p>
      <w:pPr>
        <w:spacing w:after="0" w:line="63" w:lineRule="exact"/>
        <w:rPr>
          <w:sz w:val="20"/>
          <w:szCs w:val="20"/>
          <w:color w:val="auto"/>
        </w:rPr>
      </w:pPr>
    </w:p>
    <w:tbl>
      <w:tblPr>
        <w:tblLayout w:type="fixed"/>
        <w:tblInd w:w="350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3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4"/>
        </w:trPr>
        <w:tc>
          <w:tcPr>
            <w:tcW w:w="1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2026 vs. 2025</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34"/>
        </w:trPr>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308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w:t>
      </w:r>
    </w:p>
    <w:p>
      <w:pPr>
        <w:spacing w:after="0" w:line="27" w:lineRule="exact"/>
        <w:rPr>
          <w:sz w:val="20"/>
          <w:szCs w:val="20"/>
          <w:color w:val="auto"/>
        </w:rPr>
      </w:pPr>
    </w:p>
    <w:p>
      <w:pPr>
        <w:ind w:left="20"/>
        <w:spacing w:after="0"/>
        <w:tabs>
          <w:tab w:leader="none" w:pos="3500" w:val="left"/>
        </w:tabs>
        <w:rPr>
          <w:sz w:val="20"/>
          <w:szCs w:val="20"/>
          <w:color w:val="auto"/>
        </w:rPr>
      </w:pPr>
      <w:r>
        <w:rPr>
          <w:rFonts w:ascii="Times New Roman" w:cs="Times New Roman" w:eastAsia="Times New Roman" w:hAnsi="Times New Roman"/>
          <w:sz w:val="18"/>
          <w:szCs w:val="18"/>
          <w:color w:val="auto"/>
        </w:rPr>
        <w:t>of tax</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340" w:val="left"/>
          <w:tab w:leader="none" w:pos="1140" w:val="left"/>
          <w:tab w:leader="none" w:pos="1920" w:val="left"/>
          <w:tab w:leader="none" w:pos="2640" w:val="left"/>
          <w:tab w:leader="none" w:pos="4200" w:val="left"/>
          <w:tab w:leader="none" w:pos="584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373,030</w:t>
        <w:tab/>
        <w:t>$</w:t>
      </w:r>
      <w:r>
        <w:rPr>
          <w:sz w:val="20"/>
          <w:szCs w:val="20"/>
          <w:color w:val="auto"/>
        </w:rPr>
        <w:tab/>
      </w:r>
      <w:r>
        <w:rPr>
          <w:rFonts w:ascii="Times New Roman" w:cs="Times New Roman" w:eastAsia="Times New Roman" w:hAnsi="Times New Roman"/>
          <w:sz w:val="18"/>
          <w:szCs w:val="18"/>
          <w:color w:val="auto"/>
        </w:rPr>
        <w:t>(315,147)  $</w:t>
      </w:r>
      <w:r>
        <w:rPr>
          <w:sz w:val="20"/>
          <w:szCs w:val="20"/>
          <w:color w:val="auto"/>
        </w:rPr>
        <w:tab/>
      </w:r>
      <w:r>
        <w:rPr>
          <w:rFonts w:ascii="Times New Roman" w:cs="Times New Roman" w:eastAsia="Times New Roman" w:hAnsi="Times New Roman"/>
          <w:sz w:val="18"/>
          <w:szCs w:val="18"/>
          <w:color w:val="auto"/>
        </w:rPr>
        <w:t>(373,030)  $</w:t>
      </w:r>
      <w:r>
        <w:rPr>
          <w:sz w:val="20"/>
          <w:szCs w:val="20"/>
          <w:color w:val="auto"/>
        </w:rPr>
        <w:tab/>
      </w:r>
      <w:r>
        <w:rPr>
          <w:rFonts w:ascii="Times New Roman" w:cs="Times New Roman" w:eastAsia="Times New Roman" w:hAnsi="Times New Roman"/>
          <w:sz w:val="17"/>
          <w:szCs w:val="17"/>
          <w:color w:val="auto"/>
        </w:rPr>
        <w:t>688,177</w:t>
      </w:r>
    </w:p>
    <w:p>
      <w:pPr>
        <w:spacing w:after="0" w:line="218" w:lineRule="exact"/>
        <w:rPr>
          <w:sz w:val="20"/>
          <w:szCs w:val="20"/>
          <w:color w:val="auto"/>
        </w:rPr>
      </w:pPr>
    </w:p>
    <w:p>
      <w:pPr>
        <w:sectPr>
          <w:pgSz w:w="11900" w:h="16838" w:orient="portrait"/>
          <w:cols w:equalWidth="0" w:num="2">
            <w:col w:w="4000" w:space="720"/>
            <w:col w:w="6520"/>
          </w:cols>
          <w:pgMar w:left="320" w:top="115" w:right="339" w:bottom="1440" w:gutter="0" w:footer="0" w:header="0"/>
          <w:type w:val="continuous"/>
        </w:sectPr>
      </w:pP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from discontinued operations, net of tax was $373.0 million for the year ended March 31, 2025 and reflects the gain on sale of subsidiary interests resulting from the sale of our entire equity interest in our majority-owned subsidiary, Dermavant, to Organon in October 2024, partially offset by Dermavant’s net losses. Loss from discontinued operations, net of tax was $315.1 million for the year ended March 31, 2024 and represents the financial results of Dermavant. Refer to Note 6, “Discontinued Operations” of our audited financial statements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years ended March 31, 2026, 2025 and 2024, we had net losses from continuing operations of $397.9 million and $729.8 million and had net income from continuing operations of approximately $4.5 billion, respectively. As of March 31, 2026, we had cash, cash equivalents and marketable securities of approximately $4.3 billion and our accumulated deficit was $501.8 million. We believe that our existing cash, cash equivalents and marketable securities will be sufficient to fund our operating expenses and capital expenditures for the foreseeable future. However, projections of future cash flows and operating expenses are inherently uncertain and subject to changes, as described under “Risk Factors” in Part I, Item 1A. of this Annual Report on Form 10-K. As a result, our existing cash, cash equivalents and marketable securities may not be sufficient to fund our operating expenses as anticipated, and we may need to raise additional capital to fund our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short-term and long-term liquidity requirements as of March 31, 2026 included obligations under our leases (see Note 11, “Leases” of our audited financial statements). As of March 31, 2026, our subsidiary, Immunovant, had an accumulated accrual of $42.5 million of non-cancelable contractual costs as a result of the discontinuation of batoclimab, of which $39.0 million was recognized as research and development expense during the year ended March 31, 2026. Beyond this, we do not currently have any other material contractually obligated minimum purchases or firm non-cancelable purchase commitments. We anticipate other purchases in the ordinary course of business and have other payment obligations as discussed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the achievement of specified development, regulatory and commercial milestones, and the amount, timing and likelihood of such payments are not known. We will also be required to make milestone payments and royalty payments in connection with the sale of products developed under these agreements.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Potential material future milestone and royalty payments as of March 31, 2026 pursuant to certain key asset acquisition and license agreements are as follows:</w:t>
      </w:r>
    </w:p>
    <w:p>
      <w:pPr>
        <w:spacing w:after="0" w:line="158" w:lineRule="exact"/>
        <w:rPr>
          <w:sz w:val="20"/>
          <w:szCs w:val="20"/>
          <w:color w:val="auto"/>
        </w:rPr>
      </w:pPr>
    </w:p>
    <w:p>
      <w:pPr>
        <w:ind w:left="980" w:right="340" w:hanging="324"/>
        <w:spacing w:after="0" w:line="286" w:lineRule="auto"/>
        <w:tabs>
          <w:tab w:leader="none" w:pos="9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Anti-FcRn franchise (Immunovant)</w:t>
      </w:r>
      <w:r>
        <w:rPr>
          <w:rFonts w:ascii="Times New Roman" w:cs="Times New Roman" w:eastAsia="Times New Roman" w:hAnsi="Times New Roman"/>
          <w:sz w:val="18"/>
          <w:szCs w:val="18"/>
          <w:color w:val="auto"/>
        </w:rPr>
        <w:t>: up to a maximum of $420.0 million to HanAll upon the achievement of certain regulatory and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 events and tiered mid-single-digits to mid-teens royalty on net sales.</w:t>
      </w:r>
    </w:p>
    <w:p>
      <w:pPr>
        <w:spacing w:after="0" w:line="154" w:lineRule="exact"/>
        <w:rPr>
          <w:rFonts w:ascii="Times New Roman" w:cs="Times New Roman" w:eastAsia="Times New Roman" w:hAnsi="Times New Roman"/>
          <w:sz w:val="18"/>
          <w:szCs w:val="18"/>
          <w:color w:val="auto"/>
        </w:rPr>
      </w:pPr>
    </w:p>
    <w:p>
      <w:pPr>
        <w:ind w:left="980" w:right="60" w:hanging="324"/>
        <w:spacing w:after="0" w:line="286" w:lineRule="auto"/>
        <w:tabs>
          <w:tab w:leader="none" w:pos="9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Brepocitinib (Priovant)</w:t>
      </w:r>
      <w:r>
        <w:rPr>
          <w:rFonts w:ascii="Times New Roman" w:cs="Times New Roman" w:eastAsia="Times New Roman" w:hAnsi="Times New Roman"/>
          <w:sz w:val="18"/>
          <w:szCs w:val="18"/>
          <w:color w:val="auto"/>
        </w:rPr>
        <w:t>: mid tens-of-millions sales milestone payment to Pfizer if aggregate net sales in a given year exceed a mid-hundreds-of-millions amount and tiered sub-teens royalty on net sales.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right="620" w:hanging="324"/>
        <w:spacing w:after="0" w:line="286" w:lineRule="auto"/>
        <w:tabs>
          <w:tab w:leader="none" w:pos="9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Mosliciguat (Pulmovant): </w:t>
      </w:r>
      <w:r>
        <w:rPr>
          <w:rFonts w:ascii="Times New Roman" w:cs="Times New Roman" w:eastAsia="Times New Roman" w:hAnsi="Times New Roman"/>
          <w:sz w:val="18"/>
          <w:szCs w:val="18"/>
          <w:color w:val="auto"/>
        </w:rPr>
        <w:t>up to a maximum of $280.0 million to Bayer upon the achievement of certain development, regulatory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milestone events and tiered high-single-digits royalty on net sales.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LNP Technology (Genevant): </w:t>
      </w:r>
      <w:r>
        <w:rPr>
          <w:rFonts w:ascii="Times New Roman" w:cs="Times New Roman" w:eastAsia="Times New Roman" w:hAnsi="Times New Roman"/>
          <w:sz w:val="18"/>
          <w:szCs w:val="18"/>
          <w:color w:val="auto"/>
        </w:rPr>
        <w:t>up to 20% of Royalty-Related Receipts (as defined in the Cross-License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further commitments not reflected above relating to other asset acquisition and license agreements entered and expect to enter into additional asset acquisition and license agreements in the future, which may require upfront payments and long-term commitments of capital resources.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enter into agreements with contract service providers to assist in the performance of our research and development activities. Expenditures to contract research organizations and contract manufacturing organizations represent significant costs in the clinical development of our product candidates. Subject to required notice periods and certain obligations under binding purchase orders, we can elect to discontinue the work under these agreements at any time. We expect to enter into additional collaborative research, contract research, manufacturing and supplier agreements in the future, which may require upfront payments and long-term commitments of capital resources.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authorized various share repurchase programs, including a $1.5 billion (excluding fees and expenses) program that was completed in June 2025 and a subsequent program authorized in June 2025 and subsequently increased in March 2026, allowing for aggregate repurchases up to $1.0 billion (excluding fees and expenses). As of March 31, 2026, approximately $890.3 million remains available for share repurchases. During the year ended March 31, 2026, we repurchased 24,225,812 shares (including 270,000 common shares with a trade date of March 31, 2025 that settled on April 1, 2025) for an aggregate purchase price of approximately $318.1 million (including fees and expenses). During the year ended March 31, 2025, we repurchased 128,361,786 shares for an aggregate purchase price of approximately $1.3 billion (including fees and expenses), including 71,251,083 shares repurchased from Sumitomo Pharma Co., Ltd. at $9.10 per share for approximately $648.4 million.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to date have been financed primarily through the sale of equity securities, sale of subsidiary interests, debt financings and revenue generated from licensing and collaboration arrangements, including the following completed during the years ended March 31, 2026,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RSL Equity Financing Transaction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2023, we entered into common share purchase and sale agreements with certain institutional investors, pursuant to which we sold an aggregate of 19,600,685 of our common shares at a purchase price of $10.21 per share. Net proceeds to us were approximately $199.8 million after deducting offering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Vant Equity Financing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Immunovant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2023, Immunovant completed an underwritten public offering of 8,475,500 shares of its common stock (including 1,526,316 shares of common stock purchased by us on the same terms as other investors in the offering and the full exercise of the underwriters’ option to purchase 1,105,500 additional shares of common stock) at a price to the public of $38.00 per share. Concurrent with the public offering, we purchased 4,473,684 shares of Immunovant’s common stock in a private placement exempt from the registration requirements of the Securities Act of 1933, as amended, at the same price per share as investors in the public offering of $38.00 per share. The net proceeds to Immunovant were approximately $466.7 million after deducting underwriting discounts and commissions, placement agent fees and offering expenses.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2025, Immunovant entered into a share purchase agreement pursuant to which Immunovant issued 22,500,000 shares of its common stock (including 16,845,010 shares of common stock purchased by us) at a price of $20.00 per share in a private placement exempt from the registration requirements of the Securities Act of 1933, as amended (the “IMVT PIPE”). The gross proceeds to Immunovant in the IMVT PIPE were approximately $450.0 million, of which $336.9 million related to our participation.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2025, Immunovant completed an underwritten offering of 26,200,000 shares of its common stock (including 16,666,666 shares of common stock purchased by us) at a price of $21.00 per share, for net proceeds to Immunovant of approximately $543.6 million after deducting underwriting discounts and offering expenses.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Subsidiary Interests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Dermavant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28, 2024, we completed the sale of our entire equity interest in our majority-owned subsidiary, Dermavant, to Organon.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Organon agreed to acquire Dermavant for aggregate cash consideration comprising (i) a payment of $175.0 million payable at the closing of the Dermavant Transaction, subject to certain adjustments, (ii) a $75.0 million milestone payment payable upon FDA approval of VTAMA (the “Product”) for the treatment of atopic dermatitis (the “AD Approval Milestone”) and (iii) up to $950.0 million in additional milestone payments payable upon achievement of certain tiered net sales amounts (each less than or equal to $1.0 billion) with respect to the Product. Additionally, Organon agreed to make tiered royalty payments of (x) low-to-mid single digit percentages with respect to annual net sales of the Product up to $1.0 billion and (y) 30% with respect to annual net sales of the Product above $1.0 billion. Such consideration and royalty payments are subject to certain post-closing adjustments and are payable to all of Dermavant’s equity holders, including holders of Dermavant restricted stock units, options and warrants, on a pro rata basis relative to their ownership of Dermavant prior to the closing of the Dermavant Transaction (in each case, after giving effect to the liquidation preference of Dermavant’s preference shares, all of which are held by us, and otherwise in accordance with the applicable terms of such securities). Under the liquidation preference of Dermavant’s preference shares, we are entitled to receive 100% of the first $270.0 million of consideration paid pursuant to the Merger Agreement. We received $183.6 million in cash in October 2024 upon the closing of the Dermavant Transaction, subject to certain post-closing adjustments that are not expected to be significant. The AD Approval Milestone was achieved in December 2024, and the Company received payment of the $75.0 million AD Approval Milestone in January 2025, pursuant to the terms of the Merger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contemplated by the Merger Agreement, in connection with the closing of the Dermavant Transaction, Dermavant repaid all amounts outstanding or otherwise payable (including accrued interest and all premiums and exit fees) pursuant to a senior secured credit facility (the “Credit Facility”), dated as of May 14, 2021 and amended as of May 24, 2024, by and among Dermavant, certain subsidiaries of Dermavant, XYQ Luxco S.A.R.L. and U.S. Bank Trust Company, National Association, and terminated the Credit Facility in accordance with its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closing of the Dermavant Transaction, all rights and obligations under each of (A) the Revenue Interest Purchase and Sale Agreement, dated as of May 14, 2021 and amended as of May 24, 2024, by and among Dermavant, Dermavant Sciences GmbH, XYQ Luxco S.A.R.L., NovaQuest Co-Investment Funds XVII, L.P., MAM Tapir Lender, LLC and U.S. Bank Trust Company, National Association and (B) the Funding Agreement, dated as of July 10, 2018 and amended as of May 24, 2024, by and among Dermavant, Dermavant Sciences GmbH and NovaQuest Co-Investment Fund VIII, L.P., were retained by Dermavant and its subsidiaries, which became indirect wholly owned subsidiaries of Organon. Refer to Note 6, “Discontinued Operations” of our audited financial statements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Proteovant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2023, we completed a transaction with SK Biopharmaceuticals Co., Ltd. (“SK Bio”), a subsidiary of SK, Inc., pursuant to which SK Bio purchased all of our shares in Proteovant in exchange for $47.5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Telavant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we completed the sale of our entire equity interest in our majority-owned subsidiary, Telavant, to Roche. The Roche Transaction was made pursuant to a Stock Purchase Agreement dated October 22, 2023 among us, Telavant, Pfizer and Roche. Telavant was jointly formed by us and Pfizer in November 2022 to develop and commercialize RVT-3101, an anti-TL1A antibody in development for ulcerative colitis (“UC”) and Crohn’s disease, in the U.S. and Japan. Prior to the Roche Transaction, we held 75% of the issued and outstanding shares of common stock and preferred stock of Telavant, and Pfizer owned the remaining 25%, in each case on an as-converted basis.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Stock Purchase Agreement, Roche acquired all of the issued and outstanding shares of capital stock of Telavant in exchange for approximately $7.1 billion in cash at the closing of the Roche Transaction in December 2023, as well as a one-time milestone payment of $150 million in cash, paid in August 2024 following the initiation of a Phase 3 trial in UC. The $7.1 billion in closing consideration and $150 million one-time milestone payment were paid to all of Telavant’s equity holders, including holders of Telavant restricted stock units, on a pro rata basis relative to their ownership of Telavant prior to the closing of the Roche Transaction. We received an upfront payment of approximately $5.2 billion in cash as our pro rata portion of the consideration upon closing of the Roche Transaction and a one-time milestone payment of approximately $110.4 million as our pro rata portion of the milestone payment following initiation of a Phase 3 trial in UC.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discovery efforts, preclinical activities, clinical trials and potential commercialization of our product candidates. Our operating results, including our net losses, may fluctuate significantly from quarter-to-quarter and year-to-year, depending on the timing of our planned clinical trials, our expenditures on other research and development activities and our commercialization efforts. We anticipate our expenses will increase substantially as we:</w:t>
      </w:r>
    </w:p>
    <w:p>
      <w:pPr>
        <w:spacing w:after="0" w:line="180" w:lineRule="exact"/>
        <w:rPr>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preclinical studies and clinical trials for our product candidates, which we are pursuing or may choose to pursue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manufacturing of drug substance and drug product of our product candidates in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develop and commercialize additional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activities related to the discovery of novel drugs and advancement of our internal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product candidates or technologies into a comprehensive regulatory and product development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under our agreements with third parties that will require us to make substantial payments to those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our sales, marketing and distribution infrastructure and scale up external manufacturing capabilities to commercialize any drug candidates for which we may obtain regulatory approval;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do not have a need for additional capital to continue our current operations as a result of our current liquidity position, we may in the future require additional capital to fund our operations, pursue business opportunities or strategic transactions or respond to challenges, competition or unforeseen circumstances. In that case, until such time, if ever, that we can generate substantial revenues, we may finance future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or strategic alliances or through marketing, distribution or licensing arrangements with third parties, we may have to relinquish valuable rights to our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if needed, or to pursue business opportunities, including potential acquisitions.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do not have a near-term need for additional capital as a result of our current liquidity position, we may in the future require additional capital, and if adequate funds are not available to us, in that case, we may be required to forego potential in-licensing or acquisition opportunities, delay, limit or terminate one or more development or discovery programs, or be unable to expand operations or otherwise capitalize on business opportunities, which could materially affect our business, prospects, financial condition and results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as part of our ongoing business strategy we regularly evaluate new acquisition and in-licensing opportunities, as well as our capital structure. We may from time to time use our existing cash to fund such opportunities or to return capital to shareholders through share repurchases or the issuance of cash dividends on our common shares to optimize our capital structure. See “Risk Factors—Risks Related to Our Business and Industry—We face risks associated with acquisitions, divestitures and other strategic transactions.” in Part I, Item 1A. of this Annual Report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ended March 31, 2026,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140" w:type="dxa"/>
            <w:vAlign w:val="bottom"/>
          </w:tcPr>
          <w:p>
            <w:pPr>
              <w:spacing w:after="0"/>
              <w:rPr>
                <w:sz w:val="20"/>
                <w:szCs w:val="20"/>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(750,349)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(765,268)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(682,333)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(1,766,291)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5,203,623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134,236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419,364</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2026, cash used in operating activities decreased by $89.1 million to $750.3 million compared to $839.5 million for the year ended March 31, 2025. This decrease was primarily due to certain cost savings during the year ended March 31, 2026 as a result of the sale of Dermavant along with lower cash compensation during the year ended March 31, 2026 as a result of higher one-time cash awards made pursuant to the Senior Executive Compensation Program during the year ended March 31, 2025. These decreases were partially offset by lower cash receipts from revenues in part as a result of the sale of Dermavant, less interest income received and greater cash requirements to advance our existing research and development programs, including the anti-FcRn franchise and brepocitinib, during the year ended March 31,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March 31, 2025, cash used in operating activities increased by $74.2 million to $839.5 million compared to $765.3 million for the year ended March 31, 2024, largely reflecting greater cash requirements to advance our research and development programs during the year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March 31, 2026, cash used in investing activities decreased by approximately $1.1 billion to $682.3 million compared to $1.8 billion for the year ended March 31, 2025. The decrease was primarily driven by increased proceeds from sales and maturities of marketable securities, partially offset by increased purchases of marketable securities during the year ended March 31,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March 31, 2025, cash flow from investing activities changed by approximately $7.0 billion to net cash used in investing activities of approximately $1.8 billion for the year ended March 31, 2025 from net cash provided by investing activities of $5.2 billion for the year ended March 31, 2024. This change in cash flow was primarily due to purchases of marketable securities, partially offset by maturities, during the year ended March 31, 2025 and the proceeds received upon closing of the Roche Transaction during the year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2026, cash flow from financing activities changed by approximately $1.4 billion to net cash provided by financing activities of $134.2 million for the year ended March 31, 2026 compared to net cash used in financing activities of $1.2 billion for the year ended March 31, 2025. This change was primarily due to a decrease in cash used for the repurchase of our common shares, an increase in cash proceeds from exercise of stock options and an increase in cash proceeds from the issuance of subsidiary common shares, net of issuance costs paid, during the year ended March 31, 2026.</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2025, cash flow from financing activities changed by approximately $1.6 billion to net cash used in financing activities of $1.2 billion for the year ended March 31, 2025 from net cash provided by financing activities of $419.4 million for the year ended March 31, 2024. During the year ended March 31, 2025, net cash used in financing activities was primarily driven by the repurchase of approximately $1.3 billion of our common shares, partially offset by the issuance of common shares of our majority-owned subsidiary Immunovant. During the year ended March 31, 2024, net proceeds were primarily generated by the issuance of common shares of our majority-owned subsidiary Immunovant as well as the issuance of our common shares pursuant to purchase and sale agreements entered into with certain institutional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(“U.S. GAAP”). The preparation of these financial statements requires us to make estimates, judgments and assumptions that affect the reported amounts of assets and liabilities, disclosures of contingencies as of the dates of the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“Summary of Significant Accounting Policies” in our consolidated financial statements included elsewhere in this Annual Report on Form 10-K, we believe that the following accounting policies are those most critical to the judgments and estimates used in the preparation of our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 Including Clinical Trial Accruals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We record accruals for estimated costs of research and development activities, including preclinical studies, clinical trials and contract manufacturing, conducted by third-party service providers. Our process for determining such estimates includes reviewing open contracts, vendor agreements and purchase orders; communicating with our internal personnel and external service providers to understand the progress or stage of completion of services performed on our behalf; and estimating the associated costs for these services when we have not yet been invoiced. We make estimates of our accrued expenses as of each balance sheet date in our financial statements based on facts and circumstances known to us at that time.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expenses related to clinical trials based on our estimates of the services received and efforts expended pursuant to contracts with multiple CROs that conduct and manage clinical trials on our behalf. The financial terms of these agreements are subject to negotiation and vary from contract to contract. This may result in uneven payment flows. There may be instances in which payments made to our vendors will exceed the level of services provided and result in a prepayment of the clinical expense. Payments under some of these contracts depend on various factors, including the successful enrollment of patients and the completion of clinical trial milestones. The majority of our service providers invoice us in arrears based on a pre-determined schedule or when contractual milestones are met. In making these estimates, we consider various factors, including status and timing of services performed, the number of patients enrolled and the rate of patient enrollment. If the actual timing of the performance of services or the level of effort varies from our estimate, the accrual or prepaid expense is adjusted accordingly.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examples of estimated accrued research and development expenses include fees paid to:</w:t>
      </w:r>
    </w:p>
    <w:p>
      <w:pPr>
        <w:spacing w:after="0" w:line="225" w:lineRule="exact"/>
        <w:rPr>
          <w:sz w:val="20"/>
          <w:szCs w:val="20"/>
          <w:color w:val="auto"/>
        </w:rPr>
      </w:pPr>
    </w:p>
    <w:p>
      <w:pPr>
        <w:ind w:left="960" w:hanging="30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in connection with clinical trials;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the production of product and clinical trial materials.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experienced significant changes in our estimates of accrued research and development expenses after a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 in Datavant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hold an equity method investment in Datavant, which is a privately-held company. We do not consolidate Datavant as we do not have a controlling financial interest. Our investment in Datavant is subject to the equity method of accounting, and we have elected the fair value option to continuously remeasure the investment to fair value each reporting period with changes in fair value reflected in earnings. We have engaged an independent valuation specialist to determine the fair value as of each reporting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our investment in Datavant uses significant unobservable inputs and is therefore classified as a Level 3 financial instrument. The estimate of fair value for this investment was determined using the income approach, market approach and implementation of the option pricing method (“OPM”). The income approach is based on the future expected cash flows, which are derived from certain assumptions attributable to Datavant including estimates of revenue growth rate, earnings before interest, taxes, depreciation and amortization and terminal growth rate. These expected cash flows are then discounted to their present value using a discount rate that reflects the risk and time value of money. The market approach estimates value by using valuation multiples derived from the stock prices of comparable publicly traded companies to determine the company’s equity value.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Updates (“ASU”) 2023-09, “Income Taxes (Topic 740): Improvements to Income Tax Disclosures,” which requires updates to the income tax disclosures related to the rate reconciliation and disaggregation of income taxes paid by jurisdiction. The amendments are effective for fiscal years beginning after December 15, 2024 and are applicable to our fiscal year beginning April 1, 2025, with early adoption permitted. The amendments should be applied prospectively, however retrospective application is permitted. We adopted this ASU prospectively for the fiscal year ended March 31, 2026. This resulted in expanded disclosures in line with the requirements of the ASU.</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2025-07, “Derivatives Scope Refinements and Scope Clarification for Share-Based Noncash Consideration from a Customer in a Revenue Contract”, which refines the scope of the guidance on derivatives in ASC 815 and clarifies the guidance on share-based payments from a customer in ASC 606. This guidance is effective for fiscal years and interim periods beginning after December 15, 2026, with early adoption permitted. These requirements may be applied prospectively or on a modified retrospective basis through a cumulative-effect adjustment to the opening balance of retained earnings. We early adopted this guidance during the quarter ended March 31, 2026. We applied the derivative scope refinements guidance on a modified retrospective basis and applied the share-based payments guidance on a prospective basis. The adoption of this guidance had no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primarily related to interest rate, foreign currency sensitivities and equity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approximately $4.3 billion. Our management team has broad discretion in respect of use of our cash, cash equivalents and marketable securities. The primary objective of our investment activities is to preserve capital to fund our operations. We may use all or a portion of such proceeds for one or more strategic transactions, including acquisitions of companies, asset purchases or the in-licensing of product candidates. We also seek to maximize income from our investments without assuming significant risk. To achieve our objectives, we maintain a portfolio of investments in a variety of securities of high credit quality and average short-term duration, according to our board-approved investment policy. Interest income is sensitive to changes in the general level of interest rates; however, due to the nature of our account portfolio, a hypothetical 10% change in interest rates would not have a material effect on our financial condition or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Sensitivity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employees and our operations are currently primarily located in the U.S., and our expenses are generally denominated in U.S. dollars. We therefore are not currently exposed to significant market risk related to changes in foreign currency exchange rates. However, we are exposed to fluctuations in foreign currency exchange rate risk as a result of entering into transactions denominated in currencies other than U.S. dollars as we have contracted with and may continue to contract with foreign vendors and counterparties. A hypothetical 10% change in exchange rates during any of the periods presented would not have a material effect on our financial condition or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were exposed to price risk on equity securities included in our portfolio of investments, the most significant of which were our investments in Arbutus and Datavant. Our investments in Arbutus and Datavant are measured at fair value with any changes in fair value recognized in our statements of operations, which therefore may increase the volatility of our earnings. A hypothetical 10% increase or decrease in the fair value of our investments in Arbutus and Datavant would have increased or decreased their fair value as of March 31, 2026 by approximately $40.8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60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660" w:type="dxa"/>
            <w:vAlign w:val="bottom"/>
          </w:tcPr>
          <w:p>
            <w:pPr>
              <w:spacing w:after="0"/>
              <w:rPr>
                <w:sz w:val="20"/>
                <w:szCs w:val="20"/>
                <w:color w:val="auto"/>
              </w:rPr>
            </w:pPr>
          </w:p>
        </w:tc>
      </w:tr>
      <w:tr>
        <w:trPr>
          <w:trHeight w:val="464"/>
        </w:trPr>
        <w:tc>
          <w:tcPr>
            <w:tcW w:w="95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Roivant Sciences Ltd.</w:t>
            </w:r>
          </w:p>
        </w:tc>
        <w:tc>
          <w:tcPr>
            <w:tcW w:w="1660" w:type="dxa"/>
            <w:vAlign w:val="bottom"/>
          </w:tcPr>
          <w:p>
            <w:pPr>
              <w:spacing w:after="0"/>
              <w:rPr>
                <w:sz w:val="24"/>
                <w:szCs w:val="24"/>
                <w:color w:val="auto"/>
              </w:rPr>
            </w:pPr>
          </w:p>
        </w:tc>
      </w:tr>
      <w:tr>
        <w:trPr>
          <w:trHeight w:val="238"/>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4"/>
        </w:trPr>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80" w:type="dxa"/>
            <w:vAlign w:val="bottom"/>
            <w:shd w:val="clear" w:color="auto" w:fill="CCEEFF"/>
          </w:tcPr>
          <w:p>
            <w:pPr>
              <w:spacing w:after="0"/>
              <w:rPr>
                <w:sz w:val="21"/>
                <w:szCs w:val="21"/>
                <w:color w:val="auto"/>
              </w:rPr>
            </w:pPr>
          </w:p>
        </w:tc>
        <w:tc>
          <w:tcPr>
            <w:tcW w:w="940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000000"/>
              </w:rPr>
              <w:t>42)</w:t>
            </w:r>
          </w:p>
        </w:tc>
        <w:tc>
          <w:tcPr>
            <w:tcW w:w="1660" w:type="dxa"/>
            <w:vAlign w:val="bottom"/>
            <w:shd w:val="clear" w:color="auto" w:fill="CCEEFF"/>
          </w:tcPr>
          <w:p>
            <w:pPr>
              <w:jc w:val="center"/>
              <w:ind w:left="970"/>
              <w:spacing w:after="0" w:line="202" w:lineRule="exact"/>
              <w:rPr>
                <w:sz w:val="20"/>
                <w:szCs w:val="20"/>
                <w:color w:val="auto"/>
              </w:rPr>
            </w:pPr>
            <w:r>
              <w:rPr>
                <w:rFonts w:ascii="Times New Roman" w:cs="Times New Roman" w:eastAsia="Times New Roman" w:hAnsi="Times New Roman"/>
                <w:sz w:val="18"/>
                <w:szCs w:val="18"/>
                <w:color w:val="auto"/>
              </w:rPr>
              <w:t>155</w:t>
            </w:r>
          </w:p>
        </w:tc>
      </w:tr>
      <w:tr>
        <w:trPr>
          <w:trHeight w:val="243"/>
        </w:trPr>
        <w:tc>
          <w:tcPr>
            <w:tcW w:w="180" w:type="dxa"/>
            <w:vAlign w:val="bottom"/>
            <w:tcBorders>
              <w:top w:val="single" w:sz="8" w:color="CCEEFF"/>
            </w:tcBorders>
          </w:tcPr>
          <w:p>
            <w:pPr>
              <w:spacing w:after="0"/>
              <w:rPr>
                <w:sz w:val="21"/>
                <w:szCs w:val="21"/>
                <w:color w:val="auto"/>
              </w:rPr>
            </w:pPr>
          </w:p>
        </w:tc>
        <w:tc>
          <w:tcPr>
            <w:tcW w:w="55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880" w:type="dxa"/>
            <w:vAlign w:val="bottom"/>
            <w:tcBorders>
              <w:top w:val="single" w:sz="8" w:color="CCEEFF"/>
            </w:tcBorders>
            <w:gridSpan w:val="5"/>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3"/>
        </w:trPr>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40" w:type="dxa"/>
            <w:vAlign w:val="bottom"/>
            <w:gridSpan w:val="9"/>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March 31, 2026 and 2025</w:t>
            </w:r>
          </w:p>
        </w:tc>
        <w:tc>
          <w:tcPr>
            <w:tcW w:w="1660" w:type="dxa"/>
            <w:vAlign w:val="bottom"/>
            <w:shd w:val="clear" w:color="auto" w:fill="CCEEFF"/>
          </w:tcPr>
          <w:p>
            <w:pPr>
              <w:jc w:val="center"/>
              <w:ind w:left="970"/>
              <w:spacing w:after="0" w:line="202" w:lineRule="exact"/>
              <w:rPr>
                <w:sz w:val="20"/>
                <w:szCs w:val="20"/>
                <w:color w:val="auto"/>
              </w:rPr>
            </w:pPr>
            <w:r>
              <w:rPr>
                <w:rFonts w:ascii="Times New Roman" w:cs="Times New Roman" w:eastAsia="Times New Roman" w:hAnsi="Times New Roman"/>
                <w:sz w:val="18"/>
                <w:szCs w:val="18"/>
                <w:color w:val="auto"/>
              </w:rPr>
              <w:t>158</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9"/>
          </w:tcPr>
          <w:p>
            <w:pPr>
              <w:ind w:left="20"/>
              <w:spacing w:after="0" w:line="202"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March 31, 2026, 2025 and 2024</w:t>
            </w:r>
          </w:p>
        </w:tc>
        <w:tc>
          <w:tcPr>
            <w:tcW w:w="1660" w:type="dxa"/>
            <w:vAlign w:val="bottom"/>
          </w:tcPr>
          <w:p>
            <w:pPr>
              <w:jc w:val="center"/>
              <w:ind w:left="970"/>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48"/>
        </w:trPr>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0000FF"/>
            </w:tcBorders>
            <w:gridSpan w:val="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9"/>
              </w:rPr>
              <w:t>Consolidated Statements of Comprehensive (Loss) Income for the Years Ended March 31, 2026, 2025 and 2024</w:t>
            </w:r>
          </w:p>
        </w:tc>
        <w:tc>
          <w:tcPr>
            <w:tcW w:w="1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970"/>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203"/>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9"/>
          </w:tcPr>
          <w:p>
            <w:pPr>
              <w:ind w:left="20"/>
              <w:spacing w:after="0" w:line="202" w:lineRule="exact"/>
              <w:rPr>
                <w:sz w:val="20"/>
                <w:szCs w:val="20"/>
                <w:color w:val="auto"/>
              </w:rPr>
            </w:pPr>
            <w:r>
              <w:rPr>
                <w:rFonts w:ascii="Times New Roman" w:cs="Times New Roman" w:eastAsia="Times New Roman" w:hAnsi="Times New Roman"/>
                <w:sz w:val="18"/>
                <w:szCs w:val="18"/>
                <w:color w:val="0000FF"/>
              </w:rPr>
              <w:t>Consolidated Statements of Shareholders’ Equity for the Years Ended March 31, 2026, 2025 and 2024</w:t>
            </w:r>
          </w:p>
        </w:tc>
        <w:tc>
          <w:tcPr>
            <w:tcW w:w="1660" w:type="dxa"/>
            <w:vAlign w:val="bottom"/>
          </w:tcPr>
          <w:p>
            <w:pPr>
              <w:jc w:val="center"/>
              <w:ind w:left="970"/>
              <w:spacing w:after="0" w:line="202" w:lineRule="exact"/>
              <w:rPr>
                <w:sz w:val="20"/>
                <w:szCs w:val="20"/>
                <w:color w:val="auto"/>
              </w:rPr>
            </w:pPr>
            <w:r>
              <w:rPr>
                <w:rFonts w:ascii="Times New Roman" w:cs="Times New Roman" w:eastAsia="Times New Roman" w:hAnsi="Times New Roman"/>
                <w:sz w:val="18"/>
                <w:szCs w:val="18"/>
                <w:color w:val="auto"/>
              </w:rPr>
              <w:t>161</w:t>
            </w:r>
          </w:p>
        </w:tc>
      </w:tr>
      <w:tr>
        <w:trPr>
          <w:trHeight w:val="48"/>
        </w:trPr>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0000FF"/>
            </w:tcBorders>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March 31, 2026, 2025 and 2024</w:t>
            </w:r>
          </w:p>
        </w:tc>
        <w:tc>
          <w:tcPr>
            <w:tcW w:w="2540" w:type="dxa"/>
            <w:vAlign w:val="bottom"/>
            <w:tcBorders>
              <w:bottom w:val="single" w:sz="8" w:color="CCEEFF"/>
            </w:tcBorders>
            <w:gridSpan w:val="3"/>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970"/>
              <w:spacing w:after="0" w:line="202" w:lineRule="exact"/>
              <w:rPr>
                <w:sz w:val="20"/>
                <w:szCs w:val="20"/>
                <w:color w:val="auto"/>
              </w:rPr>
            </w:pPr>
            <w:r>
              <w:rPr>
                <w:rFonts w:ascii="Times New Roman" w:cs="Times New Roman" w:eastAsia="Times New Roman" w:hAnsi="Times New Roman"/>
                <w:sz w:val="18"/>
                <w:szCs w:val="18"/>
                <w:color w:val="auto"/>
              </w:rPr>
              <w:t>162</w:t>
            </w:r>
          </w:p>
        </w:tc>
      </w:tr>
      <w:tr>
        <w:trPr>
          <w:trHeight w:val="203"/>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FF"/>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80" w:type="dxa"/>
            <w:vAlign w:val="bottom"/>
            <w:gridSpan w:val="7"/>
          </w:tcPr>
          <w:p>
            <w:pPr>
              <w:spacing w:after="0"/>
              <w:rPr>
                <w:sz w:val="17"/>
                <w:szCs w:val="17"/>
                <w:color w:val="auto"/>
              </w:rPr>
            </w:pPr>
          </w:p>
        </w:tc>
        <w:tc>
          <w:tcPr>
            <w:tcW w:w="1660" w:type="dxa"/>
            <w:vAlign w:val="bottom"/>
          </w:tcPr>
          <w:p>
            <w:pPr>
              <w:jc w:val="center"/>
              <w:ind w:left="970"/>
              <w:spacing w:after="0" w:line="202" w:lineRule="exact"/>
              <w:rPr>
                <w:sz w:val="20"/>
                <w:szCs w:val="20"/>
                <w:color w:val="auto"/>
              </w:rPr>
            </w:pPr>
            <w:r>
              <w:rPr>
                <w:rFonts w:ascii="Times New Roman" w:cs="Times New Roman" w:eastAsia="Times New Roman" w:hAnsi="Times New Roman"/>
                <w:sz w:val="18"/>
                <w:szCs w:val="18"/>
                <w:color w:val="auto"/>
              </w:rPr>
              <w:t>163</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Roivant Sciences Ltd.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Roivant Sciences Ltd. (the Company) as of March 31, 2026 and 2025, the related consolidated statements of operations, comprehensive (loss) income, shareholders’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31, 2026, based on criteria established in Internal Control-Integrated Framework issued by the Committee of Sponsoring Organizations of the Treadway Commission (2013 Framework) and our report dated May 20,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Accrual</w:t>
      </w:r>
    </w:p>
    <w:p>
      <w:pPr>
        <w:spacing w:after="0" w:line="65" w:lineRule="exact"/>
        <w:rPr>
          <w:sz w:val="20"/>
          <w:szCs w:val="20"/>
          <w:color w:val="auto"/>
        </w:rPr>
      </w:pPr>
    </w:p>
    <w:p>
      <w:pPr>
        <w:jc w:val="both"/>
        <w:ind w:left="1940" w:hanging="191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Description of the Matter </w:t>
      </w:r>
      <w:r>
        <w:rPr>
          <w:rFonts w:ascii="Times New Roman" w:cs="Times New Roman" w:eastAsia="Times New Roman" w:hAnsi="Times New Roman"/>
          <w:sz w:val="18"/>
          <w:szCs w:val="18"/>
          <w:color w:val="auto"/>
        </w:rPr>
        <w:t>As discussed in Note 2 to the consolidated financial statements, the Company accrues costs for clinical trial activities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estimates of the services received and related expenses incurred that have yet to be invoiced by contract research organizations. In making these estimates, the Company considers various factors, including status and timing of services performed, the number of patients enrolled and the rate of patient enrollment.</w:t>
      </w:r>
    </w:p>
    <w:p>
      <w:pPr>
        <w:spacing w:after="0" w:line="182" w:lineRule="exact"/>
        <w:rPr>
          <w:sz w:val="20"/>
          <w:szCs w:val="20"/>
          <w:color w:val="auto"/>
        </w:rPr>
      </w:pPr>
    </w:p>
    <w:p>
      <w:pPr>
        <w:jc w:val="both"/>
        <w:ind w:left="1940"/>
        <w:spacing w:after="0" w:line="256" w:lineRule="auto"/>
        <w:rPr>
          <w:sz w:val="20"/>
          <w:szCs w:val="20"/>
          <w:color w:val="auto"/>
        </w:rPr>
      </w:pPr>
      <w:r>
        <w:rPr>
          <w:rFonts w:ascii="Times New Roman" w:cs="Times New Roman" w:eastAsia="Times New Roman" w:hAnsi="Times New Roman"/>
          <w:sz w:val="18"/>
          <w:szCs w:val="18"/>
          <w:color w:val="auto"/>
        </w:rPr>
        <w:t>Auditing the Company’s accrual for certain clinical trial costs requires a greater extent of audit effort due to the fact that information necessary to estimate the accruals is accumulated from clinical research organizations and the Company’s assessment of that information is subject to variability and uncertainty. In addition, in certain circumstances, the determination of the nature and amount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spacing w:after="0" w:line="239" w:lineRule="exact"/>
        <w:rPr>
          <w:sz w:val="20"/>
          <w:szCs w:val="20"/>
          <w:color w:val="auto"/>
        </w:rPr>
      </w:pPr>
    </w:p>
    <w:p>
      <w:pPr>
        <w:ind w:left="2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internal controls that addressed the</w:t>
      </w:r>
    </w:p>
    <w:p>
      <w:pPr>
        <w:spacing w:after="0" w:line="29" w:lineRule="exact"/>
        <w:rPr>
          <w:sz w:val="20"/>
          <w:szCs w:val="20"/>
          <w:color w:val="auto"/>
        </w:rPr>
      </w:pPr>
    </w:p>
    <w:p>
      <w:pPr>
        <w:jc w:val="both"/>
        <w:ind w:left="1940" w:hanging="1916"/>
        <w:spacing w:after="0" w:line="255"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identified risks related to the information used in the Company’s process for recording clinical trial accruals. For example, we tested controls over management’s review of clinical trial progress in comparison to information and invoices received from third parties, and over the completeness and accuracy of data used to calculate the accrual.</w:t>
      </w:r>
    </w:p>
    <w:p>
      <w:pPr>
        <w:spacing w:after="0" w:line="186" w:lineRule="exact"/>
        <w:rPr>
          <w:sz w:val="20"/>
          <w:szCs w:val="20"/>
          <w:color w:val="auto"/>
        </w:rPr>
      </w:pPr>
    </w:p>
    <w:p>
      <w:pPr>
        <w:jc w:val="both"/>
        <w:ind w:left="1940"/>
        <w:spacing w:after="0" w:line="254" w:lineRule="auto"/>
        <w:rPr>
          <w:sz w:val="20"/>
          <w:szCs w:val="20"/>
          <w:color w:val="auto"/>
        </w:rPr>
      </w:pPr>
      <w:r>
        <w:rPr>
          <w:rFonts w:ascii="Times New Roman" w:cs="Times New Roman" w:eastAsia="Times New Roman" w:hAnsi="Times New Roman"/>
          <w:sz w:val="18"/>
          <w:szCs w:val="18"/>
          <w:color w:val="auto"/>
        </w:rPr>
        <w:t>To test the clinical trial accrual, our audit procedures included, among others, reading a sample of the Company’s agreements with the service providers to understand key financial and contractual terms and testing the accuracy and completeness of the underlying data used in the accrual computations. We also evaluated management’s estimates of the vendor’s progress for a sample of clinical trials by making direct inquiries of the Company’s operations personnel overseeing the clinical trials and obtaining information directly from certain service providers about the service providers’ estimate of costs that had been incurred through March 31, 2026.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3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 in Datavant</w:t>
      </w:r>
    </w:p>
    <w:p>
      <w:pPr>
        <w:spacing w:after="0" w:line="65" w:lineRule="exact"/>
        <w:rPr>
          <w:sz w:val="20"/>
          <w:szCs w:val="20"/>
          <w:color w:val="auto"/>
        </w:rPr>
      </w:pPr>
    </w:p>
    <w:p>
      <w:pPr>
        <w:jc w:val="both"/>
        <w:ind w:left="1940" w:hanging="191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Description of the Matter </w:t>
      </w:r>
      <w:r>
        <w:rPr>
          <w:rFonts w:ascii="Times New Roman" w:cs="Times New Roman" w:eastAsia="Times New Roman" w:hAnsi="Times New Roman"/>
          <w:sz w:val="18"/>
          <w:szCs w:val="18"/>
          <w:color w:val="auto"/>
        </w:rPr>
        <w:t>At March 31, 2026, the fair value of the Company’s minority equity investment in Heracles Parent, L.L.C. (“Datavant”)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$233.2 million and was classified as Level 3 within the fair value hierarchy. As discussed in Notes 4 and 14 to the consolidated financial statements, the Company has elected the fair value option to account for its investment in Datavant. Management determines the fair value of the Company’s investment in Datavant using the income approach, market approach, and implementation of the option pricing method, which uses significant unobservable inputs. Determining the fair value of the Company’s investment in Datavant requires management to make significant judgments about the valuation methodologies, including the unobservable inputs and other assumptions and estimates used in the measurements.</w:t>
      </w:r>
    </w:p>
    <w:p>
      <w:pPr>
        <w:spacing w:after="0" w:line="239" w:lineRule="exact"/>
        <w:rPr>
          <w:sz w:val="20"/>
          <w:szCs w:val="20"/>
          <w:color w:val="auto"/>
        </w:rPr>
      </w:pPr>
    </w:p>
    <w:p>
      <w:pPr>
        <w:jc w:val="both"/>
        <w:ind w:left="1940"/>
        <w:spacing w:after="0" w:line="258" w:lineRule="auto"/>
        <w:rPr>
          <w:sz w:val="20"/>
          <w:szCs w:val="20"/>
          <w:color w:val="auto"/>
        </w:rPr>
      </w:pPr>
      <w:r>
        <w:rPr>
          <w:rFonts w:ascii="Times New Roman" w:cs="Times New Roman" w:eastAsia="Times New Roman" w:hAnsi="Times New Roman"/>
          <w:sz w:val="18"/>
          <w:szCs w:val="18"/>
          <w:color w:val="auto"/>
        </w:rPr>
        <w:t>Auditing the fair value of the Company’s investment in Datavant is especially complex and requires substantial auditor judgment due to the significant estimation required in determining the fair value of the investment in Datavant. In particular, to value its investment in Datavant, the Company used significant unobservable inputs such as the discount rate, revenue growth rate, earnings before interest, taxes, depreciation and amortization and terminal growth rate, which are affected by expectations about future market or economic conditions.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 process for</w:t>
      </w:r>
    </w:p>
    <w:p>
      <w:pPr>
        <w:spacing w:after="0" w:line="29" w:lineRule="exact"/>
        <w:rPr>
          <w:sz w:val="20"/>
          <w:szCs w:val="20"/>
          <w:color w:val="auto"/>
        </w:rPr>
      </w:pPr>
    </w:p>
    <w:p>
      <w:pPr>
        <w:ind w:left="1940" w:hanging="1916"/>
        <w:spacing w:after="0" w:line="260"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valuing the Company’s investment in Datavant, including controls over management’s review of the significant inputs described above.</w:t>
      </w:r>
    </w:p>
    <w:p>
      <w:pPr>
        <w:spacing w:after="0" w:line="181" w:lineRule="exact"/>
        <w:rPr>
          <w:sz w:val="20"/>
          <w:szCs w:val="20"/>
          <w:color w:val="auto"/>
        </w:rPr>
      </w:pPr>
    </w:p>
    <w:p>
      <w:pPr>
        <w:jc w:val="both"/>
        <w:ind w:left="1940"/>
        <w:spacing w:after="0" w:line="253" w:lineRule="auto"/>
        <w:rPr>
          <w:sz w:val="20"/>
          <w:szCs w:val="20"/>
          <w:color w:val="auto"/>
        </w:rPr>
      </w:pPr>
      <w:r>
        <w:rPr>
          <w:rFonts w:ascii="Times New Roman" w:cs="Times New Roman" w:eastAsia="Times New Roman" w:hAnsi="Times New Roman"/>
          <w:sz w:val="18"/>
          <w:szCs w:val="18"/>
          <w:color w:val="auto"/>
        </w:rPr>
        <w:t>To test the fair value of the Company’s investment in Datavant, our audit procedures included, among others, assessing the valuation methodologies used and testing the significant unobservable inputs discussed above, including testing the completeness, accuracy and relevance of underlying data used by the Company in the valuation. We compared the significant inputs and underlying data used by management to current industry and economic trends, historical financial results, and other relevant factors. We analyzed the significant unobservable inputs to evaluate the change in the fair value of the Company’s investment in Datavant resulting from changes in the inputs. We also assessed the historical accuracy of the underlying financial projections developed by Datavant by comparing to actual historical results. In addition, we involved our valuation specialists to assist in evaluating the valuation methodology and significant unobservable inputs described above used to develop the fair value estimate. The valuation specialists’ procedures included independently developing fair value estimates and comparing them to the amounts recorded.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3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(held at fair value as of March 31, 2026)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5,000,064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measured at fair value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302,939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32,860</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5,708,687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5,436,940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instruments measured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 noncurrent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249,742</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par value $0.0000000341740141 per share, 7,000,000,000 shares authorized and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720,352,386 and 695,938,323 shares issued and outstanding at March 31, 2026 and 2025, respectively</w:t>
            </w:r>
          </w:p>
        </w:tc>
        <w:tc>
          <w:tcPr>
            <w:tcW w:w="1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4,562,107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 / retained earnings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30"/>
        </w:trPr>
        <w:tc>
          <w:tcPr>
            <w:tcW w:w="81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Shareholders’ equity attributable to Roivant Sciences Ltd.</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4,527,370</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4,687,605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765,042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499,593</w:t>
            </w:r>
          </w:p>
        </w:tc>
        <w:tc>
          <w:tcPr>
            <w:tcW w:w="0" w:type="dxa"/>
            <w:vAlign w:val="bottom"/>
          </w:tcPr>
          <w:p>
            <w:pPr>
              <w:spacing w:after="0"/>
              <w:rPr>
                <w:sz w:val="1"/>
                <w:szCs w:val="1"/>
                <w:color w:val="auto"/>
              </w:rPr>
            </w:pPr>
          </w:p>
        </w:tc>
      </w:tr>
      <w:tr>
        <w:trPr>
          <w:trHeight w:val="230"/>
        </w:trPr>
        <w:tc>
          <w:tcPr>
            <w:tcW w:w="81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5,292,412</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5,187,198</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5,708,687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5,436,940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5"/>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(includes $47,867, $39,780 and $32,400 of share-based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expense for the years ended March 31, 2026, 2025 and 2024,</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439,909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0" w:type="dxa"/>
            <w:vAlign w:val="bottom"/>
          </w:tcPr>
          <w:p>
            <w:pPr>
              <w:spacing w:after="0"/>
              <w:rPr>
                <w:sz w:val="1"/>
                <w:szCs w:val="1"/>
                <w:color w:val="auto"/>
              </w:rPr>
            </w:pPr>
          </w:p>
        </w:tc>
      </w:tr>
      <w:tr>
        <w:trPr>
          <w:trHeight w:val="225"/>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(includes $298,298, $239,505 and $154,873 of share-based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expense for the years ended March 31, 2026, 2025 and 2024,</w:t>
            </w: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610,466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591,410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416,133</w:t>
            </w:r>
          </w:p>
        </w:tc>
        <w:tc>
          <w:tcPr>
            <w:tcW w:w="0" w:type="dxa"/>
            <w:vAlign w:val="bottom"/>
          </w:tcPr>
          <w:p>
            <w:pPr>
              <w:spacing w:after="0"/>
              <w:rPr>
                <w:sz w:val="1"/>
                <w:szCs w:val="1"/>
                <w:color w:val="auto"/>
              </w:rPr>
            </w:pPr>
          </w:p>
        </w:tc>
      </w:tr>
      <w:tr>
        <w:trPr>
          <w:trHeight w:val="261"/>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884,091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5,348,410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4,497,032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(264,578)</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(681,590)</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4,567,856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(729,764)</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4,546,353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(315,147)</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(356,734)</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4,231,206</w:t>
            </w:r>
          </w:p>
        </w:tc>
        <w:tc>
          <w:tcPr>
            <w:tcW w:w="0" w:type="dxa"/>
            <w:vAlign w:val="bottom"/>
          </w:tcPr>
          <w:p>
            <w:pPr>
              <w:spacing w:after="0"/>
              <w:rPr>
                <w:sz w:val="1"/>
                <w:szCs w:val="1"/>
                <w:color w:val="auto"/>
              </w:rPr>
            </w:pP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(117,720)</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Roivant Sciences Ltd.: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4,662,703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(313,777)</w:t>
            </w:r>
          </w:p>
        </w:tc>
        <w:tc>
          <w:tcPr>
            <w:tcW w:w="0" w:type="dxa"/>
            <w:vAlign w:val="bottom"/>
          </w:tcPr>
          <w:p>
            <w:pPr>
              <w:spacing w:after="0"/>
              <w:rPr>
                <w:sz w:val="1"/>
                <w:szCs w:val="1"/>
                <w:color w:val="auto"/>
              </w:rPr>
            </w:pP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693,864,530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725,395,624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783,248,906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693,864,530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725,395,624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831,049,444</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6" w:right="339" w:bottom="9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916"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140" w:type="dxa"/>
            <w:vAlign w:val="bottom"/>
          </w:tcPr>
          <w:p>
            <w:pPr>
              <w:spacing w:after="0"/>
              <w:rPr>
                <w:sz w:val="20"/>
                <w:szCs w:val="20"/>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4,231,206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debt due to change in subsidiary credit risk</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on available-for-sale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(404,489)</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(343,275)</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4,230,270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(117,190)</w:t>
            </w:r>
          </w:p>
        </w:tc>
      </w:tr>
      <w:tr>
        <w:trPr>
          <w:trHeight w:val="230"/>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Roivant Sciences Ltd.</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(304,851)</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(158,460)</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4,347,460</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3" w:name="page164"/>
    <w:bookmarkEnd w:id="16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gridSpan w:val="3"/>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Deficit) /</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8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Noncontrolling</w:t>
            </w:r>
          </w:p>
        </w:tc>
        <w:tc>
          <w:tcPr>
            <w:tcW w:w="11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34"/>
        </w:trPr>
        <w:tc>
          <w:tcPr>
            <w:tcW w:w="26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760,143,393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$4,933,137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(3,772,754)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1,607,587</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net of issuance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19,600,685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in connection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equity incentive plans, net of</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 and tax withholding</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18,926,077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related to</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of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7,554,549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83,264</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related to</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transaction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313,023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under employee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subsidiary common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net of issuance costs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238,733</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and vesting of subsidiary</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subsidiary common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to the Company and cash</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to majority-owned</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Deconsolidation of subsidiaries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declared by subsidiary</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4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Disposition of Telavant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199,951</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4,231,206</w:t>
            </w:r>
          </w:p>
        </w:tc>
        <w:tc>
          <w:tcPr>
            <w:tcW w:w="0" w:type="dxa"/>
            <w:vAlign w:val="bottom"/>
          </w:tcPr>
          <w:p>
            <w:pPr>
              <w:spacing w:after="0"/>
              <w:rPr>
                <w:sz w:val="1"/>
                <w:szCs w:val="1"/>
                <w:color w:val="auto"/>
              </w:rPr>
            </w:pPr>
          </w:p>
        </w:tc>
      </w:tr>
      <w:tr>
        <w:trPr>
          <w:trHeight w:val="28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806,677,954</w:t>
            </w:r>
          </w:p>
        </w:tc>
        <w:tc>
          <w:tcPr>
            <w:tcW w:w="8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$5,396,492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576,172</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479,948</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6,448,529</w:t>
            </w:r>
          </w:p>
        </w:tc>
        <w:tc>
          <w:tcPr>
            <w:tcW w:w="0" w:type="dxa"/>
            <w:vAlign w:val="bottom"/>
          </w:tcPr>
          <w:p>
            <w:pPr>
              <w:spacing w:after="0"/>
              <w:rPr>
                <w:sz w:val="1"/>
                <w:szCs w:val="1"/>
                <w:color w:val="auto"/>
              </w:rPr>
            </w:pPr>
          </w:p>
        </w:tc>
      </w:tr>
      <w:tr>
        <w:trPr>
          <w:trHeight w:val="205"/>
        </w:trPr>
        <w:tc>
          <w:tcPr>
            <w:tcW w:w="274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in connection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equity incentive plans, net of</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 and tax withholding</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17,503,515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subsidiary common</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net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interests in subsidiary</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and vesting of subsidiary</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under employee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subsidiary common</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to the Company and cash</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contributions to majority-owned</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subsidiary</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the Company’s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(128,361,786)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(1,293,232)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7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rPr>
              <w:t>224,315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rPr>
              <w:t>64,808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rPr>
              <w:t>289,123</w:t>
            </w:r>
          </w:p>
        </w:tc>
        <w:tc>
          <w:tcPr>
            <w:tcW w:w="0" w:type="dxa"/>
            <w:vAlign w:val="bottom"/>
          </w:tcPr>
          <w:p>
            <w:pPr>
              <w:spacing w:after="0"/>
              <w:rPr>
                <w:sz w:val="1"/>
                <w:szCs w:val="1"/>
                <w:color w:val="auto"/>
              </w:rPr>
            </w:pPr>
          </w:p>
        </w:tc>
      </w:tr>
    </w:tbl>
    <w:p>
      <w:pPr>
        <w:sectPr>
          <w:pgSz w:w="11900" w:h="16900" w:orient="portrait"/>
          <w:cols w:equalWidth="0" w:num="1">
            <w:col w:w="10740"/>
          </w:cols>
          <w:pgMar w:left="320" w:top="116" w:right="839" w:bottom="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81482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14820" cy="431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debt due to</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subsidiary credit risk</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(356,734)</w:t>
            </w:r>
          </w:p>
        </w:tc>
      </w:tr>
      <w:tr>
        <w:trPr>
          <w:trHeight w:val="28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695,938,323</w:t>
            </w:r>
          </w:p>
        </w:tc>
        <w:tc>
          <w:tcPr>
            <w:tcW w:w="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$4,562,107</w:t>
            </w:r>
          </w:p>
        </w:tc>
        <w:tc>
          <w:tcPr>
            <w:tcW w:w="8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9,438</w:t>
            </w:r>
          </w:p>
        </w:tc>
        <w:tc>
          <w:tcPr>
            <w:tcW w:w="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116,060</w:t>
            </w:r>
          </w:p>
        </w:tc>
        <w:tc>
          <w:tcPr>
            <w:tcW w:w="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499,593</w:t>
            </w:r>
          </w:p>
        </w:tc>
        <w:tc>
          <w:tcPr>
            <w:tcW w:w="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5,187,198</w:t>
            </w:r>
          </w:p>
        </w:tc>
      </w:tr>
      <w:tr>
        <w:trPr>
          <w:trHeight w:val="205"/>
        </w:trPr>
        <w:tc>
          <w:tcPr>
            <w:tcW w:w="27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in connection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equity incentive plans, net of</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 and tax withholding</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48,518,151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136,891</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Earn-Out Shares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57,685</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subsidiary common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net of issuance costs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193,605</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minority interest</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 to subsidiary</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39,250</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and vesting of subsidiary</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subsidiary common</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to the Company and cash</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 to majority-owned</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subsidiary common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the Company’s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(24,225,812)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(318,103)</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the Company’s</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under employee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346,165</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available-for-</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7"/>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8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(98,136)</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w:t>
            </w:r>
          </w:p>
        </w:tc>
      </w:tr>
      <w:tr>
        <w:trPr>
          <w:trHeight w:val="28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720,352,386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$5,024,826</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(501,814)</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765,042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5,292,412</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216" w:right="839" w:bottom="1440" w:gutter="0" w:footer="0" w:header="0"/>
        </w:sectPr>
      </w:pPr>
    </w:p>
    <w:bookmarkStart w:id="165" w:name="page166"/>
    <w:bookmarkEnd w:id="165"/>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4,231,206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199,627</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78,943</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subsidiary interests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(5,348,410)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operating lease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discount and amortization of premium on available-for-sale marketable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and amortization of premium on held-to-maturity marketable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 from sales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 and divestiture: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0" w:type="dxa"/>
            <w:vAlign w:val="bottom"/>
          </w:tcPr>
          <w:p>
            <w:pPr>
              <w:spacing w:after="0"/>
              <w:rPr>
                <w:sz w:val="1"/>
                <w:szCs w:val="1"/>
                <w:color w:val="auto"/>
              </w:rPr>
            </w:pPr>
          </w:p>
        </w:tc>
      </w:tr>
      <w:tr>
        <w:trPr>
          <w:trHeight w:val="28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77"/>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(839,451)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(765,268)</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(4,795,855)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held-to-maturity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Telavant net assets, net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5,233,396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subsidiary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decrease upon deconsolidation of subsidiaries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84"/>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0" w:type="dxa"/>
            <w:vAlign w:val="bottom"/>
          </w:tcPr>
          <w:p>
            <w:pPr>
              <w:spacing w:after="0"/>
              <w:rPr>
                <w:sz w:val="1"/>
                <w:szCs w:val="1"/>
                <w:color w:val="auto"/>
              </w:rPr>
            </w:pPr>
          </w:p>
        </w:tc>
      </w:tr>
      <w:tr>
        <w:trPr>
          <w:trHeight w:val="277"/>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5,203,623</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the Company’s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subsidiary common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the Company’s common shares, net of issuance costs paid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199,822</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subsidiary common shares, net of issuance costs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238,733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 by subsidiary</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from minority interest holder to subsidiary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the Company’s and subsidiary stock options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51" w:orient="portrait"/>
          <w:cols w:equalWidth="0" w:num="1">
            <w:col w:w="11240"/>
          </w:cols>
          <w:pgMar w:left="320" w:top="116" w:right="339" w:bottom="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(37,715)</w:t>
            </w: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the Company’s common shares under employee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principal portion of finance lease obligations</w:t>
            </w: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subsidiary dividend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the Company’s warrants</w:t>
            </w: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redemptions of the Company’s warrants</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660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134,236</w:t>
            </w: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(1,219,794)</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419,364</w:t>
            </w: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8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(1,294,679)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(3,824,789)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4,858,335</w:t>
            </w:r>
          </w:p>
        </w:tc>
      </w:tr>
      <w:tr>
        <w:trPr>
          <w:trHeight w:val="271"/>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6,550,450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1,692,115</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1,430,982</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2,725,661</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6,550,450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the Company’s warrants</w:t>
            </w:r>
          </w:p>
        </w:tc>
        <w:tc>
          <w:tcPr>
            <w:tcW w:w="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83,258</w:t>
            </w:r>
          </w:p>
        </w:tc>
      </w:tr>
      <w:tr>
        <w:trPr>
          <w:trHeight w:val="24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subsidiary shares in connection with debt renegotiation</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11,647</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and exchanged for operating lease liabilities $</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9,605</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51,364</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4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earn-out shares liability to additional paid-in capital upon vesting</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57,685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 related to net settlement of equity awards</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31,114</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3,352</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7"/>
        </w:trPr>
        <w:tc>
          <w:tcPr>
            <w:tcW w:w="6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w:t>
            </w: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5,963</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7"/>
        </w:trPr>
        <w:tc>
          <w:tcPr>
            <w:tcW w:w="6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Roivant Sciences Ltd. (inclusive of its consolidated subsidiaries, the “Company” or “RSL”) aims to improve the lives of patients by accelerating the development and commercialization of medicines that matter. The Company does this by creating nimble subsidiaries or “Vants” to develop and commercialize its medicines and technologies. Beyond therapeutics, the Company also incubates discovery-stage companies and health technology startups complementary to its biopharmaceutical business. The Company was founded on April 7, 2014 as a Bermuda exempted limited company.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subsidiaries are wholly owned subsidiaries and majority-owned or controlled subsidiaries. Refer to Note 4, “Equity Method Investments” for further discussion of the Company’s investments in unconsolidated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Historically, the Company has incurred significant operating losses and negative cash flows from operations since its inception. In December 2023, the Company sold its entire equity interest in its majority-owned subsidiary Telavant Holdings, Inc. (“Telavant”). At closing, the Company received approximately $5.2 billion in cash. As of March 31, 2026, the Company had cash, cash equivalents and marketable securities of approximately $4.3 billion and its accumulated deficit was $501.8 million. For the years ended March 31, 2026, 2025 and 2024, the Company had net losses from continuing operations of $397.9 million and $729.8 million and net income from continuing operations of approximately $4.5 billion, respectively. The Company has historically financed its operations primarily through the sale of equity securities, sale of subsidiary interests, debt financings and revenue generated from licensing and collaboration arrangements.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may require additional capital to fully implement its business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 and Principles of Consolidation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fiscal year ends on March 31, and its fiscal quarters end on June 30, September 30 and December 31.</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and notes thereto have been prepared in accordance with accounting principles generally accepted in the United States (“U.S. GAAP”).</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references in these notes to applicable accounting guidance are meant to refer to the authoritative U.S. GAAP as found in the Accounting Standards Codification (“ASC”) and Accounting Standards Updates (“ASU”) of the Financial Accounting Standards Board (“FASB”). The consolidated financial statements include the accounts of RSL and the subsidiaries in which it has a controlling financial interest, most often through a majority voting interest. Certain prior year amounts have been reclassified to conform with the current period presentation. These reclassifications had no effect on the previously reported results of operations. All intercompany balances and transactions have been eliminated in consolidation.</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consolidated entities where the Company owns or is exposed to less than 100% of the economics, the Company records net loss attributable to noncontrolling interests in its consolidated statements of operations equal to the noncontrolling interest’s proportionate share of the respective operations. The Company presents noncontrolling interests as a component of shareholders’ equity on its consolidated balance sheets.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September 2024, the Company’s subsidiary, Dermavant Sciences Ltd. (“Dermavant”), entered into an Agreement and Plan of Merger (the “Merger Agreement”) with Organon &amp; Co. (“Organon”), Organon Bermuda Ltd., an indirect wholly owned subsidiary of Organon (“Merger Sub”), and the Company, solely in its capacity as the representative of the securityholders of Dermavant. Organon’s acquisition of Dermavant (the “Dermavant Transaction”) was completed in October 2024, and the Company determined the acquisition met the discontinued operations accounting criteria. As the Dermavant Transaction closed in October 2024, no Dermavant assets or liabilities were recognized on the consolidated balance sheets as of March 31, 2026 or 2025. The Company classified the results of Dermavant as discontinued operations in its consolidated statements of operations for the years ended March 31, 2025 and 2024. The cash flows related to discontinued operations have not been segregated and are included in the consolidated statements of cash flows. The discussions in these notes to the consolidated financial statements relate solely to the Company’s continuing operations, unless otherwise noted. For further discussion of the discontinued operations related to Dermavant, refer to Note 6, “Discontinued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Estimates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Concentrations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concentrations include cash, cash equivalents and marketable securities. The Company maintains cash deposits, cash equivalents and marketable securities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has long-lived assets in different geographic locations. As of March 31, 2026 and March 31, 2025, a majority of the Company’s long-lived assets were located in the United States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Segment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in deciding how to allocate resources and in assessing performance. The Company’s chief operating decision maker views the operations and manages the business in a single operating and reportable segment focused on the discovery, development and commercialization of medicines and technologies. The accounting policies of the segment are the same as those described in this Note 2, “Summary of Significant Accounting Policies.” See Note 16, “Segment Information”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Cash, Cash Equivalents and Restricted Cash</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 Cash equivalents consist of amounts invested in money market funds.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as reported in the accompanying consolidated statements of cash flows includes the aggregate amounts of cash, cash equivalents, and restricted cash as presented on the accompanying consolidated balance sheets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34"/>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1,430,982</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2,725,661</w:t>
            </w: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Marketable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investments in securities with original maturities of greater than three months at the time of purchase to be marketable securities. Marketable securities, including those that have maturity dates beyond one year from the balance sheet date, are included in current assets on the consolidated balance sheets due to their availability for use in current operations. As of March 31, 2026, marketable securities, consisting of amounts invested in United States (“U.S.”) Treasury securities and corporate bonds, are classified as available-for-sale and carried at fair value. Unrealized holding gains and losses, net of income taxes, on available-for-sale debt securities are reported as a separate component of accumulated other comprehensive (loss) income in stockholders’ equity until realized. The cost of available-for-sale securities sold and the amount reclassified out of accumulated other comprehensive (loss) income into earnings is determined using the specific identification method. As of March 31, 2025, the Company’s marketable securities were classified as held-to-maturity and carried at amortized cost. Interest income is recorded as earned within “Interest income” in the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Contingencies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contingent loss, including an estimable range, if 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Property and Equipment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Property and equipment, consisting primarily of computers, laboratory and other equipment, furniture and fixtures, software and leasehold improvements, is recorded at cost, less accumulated depreciation. Maintenance and repairs that do not improve or extend the lives of the respective assets are expensed to operations as incurred. Upon disposal, retirement or sale, the related cost and accumulated depreciation is removed from the accounts and any resulting gain or loss is included in the results of operations. Depreciation of property and equipment is recorded using the straight-line method over the estimated useful lives of the related assets once the asset has been placed in service. Leasehold improvements are amortized using the straight-line method over the estimated useful life or remaining lease term, whichever is shorter. The following table provides the range of estimated useful lives used for each asset type: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34"/>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5 - 10 years</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years</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4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r>
        <w:trPr>
          <w:trHeight w:val="27"/>
        </w:trPr>
        <w:tc>
          <w:tcPr>
            <w:tcW w:w="5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Recoverability is measured by comparison of the book values of the assets to the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Investments in 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for which the Company does not have control or significant influence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certain investments over which the Company has significant influence. The Company believes the fair value option best reflects the underlying economics of these investments. See Note 4, “Equity Method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Fair Value Measurements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utilizes fair value measurement guidance prescribed by U.S. GAAP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192"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are based on inputs that are unobservable (supported by little or no market activity) and significant to the overall fair value measurement.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shares of common stock of Arbutus Biopharma Corporation (“Arbutus”) and Class A units of Heracles Parent, L.L.C. (“Datavant”). The Company’s financial instruments also include liability instruments issued, including the earn-out share liabilities (prior to vesting during the quarter ended December 31, 2025) issued in connection with the Company’s business combination (the “Business Combination”) with Montes Archimedes Acquisition Corp. (“MAAC”) (as discussed in Note 13, “Earn-Out Shares, Public Warrants and Private Placement Warrants”); cash; cash equivalents, consisting of money market funds; marketable securities, consisting of U.S. Treasury securities and corporate bonds; receivables; and accounts payable.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shares of Arbutus common stock are classified as Level 1, and their fair value is determined based upon quoted market prices in an active market. The Class A units of Datavant and liability instruments issued are classified as Level 3 within the fair value hierarchy as the assumptions and estimates used in the valuations are unobservable in the market. Cash, receivables and accounts payable are stated at their respective historical carrying amounts, which approximate fair value due to their short-term nature. Money market funds are included in Level 1 of the fair value hierarchy and are valued at the closing price reported by an actively traded exchange. Marketable securities are included in Level 2 of the fair value hierarchy, are classified as available-for-sale or held-to-maturity (prior to December 31, 2025) and are carried at fair value or amortized cost,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Research and Development Expenses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R&amp;D expenses primarily consist of costs associated with preclinical studies and clinical trials as well as employee-related expenses, such as salaries, share-based compensation and benefits, for employees engaged in R&amp;D activities. The Company records accruals for estimated costs of R&amp;D activities, including preclinical studies, clinical trials and contract manufacturing, conducted by third-party service providers. The Company determines the estimates by reviewing open contracts, vendor agreements and purchase orders; communicating with internal personnel and external service providers to understand the progress or stage of completion of services performed on its behalf; and estimating the associated costs for these services that have not yet been invoiced. If the actual timing of the performance of services or the level of effort varies from the estimate, the accrual or prepaid expense is adjusted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Acquired In-Process Research and Development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evaluates in-licensed agreements for IPR&amp;D projects to determine if the acquired set meets the definition of a business and thus should be accounted for as a business combination. If the acquired set does not meet the definition of a business and the assets have not reached technological feasibility and have no alternative future use, the Company expenses payments made under such license agreements as acquired in-process research and development expense in its consolidated statements of operations. In those cases, payments for milestones achieved and payments for a product license prior to regulatory approval of the product are expensed in the period incurred. Payments made in connection with regulatory and sales-based milestones are capitalized and amortized to cost of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General and Administrative Expenses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employee-related expenses, such as salaries, share-based compensation and benefits for employees engaged in G&amp;A activities. G&amp;A employees include those responsible for the identification and acquisition or in-license of new drug candidates as well as for managing Vant operations and facilitating the use of the Company’s platform and technologies at the Vants. G&amp;A expenses also consist of legal and accounting fees, consulting services and other operating costs relating to corporate matters and daily operations. Additionally, G&amp;A expenses include costs incurred relating to the identification, acquisition or in-license and technology transfer of promising drug candidates.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Leases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the inception of the agreement. Leases are classified at lease commencement as either operating leases or finance leases. Operating leases are included in “Operating lease right-of-use assets,” “Operating lease liabilities” and “Operating lease liabilities, noncurrent” on the accompanying consolidated balance sheets. Commitments under finance leases are not significant and are included in “Property and equipment, net,” and “Other current liabilities” on the accompanying consolidated balance sheets. For each of the Company’s lease arrangements, the Company records a right-of-use asset representing the Company’s right to use an underlying asset for the lease term and a lease liability representing the Company’s obligation to make lease payments. Lease right-of-use assets and lease liabilities are recognized at the lease commencement date based on the estimated present value of fixed lease payments over the expected lease term. If the interest rate implicit in the Company’s leases is not readily determinable, in determining the weighted-average discount rate used to calculate the net present value of lease payments, the Company utilizes an estimate of its incremental borrowing rate. The Company’s incremental borrowing rates are determined based on the term of the lease, the economic environment of the lease, and the effect of collateralization. Lease expense for the Company’s leases is recognized on a straight-line basis over the lease term and variable lease costs are expensed as incurred.</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 not to apply the recognition and measurement requirements to short-term leases, which are any leases with a term of one year or less as of the lease commencement date. Leases may require the Company to pay additional amounts for taxes, insurance, maintenance and other expenses, which are generally referred to as non-lease components. The Company has elected the practical expedient to combine lease and non-lease components. If a lease includes options to extend the lease term, the Company does not assume the option will be exercised in its initial lease term assessment unless there is reasonable certainty that the Company will renew based on an assessment of relevant factors present as of the lease commencement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Income Taxes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deferred tax assets will not be realized. If the Company determines that it would be able to realize its deferred tax assets in the future in excess of its net recorded amount, the Company would make an adjustment to the deferred tax asset valuation allowance, which would reduce the provision for income taxes.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Company’s policy is to recognize interest and/or penalties related to income tax matters in provision for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Share-Based Compensation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Share-based awards to employees, directors and consultants, including stock options, restricted stock units (“RSUs”), performance options, performance restricted stock units (“PSUs”) and capped value appreciation rights (“CVARs”), are measured at fair value on the date of the grant and that fair value is recognized as share-based compensation expense in the Company’s consolidated statements of operations over the requisite service period of the respective award. The estimated fair value of awards that contain performance conditions is expensed when the Company concludes that it is probable that the performance condition will be achieved. The Company may grant awards with graded-vesting features. When such awards have only service vesting requirements, the Company elected to record share-based compensation expense on a straight-line basis. If awards with graded-vesting features contain performance or market conditions, then the Company records share-based compensation expense using the accelerated attribution method.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its stock options that only have service vesting requirements or performance-based options without market conditions using the Black-Scholes option pricing model. For performance-based awards with market conditions, the Company determines the fair value of the awards as of the grant date using a Monte Carlo simulation model. When determining the grant-date fair value of stock-based awards, management further considers whether an adjustment is required to the observable market price or volatility of the Company’s common stock that is used in the valuation as a result of material non-public information, if that information is expected to result in a material increase in share price.</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Certain assumptions need to be made with respect to utilizing the Black-Scholes option pricing model, including the expected life of the award, volatility of the underlying shares, the risk-free interest rate and the fair value of the Company’s shares of common stock. Since the Company has limited option exercise history, it has generally elected to estimate the expected life of an award based upon the “simplified method” with the continued use of this method extended until such time the Company has sufficient exercise history. In prior fiscal years, because the Company did not have sufficient trading history to rely on the volatility of its common stock, volatility was estimated by taking the average historical price volatility for comparable publicly traded peer companies. As of March 31, 2025, the Company began using a blend of its historical and implied volatility to estimate the expected share price volatility assumption. Due to changes in the Company’s capital position, the Company believes this methodology better reflects its expected future volatility. The risk-free interest rate is based on the rates paid on securities issued by the U.S. Treasury with a term approximating the expected life of the equity award. The Company accounts for pre-vesting award forfeitures when they occur. One of the inputs to the Black-Scholes option pricing model is the fair value of the Company’s common shares. As RSL’s common shares are publicly traded, the Company determines the fair value of each common share underlying share-based awards based on the closing price of its common shares as reported by Nasdaq on the date of grant.</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applies similar methodology to measure the fair value of share-based awards issued by its Vants. Certain assumptions vary based on circumstances specific to each Vant. For privately held Vants, the fair value of the shares of common stock underlying share-based awards on each grant date is estimated, given the absence of a public trading market.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Stock options may be settled in cash or in shares of common stock, including a net issuance using shares otherwise purchasable under the option to pay the exercise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Foreign Currency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functional and reporting currency is the U.S. dollar. For the Company’s subsidiaries whose functional currency is other than the U.S. dollar, assets and liabilities are translated into U.S. dollars at the exchange rates in effect at the balance sheet date, while their revenue and expenses are translated at the average exchange rates for the reporting period. The cumulative foreign currency translation adjustments are recorded as a component of “Accumulated other comprehensive (loss) income” in the accompanying consolidated statement of shareholders’ equity.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Transaction gains and losses that arise from exchange rate fluctuations on transactions denominated in a currency other than the functional currency are included in “Other (income) expense, net” in the accompanying consolidated statements of operations. For the year ended March 31, 2026, foreign currency transaction gains were $5.1 million. For the years ended March 31, 2025 and 2024, foreign currency transaction gains were de minimis.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Revenue Recognition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significant judgment when evaluating whether contractual obligations represent distinct performance obligations, allocating the transaction price to performance obligations within a contract, determining when performance obligations have been satisfied, assessing the recognition and likelihood of reversal of variable consideration and determining and applying appropriate methods of measuring progress for performance obligations satisfied over time. These judgments are discussed in more detail below.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hanging="328"/>
        <w:spacing w:after="0" w:line="256"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Licenses of intellectual property</w:t>
      </w:r>
      <w:r>
        <w:rPr>
          <w:rFonts w:ascii="Times New Roman" w:cs="Times New Roman" w:eastAsia="Times New Roman" w:hAnsi="Times New Roman"/>
          <w:sz w:val="18"/>
          <w:szCs w:val="18"/>
          <w:color w:val="auto"/>
        </w:rPr>
        <w:t>: If a license to intellectual property is determined to be distinct from the other performance obligations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arrangement, the Company recognizes revenue from the portion of the transaction price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 and commercial milestone payments</w:t>
      </w:r>
      <w:r>
        <w:rPr>
          <w:rFonts w:ascii="Times New Roman" w:cs="Times New Roman" w:eastAsia="Times New Roman" w:hAnsi="Times New Roman"/>
          <w:sz w:val="18"/>
          <w:szCs w:val="18"/>
          <w:color w:val="auto"/>
        </w:rPr>
        <w:t>: For arrangements that include sales-based royalties, including commercial milestone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18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is also generated from certain technology-focused contracts from subscription and service-based fees recognized for the use of certain internally developed technology. Subscription revenue is recognized ratably over the contract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March 31, 2026 and 2025. Trade receivables, net is included in “Other current assets” on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Recently Adopted Accounting Pronouncements</w:t>
      </w:r>
    </w:p>
    <w:p>
      <w:pPr>
        <w:spacing w:after="0" w:line="216"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updates to the income tax disclosures related to the rate reconciliation and disaggregation of income taxes paid by jurisdiction. The amendments are effective for fiscal years beginning after December 15, 2024 and are applicable to the Company’s fiscal year beginning April 1, 2025, with early adoption permitted. The amendments should be applied prospectively, however retrospective application is permitted. The Company adopted this ASU prospectively for the fiscal year ended March 31, 2026. This resulted in expanded disclosures in line with the requirements of the ASU.</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In September 2025, the FASB issued ASU 2025-07, “Derivatives Scope Refinements and Scope Clarification for Share-Based Noncash Consideration from a Customer in a Revenue Contract”, which refines the scope of the guidance on derivatives in ASC 815 and clarifies the guidance on share-based payments from a customer in ASC 606. This guidance is effective for fiscal years and interim periods beginning after December 15, 2026, with early adoption permitted. These requirements may be applied prospectively or on a modified retrospective basis through a cumulative-effect adjustment to the opening balance of retained earnings. The Company early adopted this guidance during the quarter ended March 31, 2026. The Company applied the derivative scope refinements guidance on a modified retrospective basis and applied the share-based payments guidance on a prospective basis. The adoption of this guidance had no impact on the Company’s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Recently Issued Accounting Pronouncements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of certain costs and expenses on an interim and annual basis in the notes to the financial statements. The amendments are effective for fiscal years beginning after December 15, 2026 and for interim periods within fiscal years beginning after December 15, 2027. This ASU is applicable to the Company’s Annual Report on Form 10-K for the fiscal year ended March 31, 2028, and subsequent interim periods, with early adoption permitted. The amendments can be adopted either (i) prospectively to financial statements issued for reporting periods after the effective date of this ASU or (ii) retrospectively to any or all prior periods presented in the financial statements. The Company expects adoption of this ASU will result in additional disclosures in line with the requirements of ASU 2024-03.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3—Cash, Cash Equivalents and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marketable securities consisted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34"/>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4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93,954</w:t>
            </w:r>
          </w:p>
        </w:tc>
        <w:tc>
          <w:tcPr>
            <w:tcW w:w="0" w:type="dxa"/>
            <w:vAlign w:val="bottom"/>
          </w:tcPr>
          <w:p>
            <w:pPr>
              <w:spacing w:after="0"/>
              <w:rPr>
                <w:sz w:val="1"/>
                <w:szCs w:val="1"/>
                <w:color w:val="auto"/>
              </w:rPr>
            </w:pPr>
          </w:p>
        </w:tc>
      </w:tr>
      <w:tr>
        <w:trPr>
          <w:trHeight w:val="243"/>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2,621,457</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2,715,411</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 available-for-sale</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Treasury securities, held-to-maturity</w:t>
            </w:r>
          </w:p>
        </w:tc>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0" w:type="dxa"/>
            <w:vAlign w:val="bottom"/>
          </w:tcPr>
          <w:p>
            <w:pPr>
              <w:spacing w:after="0"/>
              <w:rPr>
                <w:sz w:val="1"/>
                <w:szCs w:val="1"/>
                <w:color w:val="auto"/>
              </w:rPr>
            </w:pPr>
          </w:p>
        </w:tc>
      </w:tr>
      <w:tr>
        <w:trPr>
          <w:trHeight w:val="237"/>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4,886,891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40" w:type="dxa"/>
            <w:vAlign w:val="bottom"/>
            <w:vMerge w:val="restart"/>
          </w:tcPr>
          <w:p>
            <w:pPr>
              <w:jc w:val="right"/>
              <w:ind w:right="2354"/>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47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7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unrealized positions for the Company’s marketable securities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r>
              <w:rPr>
                <w:rFonts w:ascii="Times New Roman" w:cs="Times New Roman" w:eastAsia="Times New Roman" w:hAnsi="Times New Roman"/>
                <w:sz w:val="23"/>
                <w:szCs w:val="23"/>
                <w:b w:val="1"/>
                <w:bCs w:val="1"/>
                <w:color w:val="auto"/>
                <w:vertAlign w:val="superscript"/>
              </w:rPr>
              <w:t>(1)</w:t>
            </w:r>
          </w:p>
        </w:tc>
        <w:tc>
          <w:tcPr>
            <w:tcW w:w="100" w:type="dxa"/>
            <w:vAlign w:val="bottom"/>
            <w:vMerge w:val="restart"/>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gridSpan w:val="2"/>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748,422</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2,124,179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marketable securities, available-for-sale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2,876,156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2,872,601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r>
              <w:rPr>
                <w:rFonts w:ascii="Times New Roman" w:cs="Times New Roman" w:eastAsia="Times New Roman" w:hAnsi="Times New Roman"/>
                <w:sz w:val="23"/>
                <w:szCs w:val="23"/>
                <w:b w:val="1"/>
                <w:bCs w:val="1"/>
                <w:color w:val="auto"/>
                <w:vertAlign w:val="superscript"/>
              </w:rPr>
              <w:t>(1)</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3"/>
                <w:szCs w:val="23"/>
                <w:color w:val="auto"/>
              </w:rPr>
            </w:pPr>
          </w:p>
        </w:tc>
        <w:tc>
          <w:tcPr>
            <w:tcW w:w="1580" w:type="dxa"/>
            <w:vAlign w:val="bottom"/>
            <w:gridSpan w:val="3"/>
            <w:vMerge w:val="continue"/>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Pr>
          <w:p>
            <w:pPr>
              <w:spacing w:after="0"/>
              <w:rPr>
                <w:sz w:val="23"/>
                <w:szCs w:val="23"/>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8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held-to-maturity</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2,172,284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line="229" w:lineRule="auto"/>
        <w:tabs>
          <w:tab w:leader="none" w:pos="328"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$19.6 million and $12.1 million of accrued interest receivable as of March 31, 2026 and 2025, respectively, which is included in “Other current assets” on the consolidated balance sheets.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129 available-for-sale marketable securities with a fair value of $1,999.6 million were in a gross unrealized loss position of $4.1 million. All marketable securities with unrealized losses had been in a loss position for less than twelve months as of March 31, 2026. The Company does not intend to sell, and is not required to sell, these securities that are in an unrealized loss position before the recovery of their amortized cost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6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The Company classified its marketable securities as Level 2 measurements within the fair value hierarchy. The estimated fair value of available-</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for-sale</w:t>
            </w:r>
          </w:p>
        </w:tc>
        <w:tc>
          <w:tcPr>
            <w:tcW w:w="1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marketable</w:t>
            </w: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contractual</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maturity</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were</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follows</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thousands):</w:t>
            </w:r>
          </w:p>
        </w:tc>
      </w:tr>
      <w:tr>
        <w:trPr>
          <w:trHeight w:val="270"/>
        </w:trPr>
        <w:tc>
          <w:tcPr>
            <w:tcW w:w="6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2180" w:type="dxa"/>
            <w:vAlign w:val="bottom"/>
            <w:tcBorders>
              <w:bottom w:val="single" w:sz="8" w:color="CCEEFF"/>
            </w:tcBorders>
            <w:gridSpan w:val="2"/>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2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Due within one year</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2,145,345</w:t>
            </w:r>
          </w:p>
        </w:tc>
      </w:tr>
      <w:tr>
        <w:trPr>
          <w:trHeight w:val="243"/>
        </w:trPr>
        <w:tc>
          <w:tcPr>
            <w:tcW w:w="3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Due after one year but within five years</w:t>
            </w: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727,256</w:t>
            </w:r>
          </w:p>
        </w:tc>
      </w:tr>
      <w:tr>
        <w:trPr>
          <w:trHeight w:val="27"/>
        </w:trPr>
        <w:tc>
          <w:tcPr>
            <w:tcW w:w="4340" w:type="dxa"/>
            <w:vAlign w:val="bottom"/>
            <w:tcBorders>
              <w:bottom w:val="single" w:sz="8" w:color="CCEEFF"/>
            </w:tcBorders>
            <w:gridSpan w:val="4"/>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43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estimated fair value of available-for-sale securities</w:t>
            </w:r>
          </w:p>
        </w:tc>
        <w:tc>
          <w:tcPr>
            <w:tcW w:w="1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2,872,601</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contractual maturities of all marketable securities were less than 12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4—Equity Method Investments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maintains equity method investments in certain entities. As of March 31, 2026 and 2025, the most significant of these were the Company’s investments in Arbutus and Datavant, which are accounted for using the fair value option.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determined that it does not control these entities and as a result does not consolidate these entities. Due to the Company’s significant influence over operating and financial policies of these entities, the entities are considered related parties of the Company.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holds an investment in Arbutus in the form of 38,847,462 common shares of Arbutus.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additionally holds an investment in Class A units of Datavant. The fair value of the Company’s investment in Datavant was determined using valuation models that incorporate significant unobservable inputs and is classified as a Level 3 measurement within the fair value hierarchy. Refer to Note 14, “Fair Value Measurements”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Summarized Equity Method Investment Details</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Details regarding significant equity method investments are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86"/>
        </w:trPr>
        <w:tc>
          <w:tcPr>
            <w:tcW w:w="4880" w:type="dxa"/>
            <w:vAlign w:val="bottom"/>
          </w:tcPr>
          <w:p>
            <w:pPr>
              <w:spacing w:after="0"/>
              <w:rPr>
                <w:sz w:val="24"/>
                <w:szCs w:val="24"/>
                <w:color w:val="auto"/>
              </w:rPr>
            </w:pPr>
          </w:p>
        </w:tc>
        <w:tc>
          <w:tcPr>
            <w:tcW w:w="338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20" w:type="dxa"/>
            <w:vAlign w:val="bottom"/>
          </w:tcPr>
          <w:p>
            <w:pPr>
              <w:spacing w:after="0"/>
              <w:rPr>
                <w:sz w:val="24"/>
                <w:szCs w:val="24"/>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Aggregate Fair Value (in millions)</w:t>
            </w:r>
          </w:p>
        </w:tc>
      </w:tr>
      <w:tr>
        <w:trPr>
          <w:trHeight w:val="34"/>
        </w:trPr>
        <w:tc>
          <w:tcPr>
            <w:tcW w:w="48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spacing w:after="0"/>
              <w:rPr>
                <w:sz w:val="21"/>
                <w:szCs w:val="21"/>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34"/>
        </w:trPr>
        <w:tc>
          <w:tcPr>
            <w:tcW w:w="4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Datavant</w:t>
            </w:r>
            <w:r>
              <w:rPr>
                <w:rFonts w:ascii="Times New Roman" w:cs="Times New Roman" w:eastAsia="Times New Roman" w:hAnsi="Times New Roman"/>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Arbutus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bl>
    <w:p>
      <w:pPr>
        <w:spacing w:after="0" w:line="319" w:lineRule="exact"/>
        <w:rPr>
          <w:sz w:val="20"/>
          <w:szCs w:val="20"/>
          <w:color w:val="auto"/>
        </w:rPr>
      </w:pPr>
    </w:p>
    <w:p>
      <w:pPr>
        <w:jc w:val="both"/>
        <w:ind w:left="340" w:hanging="332"/>
        <w:spacing w:after="0" w:line="266" w:lineRule="auto"/>
        <w:tabs>
          <w:tab w:leader="none" w:pos="3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percentage represents the Company’s equity interest in the outstanding Class A units of Datavant. Datavant’s capital structure includes preferred units that, among other features, have liquidation preferences and conversion features. Upon conversion of such preferred units into Class A units, the Company’s ownership interest would be diluted. Refer above for additional information regarding investment.</w:t>
      </w:r>
    </w:p>
    <w:p>
      <w:pPr>
        <w:spacing w:after="0" w:line="17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recognized unrealized (gains) losses on its significant equity method investments in the accompanying consolidated statements of operations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47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Unrealized (Gain) Loss on Investment (in millions)</w:t>
            </w:r>
          </w:p>
        </w:tc>
      </w:tr>
      <w:tr>
        <w:trPr>
          <w:trHeight w:val="34"/>
        </w:trPr>
        <w:tc>
          <w:tcPr>
            <w:tcW w:w="6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20" w:type="dxa"/>
            <w:vAlign w:val="bottom"/>
            <w:gridSpan w:val="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Years Ended March 31,</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4"/>
        </w:trPr>
        <w:tc>
          <w:tcPr>
            <w:tcW w:w="6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65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Datavant</w:t>
            </w:r>
          </w:p>
        </w:tc>
        <w:tc>
          <w:tcPr>
            <w:tcW w:w="10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Arbutus</w:t>
            </w:r>
          </w:p>
        </w:tc>
        <w:tc>
          <w:tcPr>
            <w:tcW w:w="10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consolidated financial information of Datavant, reported on a one quarter lag,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940" w:type="dxa"/>
            <w:vAlign w:val="bottom"/>
          </w:tcPr>
          <w:p>
            <w:pPr>
              <w:spacing w:after="0"/>
              <w:rPr>
                <w:sz w:val="20"/>
                <w:szCs w:val="20"/>
                <w:color w:val="auto"/>
              </w:rPr>
            </w:pPr>
          </w:p>
        </w:tc>
      </w:tr>
      <w:tr>
        <w:trPr>
          <w:trHeight w:val="34"/>
        </w:trPr>
        <w:tc>
          <w:tcPr>
            <w:tcW w:w="6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6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991,107</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668,847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461,521</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376,593</w:t>
            </w:r>
          </w:p>
        </w:tc>
      </w:tr>
      <w:tr>
        <w:trPr>
          <w:trHeight w:val="27"/>
        </w:trPr>
        <w:tc>
          <w:tcPr>
            <w:tcW w:w="6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(395,195)</w:t>
            </w:r>
          </w:p>
        </w:tc>
      </w:tr>
      <w:tr>
        <w:trPr>
          <w:trHeight w:val="27"/>
        </w:trPr>
        <w:tc>
          <w:tcPr>
            <w:tcW w:w="65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3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656,803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4,284,726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2,340,701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4,032,660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1,237,271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units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1,267,290</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consolidated financial information of Arbutus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0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Twelve Months Ended March 31,</w:t>
            </w:r>
          </w:p>
        </w:tc>
        <w:tc>
          <w:tcPr>
            <w:tcW w:w="1000" w:type="dxa"/>
            <w:vAlign w:val="bottom"/>
          </w:tcPr>
          <w:p>
            <w:pPr>
              <w:spacing w:after="0"/>
              <w:rPr>
                <w:sz w:val="20"/>
                <w:szCs w:val="20"/>
                <w:color w:val="auto"/>
              </w:rPr>
            </w:pPr>
          </w:p>
        </w:tc>
      </w:tr>
      <w:tr>
        <w:trPr>
          <w:trHeight w:val="34"/>
        </w:trPr>
        <w:tc>
          <w:tcPr>
            <w:tcW w:w="6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6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12,986</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(80,053)</w:t>
            </w:r>
          </w:p>
        </w:tc>
      </w:tr>
      <w:tr>
        <w:trPr>
          <w:trHeight w:val="27"/>
        </w:trPr>
        <w:tc>
          <w:tcPr>
            <w:tcW w:w="6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(74,385)</w:t>
            </w:r>
          </w:p>
        </w:tc>
      </w:tr>
      <w:tr>
        <w:trPr>
          <w:trHeight w:val="27"/>
        </w:trPr>
        <w:tc>
          <w:tcPr>
            <w:tcW w:w="65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3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34"/>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5—Recent Transactions and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Global Settlement with Moderna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3, 2026, the Company’s subsidiary, Genevant Sciences GmbH (“Genevant”), Arbutus (together with Genevant, “Genevant/Arbutus”), and, solely for certain purposes, Genevant’s parent Genevant Sciences Ltd. ( “GSL”), and Moderna, Inc. and ModernaTx, Inc. (together, “Moderna”) entered into a settlement agreement (the “Settlement Agreement”) to resolve all patent infringement litigation between Genevant/Arbutus and Moderna pending in the U.S. and internationally relating to Moderna’s unauthorized use of Genevant/Arbutus’ lipid nanoparticle (“LNP”) delivery technology in its vaccines, including SPIKEVAX.</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Settlement Agreement:</w:t>
      </w:r>
    </w:p>
    <w:p>
      <w:pPr>
        <w:spacing w:after="0" w:line="225" w:lineRule="exact"/>
        <w:rPr>
          <w:sz w:val="20"/>
          <w:szCs w:val="20"/>
          <w:color w:val="auto"/>
        </w:rPr>
      </w:pPr>
    </w:p>
    <w:p>
      <w:pPr>
        <w:ind w:firstLine="494"/>
        <w:spacing w:after="0" w:line="282" w:lineRule="auto"/>
        <w:tabs>
          <w:tab w:leader="none" w:pos="6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Moderna will make a non-contingent, non-creditable, and non-refundable payment to Genevant and Arbutus of $950 million on or before July 8, 2026 (the “Fixed Payment”).</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Moderna may make up to an additional $1.3 billion contingent lump sum payment (the “Contingent Payment”) to Genevant and Arbutus as more fully described below.</w:t>
      </w:r>
    </w:p>
    <w:p>
      <w:pPr>
        <w:spacing w:after="0" w:line="16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Moderna consented to entry of a judgment of infringement and of a judgment of no invalidity of four Genevant/Arbutus patents.</w:t>
      </w:r>
    </w:p>
    <w:p>
      <w:pPr>
        <w:spacing w:after="0" w:line="225" w:lineRule="exact"/>
        <w:rPr>
          <w:rFonts w:ascii="Times New Roman" w:cs="Times New Roman" w:eastAsia="Times New Roman" w:hAnsi="Times New Roman"/>
          <w:sz w:val="18"/>
          <w:szCs w:val="18"/>
          <w:color w:val="auto"/>
        </w:rPr>
      </w:pPr>
    </w:p>
    <w:p>
      <w:pPr>
        <w:ind w:right="20" w:firstLine="494"/>
        <w:spacing w:after="0" w:line="282" w:lineRule="auto"/>
        <w:tabs>
          <w:tab w:leader="none" w:pos="6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agreed to grant Moderna a global non-exclusive license to LNP delivery technology for infectious disease applications and a covenant not to sue for certain Genevant/Arbutus patents and Moderna products.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Payments by Moderna under the Settlement Agreement will be made directly to Genevant and Arbutus consistent with the terms of a cross-license agreement (as amended, the “Cross-License Agreement”) entered between Genevant (as assignee of GSL) and Arbutus. Pursuant to the Cross-License Agreement, Arbutus granted Genevant, an indirect wholly-owned subsidiary of GSL, a license under certain patents and know-how relating to Arbutus’s LNP and GalNAc technologies for all applications other than hepatitis B virus and certain other excluded fields. As of March 31, 2026, RSL and Arbutus held 83% and 16%, respectively, of the issued and outstanding common shares of GSL.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Cross-License Agreement, the Fixed Payment to be made by Moderna pursuant to the Settlement Agreement to Genevant/Arbutus is expected to be allocated, after deduction of litigation costs, (i) 80% to Genevant and (ii) 20% to Arbutus.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this allocation, Genevant expects to receive approximately $770.2 million for its portion of the Fixed Payment, subject to adjustment upon final determination of actual litigation costs and expenses incurred. The Company accordingly recognized a gain on litigation settlement of $770.2 million during the year ended March 31, 2026 in the accompanying consolidated statements of operations and a corresponding litigation settlement receivable of $770.2 million on the accompanying consolidated balance sheets.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Moderna will make the Contingent Payment to Genevant/Arbutus (i) if the U.S. Court of Appeals for the Federal Circuit (the “Federal Circuit”) (whether by the initial panel, upon panel rehearing or en banc) affirms, or if there is a final non-appealable judgment that affirms, the rejection of Moderna’s affirmative defense pursuant to 28 U.S.C. §1498 (“§ 1498”) by the U.S. District Court for the District of Delaware in its entirety or otherwise holds that § 1498 does not bar Genevant/Arbutus’ claim against Moderna as to either or both of direct infringement and indirect infringement with respect to all of the doses subject to Moderna’s appeal, or (ii) upon a voluntary dismissal of Moderna’s appeal (any of the foregoing under (i) or (ii), a “Genevant/Arbutus § 1498 Victory”). If the appellate court instead determines that § 1498 bars Genevant/Arbutus’ infringement claims as to some, but not all, of the doses subject to Moderna’s appeal, the Settlement Agreement provides that Moderna will pay Genevant/Arbutus a prorated amount of $1.3 billion, calculated based on the number of doses for which § 1498 bars Genevant/Arbutus’ infringement claims as clearly articulated by the Federal Circuit, or if not clearly articulated by the Federal Circuit, as mutually agreed by the parties or determined in an accelerated binding arbitration process.</w:t>
      </w:r>
    </w:p>
    <w:p>
      <w:pPr>
        <w:spacing w:after="0" w:line="188"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7"/>
          <w:szCs w:val="17"/>
          <w:color w:val="auto"/>
        </w:rPr>
        <w:t>Under certain circumstances, if the Genevant/Arbutus § 1498 Victory is subsequently overturned in Moderna’s favor in a final nonappealable decision, Genevant/Arbutus is required to return the Contingent Payment to Moderna, plus interest. If, following a Genevant/Arbutus § 1498 Victory, either</w:t>
      </w:r>
    </w:p>
    <w:p>
      <w:pPr>
        <w:spacing w:after="0" w:line="1" w:lineRule="exact"/>
        <w:rPr>
          <w:sz w:val="20"/>
          <w:szCs w:val="20"/>
          <w:color w:val="auto"/>
        </w:rPr>
      </w:pPr>
    </w:p>
    <w:p>
      <w:pPr>
        <w:ind w:firstLine="8"/>
        <w:spacing w:after="0" w:line="260" w:lineRule="auto"/>
        <w:tabs>
          <w:tab w:leader="none" w:pos="2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Moderna does not timely appeal such Genevant/Arbutus § 1498 Victory or (ii) such Genevant/Arbutus § 1498 Victory is subsequently affirmed in a final nonappealable decision, Moderna will have no further right to a potential repayment of the Contingent Payment.</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Contingent Payment is considered a gain contingency and was not recognized in the accompanying consolidated statements of operations for the year ended March 31, 2026. The gain will be recognized when realized or realizable.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Telavant Disposition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14, 2023 (the “Transaction Date”), the Company completed the sale of its entire equity interest in its majority-owned subsidiary Telavant to Roche Holdings, Inc. (“Roche”) (the “Roche Transaction”). The Roche Transaction was made pursuant to a Stock Purchase Agreement dated October 22, 2023 among the Company, Telavant, Pfizer Inc. (“Pfizer”) and Roche (the “Stock Purchase Agreement”). Telavant was jointly formed by the Company and Pfizer in November 2022 to develop and commercialize RVT-3101, an anti-TL1A antibody in development for ulcerative colitis (“UC”) and Crohn’s disease, in the U.S. and Japan. Prior to the Roche Transaction, the Company held 75% of the issued and outstanding shares of common stock and preferred stock of Telavant, and Pfizer owned the remaining 25%, in each case on an as-converted basis.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Pursuant to the Stock Purchase Agreement, Roche acquired all of the issued and outstanding shares of capital stock of Telavant in exchange for approximately $7.1 billion in cash at the closing of the Roche Transaction in December 2023, as well as a one-time milestone payment of $150 million in cash, paid in August 2024 following the initiation of a Phase 3 trial in UC. The $7.1 billion in closing consideration and $150 million one-time milestone payment were paid to all of Telavant’s equity holders, including holders of Telavant RSUs, on a pro rata basis relative to their ownership of Telavant prior to the closing of the Roche Transaction. The Company received an upfront payment of approximately $5.2 billion in cash as its pro rata portion of the consideration upon closing of the Roche Transaction and a one-time milestone payment of approximately $110.4 million as its pro rata portion of the milestone payment following initiation of a Phase 3 trial in UC.</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closing of the Roche Transaction, Roche acquired the full rights to further develop and manufacture RVT- 3101 and commercialize it in the U.S. and Japan. Outside of the U.S. and Japan, Pfizer holds commercialization rights. In addition, following the closing of the Roche Transaction, Roche acquired Telavant’s option to enter into a global collaboration with Pfizer on a next generation p40/TL1A directed bispecific antibody.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Telavant entity that was sold did not meet the definition of a business, and therefore the Company concluded that the Roche Transaction was a sale of non-financial assets, with control transferred at closing. The sale of Telavant did not meet the criteria for reporting discontinued operations as the sale does not represent a strategic shift in the Company’s business. The Company recognized a gain on sale of Telavant net assets of approximately $5.3 billion during the year ended March 31, 2024 in the accompanying consolidated statements of operations. The gain does not include the Company’s portion of the one-time milestone payment, which was recognized when the milestone was achieved in June 2024. Accordingly, the Company recognized a gain on sale of Telavant net assets of $110.4 million for its pro rata portion of the one-time milestone payment during the year ended March 31, 2025. The gain on sale of Telavant net assets qualifies under the substantial shareholding exemption in the United Kingdom (“U.K.”) and consequently is not subject to the corporation income tax. The following table summarizes the calculation of the gain recognized during the year ended March 31,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9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Upfront cash payment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5,234,373</w:t>
            </w:r>
          </w:p>
        </w:tc>
      </w:tr>
      <w:tr>
        <w:trPr>
          <w:trHeight w:val="243"/>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Carrying amount of noncontrolling interest derecognized</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r>
      <w:tr>
        <w:trPr>
          <w:trHeight w:val="27"/>
        </w:trPr>
        <w:tc>
          <w:tcPr>
            <w:tcW w:w="9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5,321,873</w:t>
            </w:r>
          </w:p>
        </w:tc>
      </w:tr>
      <w:tr>
        <w:trPr>
          <w:trHeight w:val="270"/>
        </w:trPr>
        <w:tc>
          <w:tcPr>
            <w:tcW w:w="9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sold</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transferred</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w:t>
            </w:r>
          </w:p>
        </w:tc>
      </w:tr>
      <w:tr>
        <w:trPr>
          <w:trHeight w:val="27"/>
        </w:trPr>
        <w:tc>
          <w:tcPr>
            <w:tcW w:w="9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liabilities sold</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(26,537)</w:t>
            </w:r>
          </w:p>
        </w:tc>
      </w:tr>
      <w:tr>
        <w:trPr>
          <w:trHeight w:val="270"/>
        </w:trPr>
        <w:tc>
          <w:tcPr>
            <w:tcW w:w="97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Gain on sale of Telavant net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5,348,410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pretax loss generated by Telavant was $71.1 million for the period from April 1, 2023 to the Transaction Date and $101.9 million for the period from inception on November 14, 2022 to March 31, 2023. The entirety of the Telavant pretax losses was attributable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Asset Acquisition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July 2023, Pulmovant Inc. (“Pulmovant”), a wholly-owned subsidiary of the Company, in-licensed certain intellectual property rights in exchange for a $14.0 million upfront cash payment. The transaction was accounted for as an asset acquisition as the acquired assets did not meet the definition of a business. The acquired rights represent in-process research and development assets, which were determined to have no alternative future use. Accordingly, the Company recorded $14.0 million as acquired in-process research and development expense in the accompanying consolidated statements of operations for the year ended March 31, 2024.</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Pulmovant agreed to pay up to $280 million of future development, regulatory and commercial milestone payments and tiered high-single digit sales-based royalties.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Dermavant Transaction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October 28, 2024, the Company completed the sale of its entire equity interest in its majority-owned subsidiary, Dermavant, to Organon.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Organon agreed to acquire Dermavant for aggregate cash consideration comprising (i) a payment of $175.0 million payable at the closing of the Dermavant Transaction, subject to certain adjustments, (ii) a $75.0 million milestone payment payable upon FDA approval of VTAMA (the “Product”) for the treatment of atopic dermatitis (the “AD Approval Milestone”) and (iii) up to $950.0 million in additional milestone payments payable upon achievement of certain tiered net sales amounts (each less than or equal to $1.0 billion) with respect to the Product. Additionally, Organon agreed to make tiered royalty payments of (x) low-to-mid single digit percentages with respect to annual net sales of the Product up to $1.0 billion and (y) 30% with respect to annual net sales of the Product above $1.0 billion. Such consideration and royalty payments are subject to certain post-closing adjustments and are payable to all of Dermavant’s equity holders, including holders of Dermavant RSUs, options and warrants, on a pro rata basis relative to their ownership of Dermavant prior to the closing of the Dermavant Transaction (in each case, after giving effect to the liquidation preference of Dermavant’s preference shares, all of which are held by the Company, and otherwise in accordance with the applicable terms of such securities). Under the liquidation preference of Dermavant’s preference shares, the Company is entitled to receive 100% of the first $270.0 million of consideration paid pursuant to the Merger Agreement. The Company received $183.6 million in cash in October 2024 upon the closing of the Dermavant Transaction, subject to certain post-closing adjustments that are not expected to be significant. The AD Approval Milestone was achieved in December 2024, and the Company received payment of the $75.0 million AD Approval Milestone in January 2025, pursuant to the terms of the Merger Agreement.</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contemplated by the Merger Agreement, in connection with the closing of the Dermavant Transaction, Dermavant repaid all amounts outstanding or otherwise payable (including accrued interest and all premiums and exit fees) pursuant to a senior secured credit facility (the “Credit Facility”), dated as of May 14, 2021 and amended as of May 24, 2024, by and among Dermavant, certain subsidiaries of Dermavant, XYQ Luxco S.A.R.L. and U.S. Bank Trust Company, National Association, and terminated the Credit Facility in accordance with its terms.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the closing of the Dermavant Transaction, all rights and obligations under each of (A) the Revenue Interest Purchase and Sale Agreement, dated as of May 14, 2021 and amended as of May 24, 2024, by and among Dermavant, Dermavant Sciences GmbH, XYQ Luxco S.A.R.L., NovaQuest Co-Investment Funds XVII, L.P., MAM Tapir Lender, LLC and U.S. Bank Trust Company, National Association and (B) the Funding Agreement, dated as of July 10, 2018 and amended as of May 24, 2024, by and among Dermavant, Dermavant Sciences GmbH and NovaQuest Co-Investment Fund VIII, L.P., were retained by Dermavant and its subsidiaries, which became indirect wholly owned subsidiaries of Organon.</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results of Dermavant through closing of the Dermavant Transaction are presented as “Income (loss) from discontinued operations, net of tax” in the accompanying consolidated statements of operations for the years ended March 31, 2025 and 2024. As a result of the Dermavant Transaction, the Company recognized a gain of $376.5 million for the year ended March 31, 2025, of which $301.5 million was recognized upon the deconsolidation of Dermavant and $75.0 million was subsequently recognized upon achievement of the first milestone.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discontinued operations related to the Dermavant Transaction included in “Income (loss) from discontinued operations, net of tax”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r>
      <w:tr>
        <w:trPr>
          <w:trHeight w:val="3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r>
      <w:tr>
        <w:trPr>
          <w:trHeight w:val="28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 milestone and other revenue</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271,310</w:t>
            </w:r>
          </w:p>
        </w:tc>
      </w:tr>
      <w:tr>
        <w:trPr>
          <w:trHeight w:val="28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347,098</w:t>
            </w: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(255,016)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subsidiary interests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34,778</w:t>
            </w: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(314,426)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 attributable to noncontrolling interests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 attributable to Roivant Sciences Ltd.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(313,059)</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373,664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(314,426)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0" w:hanging="332"/>
        <w:spacing w:after="0" w:line="229" w:lineRule="auto"/>
        <w:tabs>
          <w:tab w:leader="none" w:pos="328"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Gain on sale of subsidiary interests includes the release of accumulated other comprehensive loss of $19.9 million, primarily associated with the realization of Dermavant’s cumulative translation adjustments.</w:t>
      </w:r>
    </w:p>
    <w:p>
      <w:pPr>
        <w:spacing w:after="0" w:line="198"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consists of interest payments related to outstanding debt held by Dermavant as well as the associated non-cash amortization of debt discounts and issuance costs. Additionally, for the year ended March 31, 2025, interest expense includes an $8.8 million loss on extinguishment of the Credit Facility.</w:t>
      </w:r>
    </w:p>
    <w:p>
      <w:pPr>
        <w:spacing w:after="0" w:line="20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the accompanying consolidated statements of cash flows, the cash flows from discontinued operations are not separately classified. The following table summarizes significant non-cash operating and investing items from discontinued operations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r>
      <w:tr>
        <w:trPr>
          <w:trHeight w:val="34"/>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subsidiary interests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debt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r>
      <w:tr>
        <w:trPr>
          <w:trHeight w:val="27"/>
        </w:trPr>
        <w:tc>
          <w:tcPr>
            <w:tcW w:w="8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7—Certain Balance Sheet Components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at March 31, 2026 and 2025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6"/>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34"/>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Compensation-related expenses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r>
      <w:tr>
        <w:trPr>
          <w:trHeight w:val="27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205,823</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114,294</w:t>
            </w: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accrued research and development expenses included an accumulated accrual of $42.5 million of non-cancelable contractual costs as a result of the discontinuation of batoclimab, of which $39.0 million was recognized as research and development expense during the year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At-the-Market Equity Offering Program</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19, 2022, the Company entered into a sales agreement with Cowen and Company, LLC (“Cowen”) to sell its common shares having an aggregate offering price of up to $400.0 million from time to time through an “at-the-market” equity offering program under which Cowen acts as the Company’s agent (the “ATM Facility”).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Company had $400.0 million of remaining capacity available under the ATM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Share Repurchase Program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authorized various share repurchase programs, including a $1.5 billion (excluding fees and expenses) program that was completed in June 2025 and a subsequent program authorized in June 2025 and subsequently increased in March 2026, allowing for aggregate repurchases up to $1.0 billion (excluding fees and expenses). As of March 31, 2026, approximately $890.3 million remains available for share repurchases. During the year ended March 31, 2026, the Company repurchased 24,225,812 shares (including 270,000 common shares with a trade date of March 31, 2025 that settled on April 1, 2025) for an aggregate purchase price of approximately $318.1 million (including fees and expenses). During the year ended March 31, 2025, the Company repurchased 128,361,786 shares for an aggregate purchase price of approximately $1.3 billion (including fees and expenses), including 71,251,083 shares repurchased from Sumitomo Pharma Co., Ltd. at $9.10 per share for approximately $648.4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Common Share Purchase and Share Agreements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September 2023, the Company entered into common share purchase and sale agreements with certain institutional investors, pursuant to which the Company sold an aggregate of 19,600,685 of its common shares at a purchase price of $10.21 per share. Net proceeds to the Company were approximately $199.8 million after deducting offering expenses.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Consolidated Vant Equity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October 2023, the Company’s subsidiary, Immunovant, Inc. (“Immunovant”) completed an underwritten public offering of 8,475,500 shares of its common stock (including 1,526,316 shares of common stock purchased by the Company on the same terms as other investors in the offering and the full exercise of the underwriters’ option to purchase 1,105,500 additional shares of common stock) at a price to the public of $38.00 per share. Concurrent with the public offering, the Company purchased 4,473,684 shares of Immunovant’s common stock in a private placement exempt from the registration requirements of the Securities Act of 1933, as amended, at the same price per share as investors in the public offering of $38.00 per share. The net proceeds to Immunovant were approximately $466.7 million after deducting underwriting discounts and commissions, placement agent fees and offering expenses.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January 2025, Immunovant entered into a share purchase agreement pursuant to which Immunovant issued 22,500,000 shares of its common stock (including 16,845,010 shares of common stock purchased by the Company) at a price of $20.00 per share in a private placement exempt from the registration requirements of the Securities Act of 1933, as amended (the “IMVT PIPE”). The gross proceeds to Immunovant in the IMVT PIPE were approximately $450.0 million, of which $336.9 million related to the Company’s participation.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Immunovant completed an underwritten offering of 26,200,000 shares of its common stock (including 16,666,666 shares of common stock purchased by RSL) at a price of $21.00 per share, for net proceeds to Immunovant of approximately $543.6 million after deducting underwriting discounts and commissions and offering expenses. Following the purchase of shares by RSL, the Company’s ownership interest in Immunovant increased to approximately 56%, and the Company continues to consolidate Immunovant.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9—Share-Based Compensation and Other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RSL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2021 Equity Incentive Plan (the “RSL 2021 EIP”) was approved and adopted in connection with the Business Combination and became effective immediately prior to closing. As of March 31, 2026, 217,186,782 of the Company’s common shares were reserved for issuance under the RSL 2021 EIP. The number of common shares reserved for issuance under the RSL 2021 EIP will automatically increase on April 1 of each year by an amount equal to the lesser of (i) 5% of the common shares outstanding as of the last day of the immediately preceding fiscal year and (ii) such number of common shares as determined by the board of directors in its discretion. On February 25, 2026, the board of directors approved an evergreen increase for the fiscal year ending March 31, 2026, resulting in the number of shares available for issuance under the RSL 2021 EIP plan increasing by an amount representing 5% of the common shares outstanding as of March 31, 2025 (having previously deferred this decision from March 31, 2025). The RSL 2021 EIP has a ten-year term. The Company’s employees, directors and consultants are eligible to receive incentive stock options, nonqualified stock options, stock appreciation rights, restricted stock awards, RSUs, PSUs, and other stock awards under the RSL 2021 EIP. At March 31, 2026, a total of 60,944,783 common shares were available for future grants under the RSL 2021 EIP.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the effective date of the RSL 2021 EIP, no further stock awards have been or will be made under the Roivant Sciences Ltd. Amended and Restated 2015 Equity Incentive Plan (the “RSL 2015 EIP”). Awards outstanding under the RSL 2015 EIP remain subject to the terms of the RSL 2015 EIP and the applicable award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Performance Stock Options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Activity for stock options and performance stock options under the Company’s equity incentive plans for the year ended March 31, 2026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34"/>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139,412,098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384,006</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(64,389,618)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(1,194,802)</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76,091,993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1,596,933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2026</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69,594,586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1,474,526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all outstanding and exercisable options and the fair value of the Company’s common stock at March 31, 2026. At March 31, 2026, total unrecognized compensation expense related to non-vested stock options was approximately $30.3 million and is expected to be recognized over a weighted-average period of approximately 1.65 years. All performance stock options have been fully expensed as of December 2023.</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each stock option on the date of grant using the Black-Scholes closed form option-pricing model applying the weighted average assumptions in the following table. No performance stock options were granted during the years ended March 31, 2026, 2025 and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20" w:type="dxa"/>
            <w:vAlign w:val="bottom"/>
            <w:vMerge w:val="continue"/>
          </w:tcPr>
          <w:p>
            <w:pPr>
              <w:spacing w:after="0"/>
              <w:rPr>
                <w:sz w:val="21"/>
                <w:szCs w:val="21"/>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6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risk free interest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regarding stock options and performance stock options is set forth below (in thousands,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Years Ended March 31,</w:t>
            </w:r>
          </w:p>
        </w:tc>
        <w:tc>
          <w:tcPr>
            <w:tcW w:w="1140" w:type="dxa"/>
            <w:vAlign w:val="bottom"/>
          </w:tcPr>
          <w:p>
            <w:pPr>
              <w:spacing w:after="0"/>
              <w:rPr>
                <w:sz w:val="20"/>
                <w:szCs w:val="20"/>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645,161</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options vested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86,810</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share of stock options granted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9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Activity for RSUs under the Company’s equity incentive plans for the year ended March 31, 2026 was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4"/>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34"/>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14,119,949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6,473,525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(5,946,593)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8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(2,040,870)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12,606,011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March 31, 2026, 2025 and 2024 was $53.6 million, $49.3 million and $49.1 million, respectively. RSUs vest upon the achievement of time-based service requirements.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At March 31, 2026, total unrecognized compensation expense related to non-vested RSUs was approximately $115.8 million. Unrecognized compensation expense relating to RSUs is expected to be recognized over a weighted-average period of approximately 3.09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Activity for PSUs under the Company’s equity incentive plans for the year ended March 31, 2026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PSUs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34"/>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36,872,465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(585,229)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48,187,236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29" w:lineRule="auto"/>
        <w:tabs>
          <w:tab w:leader="none" w:pos="328"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March 31, 2026, 585,229 PSUs originally granted in 2016 and 2017 under the Company’s now-expired 2015 Restricted Stock Unit Plan were forfeited.</w:t>
      </w:r>
    </w:p>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2026, 2025 and 2024, no PSUs vested. The vesting of PSUs requires that certain performance or market conditions be achieved during the performance period. Refer below for details regarding the achievement of the Performance Condition (defined below) for certain tranches of the PSUs granted pursuant to the Senior Executive Compensation Program (defined below).</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2026, total unrecognized compensation expense related to non-vested PSUs was approximately $205.4 million. Unrecognized compensation expense relating to PSUs, excluding those deemed improbable of vesting as of March 31, 2026, is expected to be recognized over a weighted-average period of approximately 1.04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Compensation Program</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the Compensation Committee of the board of directors approved a multi-year incentive compensation program for each of Matthew Gline, Chief Executive Officer; Mayukh Sukhatme, President and Chief Investment Officer; and Eric Venker, President and Chief Operating Officer. The program primarily consists of two key components: (i) one-time cash retention awards (refer below for further details regarding the one-time cash retention awards) and (ii) long-term equity incentive awards granted in the form of PSUs with both a performance- and a time-vesting component, time-vesting RSUs and time-vesting stock options. In July 2025, the board of directors appointed Frank Torti as an executive officer of the Company with the title President and Vant Chair. In connection with this appointment, the Compensation Committee approved a compensation package for Dr. Torti consisting of the same key components and with PSU and RSU awards approved on the same terms as those awarded in July 2024. Collectively, these compensation arrangements are referred to herein as the “Senior Executive Compensation Program.”</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long-term equity incentive awards approved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38"/>
        </w:trPr>
        <w:tc>
          <w:tcPr>
            <w:tcW w:w="24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1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Units (at max)</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34"/>
        </w:trPr>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0"/>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Gline</w:t>
            </w: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14,450,000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2,754,821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Mayukh Sukhatme</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Investment Officer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1,836,547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Venker</w:t>
            </w: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Immunovant CEO</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409,000</w:t>
            </w:r>
          </w:p>
        </w:tc>
      </w:tr>
      <w:tr>
        <w:trPr>
          <w:trHeight w:val="24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Torti</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Vant Chair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11,900,000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1,836,547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180" w:hanging="172"/>
        <w:spacing w:after="0" w:line="282" w:lineRule="auto"/>
        <w:tabs>
          <w:tab w:leader="none" w:pos="1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letter agreement pursuant to which Dr. Venker may be granted up to 11,900,000 PSUs in the future, in the sole discretion of the Compensation Committee of the board of directors.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stock options and performance stock options table above includes the stock options granted to Dr. Venker pursuant to the Senior Executive Compensation Program with a total grant date fair value of $2.9 million. The Performance Restricted Stock Units and Restricted Stock Units tables above include the PSUs granted to Mr. Gline, Dr. Sukhatme and Dr. Torti and the RSUs granted to Mr. Gline, Dr. Sukhatme, Dr. Venker and Dr. Torti pursuant to the Senior Executive Compensation Program with total grant date fair values of $363.3 million and $72.7 million, respectively.</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PSUs granted to Mr. Gline, Dr. Sukhatme and Dr. Torti consist of six vesting tranches, with the number of PSUs allocated to each such tranche set forth in the table below. Each tranche of PSUs will vest on the first date that both of the “Service Condition” and the “Performance Condition” applicable to such tranche has been satisfied. The “Performance Condition” will be deemed satisfied for each tranche on the first date, during the performance period ending on the five-year anniversary of the grant date (the “Performance Period”), when the Company’s trailing 30-day volume weighted average trading price per share (“30-Day VWAP”) for trading days during the Performance Period exceeds the specified share price hurdle set forth in the table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Tranche</w:t>
            </w: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 of PSUs</w:t>
            </w: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 Price</w:t>
            </w:r>
          </w:p>
        </w:tc>
      </w:tr>
      <w:tr>
        <w:trPr>
          <w:trHeight w:val="34"/>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Tranche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Tranche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Tranche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Tranche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7"/>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Fifth Tranche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Sixth Tranche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the share price hurdles for the first five of the six vesting tranches of the PSUs granted pursuant to the Senior Executive Compensation Program were met as a result of the Company’s 30-Day VWAP exceeding the specified share price hurdles of $15.00, $17.50, $20.00, $22.50 and $25.00. As a result, the “Performance Condition” applicable to the PSUs was satisfied for 28,051,785 PSUs.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“Service Condition” with respect to each tranche will be deemed satisfied on the first anniversary of the date on which the Performance Condition is first satisfied with respect to such tranche, subject to the executive’s continuous service through such anniversary. Following the achievement of the Service Condition and the vesting of any tranche of the PSUs, the common shares underlying the applicable vested tranche of PSUs are subject to a further two-year holding period before such common shares may be sold by the executive (subject to certain exceptions).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estimated the fair value of the PSUs on the date of grant using a Monte Carlo simulation applying the assumptions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0" w:type="dxa"/>
            <w:vAlign w:val="bottom"/>
          </w:tcPr>
          <w:p>
            <w:pPr>
              <w:spacing w:after="0"/>
              <w:rPr>
                <w:sz w:val="1"/>
                <w:szCs w:val="1"/>
                <w:color w:val="auto"/>
              </w:rPr>
            </w:pPr>
          </w:p>
        </w:tc>
      </w:tr>
      <w:tr>
        <w:trPr>
          <w:trHeight w:val="27"/>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risk free interest rate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 on date of grant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7"/>
        </w:trPr>
        <w:tc>
          <w:tcPr>
            <w:tcW w:w="7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the PSUs are subject to the market performance of the Company’s stock price, share-based compensation expense is recognized over the requisite service period regardless of whether the market condition is ultimately satisfied, subject to continued service over the period. The Company has not recognized share-based compensation expense for potential PSU awards to Dr. Venker as these PSUs have not been granted by the Compensation Committee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Value Appreciation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2020 CVAR Grants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CVARs granted in March 2020 settled into a number of common shares equal to the excess of (a) the lesser of (i) the fair market value of a common share as of the settlement date or (ii) the cap of $12.68, over (b) the hurdle price of either $6.40 or $11.50, as applicable to each grant. CVARs with the lower hurdle price of $6.40 were subject to a condition (the “Knock-In Condition”) pursuant to which in the event the fair market value of a common share was greater than $6.40 per share but less than $9.20 per share as of the relevant date of determination, the award of CVARs remained outstanding unless and until the Knock-In Condition was satisfied as of any applicable monthly measurement date before the expiration date of the CVARs.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any CVARs satisfied the time-based service and liquidity event vesting requirements (“service-vested CVARs”) but had not satisfied the hurdle price on an applicable measurement date, then such CVARs remained outstanding and the applicable award holder was provided the right to earn such CVARs if the hurdle price was satisfied on subsequent annual “hurdle measurement dates” prior to the original expiration date of the CVARs, being March 31, 2026. The “hurdle measurement dates” were March 30 of each of years 2023 through 2026. If the hurdle price is not satisfied on any such subsequent annual hurdle measurement date prior to the expiration date of the CVARs, then the CVARs would be forfeited in their entirety on the expiration date.</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2026, all 17,548,368 service-vested CVARs previously outstanding as of March 31, 2025 satisfied their applicable hurdle price on the applicable hurdle measurement date of March 30, 2026. As a result, 422,216 common shares were issued upon the net settlement of these CVARs in April 2026. As of March 31, 2026, no CVARs granted in March 2020 remain outstanding. All March 2020 CVARs were entirely service-vested as of December 2023, and as such, have been fully expensed since December 2023. The total fair value of CVARs that service-vested during the year ended March 31, 2024 was $2.1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2021 CVAR Grants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 made one-time grants of 6,317,350 CVARs in the aggregate under the RSL 2021 EIP to eligible participants. The CVARs are eligible to vest based on the satisfaction of service-based and performance-based vesting requirements. The performance-based vesting requirement was achieved in December 2021. Vested CVARs will be settled in common shares, up to a specified cap price.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Activity for CVARs under the RSL 2021 EIP for the year ended March 31, 2026 was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64"/>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Number of CVARs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34"/>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348,527</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(297,795)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fair value of CVARs that vested during the years ended March 31, 2026, 2025 and 2024 was $1.5 million, $5.9 million and $6.2 million, respectively. During the year ended March 31, 2026, 297,795 common shares were issued upon their settlement.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Employee Stock Purchase Plan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September 2021, the Company adopted the Roivant Sciences Ltd. Employee Stock Purchase Plan (the “RSL ESPP”), which provides eligible employees, as defined by the RSL ESPP, the opportunity to purchase stock under the RSL ESPP at a price equal to 85% of the lower of the closing price on</w:t>
      </w:r>
    </w:p>
    <w:p>
      <w:pPr>
        <w:jc w:val="both"/>
        <w:ind w:firstLine="8"/>
        <w:spacing w:after="0" w:line="255" w:lineRule="auto"/>
        <w:tabs>
          <w:tab w:leader="none" w:pos="2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trading day, or (ii) the last trading day of each offering period. Contributions under the RSL ESPP are limited to a maximum of 15% of an employee’s base salary during the offering period and an annual maximum of $25 thousand. The Company opened enrollment in August 2022 for a three-month initial offering period, beginning October 2022, with additional six-month offering periods following thereafter.</w:t>
      </w:r>
    </w:p>
    <w:p>
      <w:pPr>
        <w:spacing w:after="0" w:line="1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2026, 2025 and 2024, 121,724, 118,640 and 140,227 common shares were purchased and issued under the RSL ESPP, respectively. Share-based compensation expense recorded was approximately $0.4 million, $0.5 million and $0.5 million for the years ended March 31, 2026,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Subsidiary Equity Incentive Plans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$83.4 million, $56.1 million and $54.9 million for the years ended March 31, 2026, 2025 and 2024, respectively, related to subsidiary EIPs. At March 31, 2026, total unrecognized compensation expense related to subsidiary equity was approximately $97.0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Priovant Share Exchange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2025, the Company offered certain holders of vested equity of the Company’s subsidiary, Priovant Holdings, Inc. (“Priovant”), the opportunity to exchange a portion of their vested equity granted under the Priovant 2021 Equity Incentive Plan for RSL common shares granted under the RSL 2021 EIP (the “Exchange Offer”). The Exchange Offer expired on December 23, 2025. On December 23, 2025, immediately following the expiration of the Exchange Offer, the exchanged Priovant equity instruments were canceled, and the Company granted 1,746,194 RSL common shares, under the RSL 2021 EIP, to the individuals participating in the Exchange Offer. The Exchange Offer was treated as a modification for accounting purposes and resulted in incremental share-based compensation expense of $25.2 million, of which $8.3 million was recognized to research and development expense and $16.9 million was recognized to general and administrative expense. This incremental expense was recognized in full on December 23,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Cash Bonus Program</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2024, the Company approved a special one-time cash retention bonus award to its employees in the aggregate amount of $79.7 million (the “Cash Bonus Program”).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2026, 2025 and 2024, the Company recognized general and administrative expense of $4.5 million, $21.2 million and $35.6 million, respectively, and research and development expense of $0.9 million, $5.8 million and $9.9 million, respectively, relating to the Cash Bonus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Senior Executive Compensation Program Cash Awards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Senior Executive Compensation Program, the Company paid the following one-time cash retention awards to the officers listed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Cash Awards</w:t>
            </w:r>
          </w:p>
        </w:tc>
      </w:tr>
      <w:tr>
        <w:trPr>
          <w:trHeight w:val="238"/>
        </w:trPr>
        <w:tc>
          <w:tcPr>
            <w:tcW w:w="48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86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34"/>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Gline</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Mayukh Sukhatme</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Investment Officer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80,550</w:t>
            </w: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Venker</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Immunovant CEO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Torti</w:t>
            </w: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Vant Chair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3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cash retention rewards, the Company recognized general and administrative expense of $14.8 million and $86.4 million during the years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(loss) income before income taxes and the related expense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Bermuda</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5,189,812</w:t>
            </w:r>
          </w:p>
        </w:tc>
        <w:tc>
          <w:tcPr>
            <w:tcW w:w="0" w:type="dxa"/>
            <w:vAlign w:val="bottom"/>
          </w:tcPr>
          <w:p>
            <w:pPr>
              <w:spacing w:after="0"/>
              <w:rPr>
                <w:sz w:val="1"/>
                <w:szCs w:val="1"/>
                <w:color w:val="auto"/>
              </w:rPr>
            </w:pPr>
          </w:p>
        </w:tc>
      </w:tr>
      <w:tr>
        <w:trPr>
          <w:trHeight w:val="24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(232,592)</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(389,948)</w:t>
            </w:r>
          </w:p>
        </w:tc>
        <w:tc>
          <w:tcPr>
            <w:tcW w:w="0" w:type="dxa"/>
            <w:vAlign w:val="bottom"/>
          </w:tcPr>
          <w:p>
            <w:pPr>
              <w:spacing w:after="0"/>
              <w:rPr>
                <w:sz w:val="1"/>
                <w:szCs w:val="1"/>
                <w:color w:val="auto"/>
              </w:rPr>
            </w:pPr>
          </w:p>
        </w:tc>
      </w:tr>
      <w:tr>
        <w:trPr>
          <w:trHeight w:val="24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34"/>
        </w:trPr>
        <w:tc>
          <w:tcPr>
            <w:tcW w:w="6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income from continuing operations before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4,567,856</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400" w:hanging="392"/>
        <w:spacing w:after="0"/>
        <w:tabs>
          <w:tab w:leader="none" w:pos="400" w:val="left"/>
        </w:tabs>
        <w:numPr>
          <w:ilvl w:val="0"/>
          <w:numId w:val="9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entities which are centrally managed and controlled in the U.K. and are subject to U.K. taxes.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Bermuda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Bermuda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80" w:hanging="472"/>
        <w:spacing w:after="0"/>
        <w:tabs>
          <w:tab w:leader="none" w:pos="480" w:val="left"/>
        </w:tabs>
        <w:numPr>
          <w:ilvl w:val="0"/>
          <w:numId w:val="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Inclusive of the state and local income taxes.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payments by jurisdiction, net of refunds,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Years Ended March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3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35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2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9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156"/>
              <w:spacing w:after="0"/>
              <w:rPr>
                <w:sz w:val="20"/>
                <w:szCs w:val="20"/>
                <w:color w:val="auto"/>
              </w:rPr>
            </w:pPr>
            <w:r>
              <w:rPr>
                <w:rFonts w:ascii="Times New Roman" w:cs="Times New Roman" w:eastAsia="Times New Roman" w:hAnsi="Times New Roman"/>
                <w:sz w:val="14"/>
                <w:szCs w:val="14"/>
                <w:color w:val="auto"/>
              </w:rPr>
              <w:t>187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35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5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income tax expense computed at the Bermuda statutory rate to income tax expense reflected in the consolidated financial statements for the year ended March 31, 2026, pursuant to the new disclosure requirements of ASU 2023-09, is as follows (in thousands, except percentages):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7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Income tax benefit at Bermuda statutory tax rate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Statutory tax rate difference between Bermuda and U.K.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Nondeductible/(nontaxable) changes in the fair value of investments and loss from 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Taxable intercompany income/(deductible intercompany expense)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(123,074)</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Nontaxable income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changes in the fair value of the Earn-Out Shares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142,562</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Statutory tax rate difference between Bermuda and Switzerland</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Cantonal and communal taxes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Deductible federal taxes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Intercompany reorganization</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138,465</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(112,256)</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Reversal of certain deferred tax assets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Statutory tax rate difference between Bermuda and the U.S.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60,323</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deficiencies (excess tax benefits) from stock-based compensation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Taxable intercompany income/ (deductible intercompany expense)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160,909</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(26,310)</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Income/(loss) from disregarded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(64,511)</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tax credits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34"/>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9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62" w:lineRule="exact"/>
        <w:rPr>
          <w:sz w:val="20"/>
          <w:szCs w:val="20"/>
          <w:color w:val="auto"/>
        </w:rPr>
      </w:pPr>
    </w:p>
    <w:p>
      <w:pPr>
        <w:ind w:left="480" w:hanging="472"/>
        <w:spacing w:after="0"/>
        <w:tabs>
          <w:tab w:leader="none" w:pos="480" w:val="left"/>
        </w:tabs>
        <w:numPr>
          <w:ilvl w:val="0"/>
          <w:numId w:val="1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country of domicile is Bermuda, as we are legally incorporated there, and therefore have applied its 0% statutory rate.</w:t>
      </w:r>
    </w:p>
    <w:p>
      <w:pPr>
        <w:spacing w:after="0" w:line="1"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1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taxes in Swiss canton of Basel-Stadt made up the majority of the state tax effect in this category (greater than 50%)</w:t>
      </w:r>
    </w:p>
    <w:p>
      <w:pPr>
        <w:spacing w:after="0" w:line="2" w:lineRule="exact"/>
        <w:rPr>
          <w:rFonts w:ascii="Times New Roman" w:cs="Times New Roman" w:eastAsia="Times New Roman" w:hAnsi="Times New Roman"/>
          <w:sz w:val="23"/>
          <w:szCs w:val="23"/>
          <w:color w:val="auto"/>
          <w:vertAlign w:val="superscript"/>
        </w:rPr>
      </w:pPr>
    </w:p>
    <w:p>
      <w:pPr>
        <w:ind w:left="500" w:hanging="492"/>
        <w:spacing w:after="0" w:line="219" w:lineRule="auto"/>
        <w:tabs>
          <w:tab w:leader="none" w:pos="488" w:val="left"/>
        </w:tabs>
        <w:numPr>
          <w:ilvl w:val="0"/>
          <w:numId w:val="1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deferred tax assets associated with entities no longer included in the consolidated financial statements (i.e. sold, deconsolidated, or liquidated) and Switzerland expiring net operating losses.</w:t>
      </w:r>
    </w:p>
    <w:p>
      <w:pPr>
        <w:spacing w:after="0" w:line="3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year ended March 31, 2026 was (50.4)% and is driven by our fluctuating earnings by legal entity in various jurisdictions over the period and a valuation allowance that eliminates the Company’s global net deferred tax assets. The jurisdictional earnings were significantly impacted by the income associated with the gain on litigation settlement, refer to Note 5, “Recent Transactions and Developments.” The effective tax rate was also driven by the impacts of taxable intercompany income and non-deductible executive compensation.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reconciliation for the year ended March 31, 2026 is presented in accordance with ASU 2023-09, while the effective tax rate reconciliations for the years ended March 31, 2025 and 2024 have not been recast and continue to be presented under the prior guidance. As a result of the adoption of ASU 2023-09, certain items in the effective tax rate reconciliation may have been reclassified between categories compared to prior periods; however, such reclassifications did not have a material impact on any individual line items or the overall effective tax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income tax expense computed at the Bermuda statutory rate to income tax expense reflected in the consolidated financial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statements,   for   the   years   ending   March   31,   2025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and</w:t>
            </w: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2024,   are   as</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follows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9"/>
              </w:rPr>
              <w:t>(in</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thousands,   except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percentages):</w:t>
            </w:r>
          </w:p>
        </w:tc>
      </w:tr>
      <w:tr>
        <w:trPr>
          <w:trHeight w:val="229"/>
        </w:trPr>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19"/>
                <w:szCs w:val="19"/>
                <w:color w:val="auto"/>
              </w:rPr>
            </w:pPr>
          </w:p>
        </w:tc>
      </w:tr>
      <w:tr>
        <w:trPr>
          <w:trHeight w:val="238"/>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34"/>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Bermuda statutory tax rate</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1,196,877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disallowed IPR&amp;D</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effect of changes in the fair value of investments and loss from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Substantial shareholding exemption</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deficiencies (excess tax benefits) from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adjustments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of certain deferred tax assets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4"/>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480" w:hanging="472"/>
        <w:spacing w:after="0"/>
        <w:tabs>
          <w:tab w:leader="none" w:pos="480" w:val="left"/>
        </w:tabs>
        <w:numPr>
          <w:ilvl w:val="0"/>
          <w:numId w:val="10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related to operations in the U.S., Switzerland, the U.K., and other jurisdictions with statutory tax rates different than the Bermuda rate.</w:t>
      </w:r>
    </w:p>
    <w:p>
      <w:pPr>
        <w:spacing w:after="0" w:line="1" w:lineRule="exact"/>
        <w:rPr>
          <w:rFonts w:ascii="Times New Roman" w:cs="Times New Roman" w:eastAsia="Times New Roman" w:hAnsi="Times New Roman"/>
          <w:sz w:val="23"/>
          <w:szCs w:val="23"/>
          <w:color w:val="auto"/>
          <w:vertAlign w:val="superscript"/>
        </w:rPr>
      </w:pPr>
    </w:p>
    <w:p>
      <w:pPr>
        <w:ind w:left="500" w:hanging="492"/>
        <w:spacing w:after="0" w:line="219" w:lineRule="auto"/>
        <w:tabs>
          <w:tab w:leader="none" w:pos="488" w:val="left"/>
        </w:tabs>
        <w:numPr>
          <w:ilvl w:val="0"/>
          <w:numId w:val="10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deferred tax assets associated with entities no longer included in the consolidated financial statements (i.e., sold, deconsolidated or liquidated) and Switzerland expiring net operating losses.</w:t>
      </w:r>
    </w:p>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years ended March 31, 2025 and 2024 was (7.1)% and 0.5%, respectively. The effective tax rate for the year ended March 31, 2025 is driven by earnings by jurisdiction and a valuation allowance that eliminates the Company’s global net deferred tax assets. The effective tax rate for the year ended March 31, 2024 is driven by the Company’s gain on sale of Telavant net assets, which qualifies for the substantial shareholding exemption in the U.K. and consequently is not subject to the corporation income tax, as well as earnings by jurisdiction and a valuation allowance that eliminates the Company’s global net deferred tax assets.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taxes reflect the tax effects of the differences between the amounts recorded as assets and liabilities for financial reporting purposes and the comparable amounts recorded for income tax purposes. Significant components of the deferred tax assets (liabilities) at March 31, 2026 and 2025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3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tax credits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0" w:type="dxa"/>
            <w:vAlign w:val="bottom"/>
          </w:tcPr>
          <w:p>
            <w:pPr>
              <w:spacing w:after="0"/>
              <w:rPr>
                <w:sz w:val="1"/>
                <w:szCs w:val="1"/>
                <w:color w:val="auto"/>
              </w:rPr>
            </w:pPr>
          </w:p>
        </w:tc>
      </w:tr>
      <w:tr>
        <w:trPr>
          <w:trHeight w:val="230"/>
        </w:trPr>
        <w:tc>
          <w:tcPr>
            <w:tcW w:w="81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916,567</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(701,219)</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net operating losses in Switzerland, the U.S. and the U.K. in the amount of $1,512.9 million, $890.7 million and $613.4 million, respectively. The Switzerland net operating losses will expire in varying amounts between March 31, 2027 and March 31, 2032. The U.S. net operating losses can be carried forward indefinitely with utilization limited to 80% of future taxable income for tax years beginning on or after January 1, 2021, while the U.K. and other net operating losses can be carried forward indefinitely as well, with an annual limitation on utilization. The Company has $66.0 million of federal research tax credit carryforwards in the U.S., which will expire in varying amounts between March 31, 2039 and March 31, 2046. Additionally, credits of $10.8 million are related to various states and Canada.</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2026, Immunovant completed an internal reorganization and transfer of intellectual property rights related to their product candidates, between two of its wholly-owned subsidiaries. Ownership and rights to such intellectual property remain with Immunovant and its subsidiaries. Immunovant utilized a significant portion of their Switzerland net operating loss carryforwards to offset the impacts of the internal reorganization. Further, the internal reorganization generated deferred tax assets related to capitalized research and development expenses that will be deductible in the U.S. in future periods.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assesses the realizability of the deferred tax assets at each balance sheet date based on available positive and negative evidence in order to determine the amount which is more likely than not to be realized and record a valuation allowance as necessary. Due to the Company’s cumulative loss position (exclusive of the gain on sale of Telavant net assets) which provides significant negative evidence difficult to overcome, the Company has recorded a valuation allowance of $897.2 million as of March 31, 2026, representing the portion of the deferred tax asset that is not more likely than not to be realized. For the period April 1, 2025 through March 31, 2026, the valuation allowance increased by $196.0 million, primarily as a result of corresponding increases in our global net operating losses. The amount of the deferred tax asset considered realizable could be adjusted for future factors that would impact the assessment of the objective and subjective evidence of the Company. The Company will continue to assess the realizability of deferred tax assets at each balance sheet date in order to determine the amount, if any, required for a valuation allowance.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are outside basis differences related to the Company’s investment in subsidiaries for which no deferred taxes have been recorded, as these would not be subject to tax on repatriation, as Bermuda has no tax regime for Bermuda exempted limited companies, and the U.K. tax regime relating to company distributions and sales generally provides for exemption from tax for most overseas profits, subject to certain exceptions.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is subject to tax and is required to file U.S., U.K. and Switzerland federal income tax returns, as well as income tax returns in various state, local and foreign jurisdictions. The Company is subject to tax examinations for tax years ended March 31, 2019 and forward in major taxing jurisdictions. Tax audits and examinations can involve complex issues, interpretations and judgments. The resolution of matters may span multiple years particularly if subject to litigation or negotiation. The Company believes it has appropriately recorded its tax position using reasonable estimates and assumptions, however, the potential tax benefits may impact the results of operations or cash flows in the period of resolution, settlement or when the statutes of limitations expire.</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unrecognized tax benefit activity during the years ended March 31, 2026, 2025 and 2024 were not material to the Company’s consolidated financial statements. No interest and penalties related to unrecognized tax benefits were recorded as of March 31, 2026, 2025 or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4, 2025, H.R. 1, 119th Cong. (2025), also referred to as the “One Big Beautiful Bill Act” (the “2025 Tax Act” or “OBBBA”) was signed into law in the U.S., which includes a broad range of tax reform provisions. The impact of the OBBBA on the Company’s accompanying consolidated financial statements is not material to the Company’s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11—Leases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operating leases consist primarily of real estate leases, including those entered into by certain wholly owned and majority-owned or controlled subsidiaries of RSL.</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September 2024, the Company’s subsidiary, Roivant Sciences, Inc. (“RSI”), entered into a lease agreement with One Penn Plaza LLC for office space in New York, NY to serve as the new U.S. corporate headquarters of RSI (the “One Penn Lease”). The One Penn Lease commenced in December 2024 and will expire in August 2041. The lease contains an option to early terminate in August 2036 and an option to extend the term for one additional period of 5 years or 10 years at then-market rates in August 2041. The options to early terminate or extend the lease term were not included in the lease term as it was not reasonably certain that they would be exercised at lease commencement. The lease is classified as an operating lease and includes a period of free rent and tenant improvement incentives. Upon lease commencement, the Company recognized an operating right-of-use asset and lease liability of approximately $49.1 million, net of lease incentives received.</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2025, in connection with the relocation of the U.S. corporate headquarters of Roivant Sciences, Inc. and the execution of a sublease agreement, the Company identified a triggering event for the associated operating lease right-of-use asset and leasehold improvements (the asset group) for the former U.S. corporate headquarters. The Company determined that the asset group was not recoverable as its carrying amount exceeded the future net undiscounted cash flows expected under the sublease agreement. The Company measured the fair value of the asset group using an income approach based on a discounted cash flow methodology using significant Level 3 inputs. Key inputs used in the valuation included contractual and market-based sublease rental rates, estimated lease commencement date, transaction costs, and a discount rate of 8.5%.</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the carrying amount of the asset group exceeded its fair value, the Company recognized a total pre-tax impairment charge of $17.1 million during the year ended March 31, 2026, which is included in general and administrative expenses in the consolidated statements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operating lease expense for the Company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3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1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30"/>
        </w:trPr>
        <w:tc>
          <w:tcPr>
            <w:tcW w:w="37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284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40" w:type="dxa"/>
            <w:vAlign w:val="bottom"/>
            <w:vMerge w:val="restart"/>
          </w:tcPr>
          <w:p>
            <w:pPr>
              <w:jc w:val="right"/>
              <w:ind w:right="779"/>
              <w:spacing w:after="0"/>
              <w:rPr>
                <w:sz w:val="20"/>
                <w:szCs w:val="20"/>
                <w:color w:val="auto"/>
              </w:rPr>
            </w:pPr>
            <w:r>
              <w:rPr>
                <w:rFonts w:ascii="Times New Roman" w:cs="Times New Roman" w:eastAsia="Times New Roman" w:hAnsi="Times New Roman"/>
                <w:sz w:val="14"/>
                <w:szCs w:val="14"/>
                <w:color w:val="auto"/>
              </w:rPr>
              <w:t>191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3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7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related to the Company’s operating lease right-of-use assets and lease liabilities was as follows (in thousands, except periods and percentages):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8"/>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Years Ended March 31,</w:t>
            </w:r>
          </w:p>
        </w:tc>
        <w:tc>
          <w:tcPr>
            <w:tcW w:w="1140" w:type="dxa"/>
            <w:vAlign w:val="bottom"/>
          </w:tcPr>
          <w:p>
            <w:pPr>
              <w:spacing w:after="0"/>
              <w:rPr>
                <w:sz w:val="20"/>
                <w:szCs w:val="20"/>
                <w:color w:val="auto"/>
              </w:rPr>
            </w:pPr>
          </w:p>
        </w:tc>
      </w:tr>
      <w:tr>
        <w:trPr>
          <w:trHeight w:val="34"/>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10,393</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10,263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9,605</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51,364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608"/>
        </w:trPr>
        <w:tc>
          <w:tcPr>
            <w:tcW w:w="6280" w:type="dxa"/>
            <w:vAlign w:val="bottom"/>
          </w:tcPr>
          <w:p>
            <w:pPr>
              <w:spacing w:after="0"/>
              <w:rPr>
                <w:sz w:val="24"/>
                <w:szCs w:val="24"/>
                <w:color w:val="auto"/>
              </w:rPr>
            </w:pPr>
          </w:p>
        </w:tc>
        <w:tc>
          <w:tcPr>
            <w:tcW w:w="17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24"/>
                <w:szCs w:val="24"/>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34"/>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5"/>
              </w:rPr>
              <w:t>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540"/>
        </w:trPr>
        <w:tc>
          <w:tcPr>
            <w:tcW w:w="80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As of March 31, 2026, maturities of operating lease liabilities were as follows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March 31,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94,356</w:t>
            </w:r>
          </w:p>
        </w:tc>
      </w:tr>
      <w:tr>
        <w:trPr>
          <w:trHeight w:val="34"/>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(59,331)</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3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6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0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107,438</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leases, consisting primarily of real estate leases. Refer to Note 11, “Leases”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commitments under various asset acquisition and license agreements. Potential material future milestone and royalty payments as of March 31, 2026 pursuant to certain key asset acquisition and license agreements are as follows:</w:t>
      </w:r>
    </w:p>
    <w:p>
      <w:pPr>
        <w:spacing w:after="0" w:line="158" w:lineRule="exact"/>
        <w:rPr>
          <w:sz w:val="20"/>
          <w:szCs w:val="20"/>
          <w:color w:val="auto"/>
        </w:rPr>
      </w:pPr>
    </w:p>
    <w:p>
      <w:pPr>
        <w:ind w:left="500" w:hanging="330"/>
        <w:spacing w:after="0" w:line="281" w:lineRule="auto"/>
        <w:tabs>
          <w:tab w:leader="none" w:pos="4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Anti-FcRn franchise (Immunovant): </w:t>
      </w:r>
      <w:r>
        <w:rPr>
          <w:rFonts w:ascii="Times New Roman" w:cs="Times New Roman" w:eastAsia="Times New Roman" w:hAnsi="Times New Roman"/>
          <w:sz w:val="18"/>
          <w:szCs w:val="18"/>
          <w:color w:val="auto"/>
        </w:rPr>
        <w:t>up to a maximum of $420.0 million to HanAll Biopharma Co., Ltd. upon the achievement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and sales milestone events and tiered mid-single-digits to mid-teens royalty on net sales.</w:t>
      </w:r>
    </w:p>
    <w:p>
      <w:pPr>
        <w:spacing w:after="0" w:line="1" w:lineRule="exact"/>
        <w:rPr>
          <w:rFonts w:ascii="Times New Roman" w:cs="Times New Roman" w:eastAsia="Times New Roman" w:hAnsi="Times New Roman"/>
          <w:sz w:val="18"/>
          <w:szCs w:val="18"/>
          <w:color w:val="auto"/>
        </w:rPr>
      </w:pPr>
    </w:p>
    <w:p>
      <w:pPr>
        <w:ind w:left="500" w:hanging="330"/>
        <w:spacing w:after="0" w:line="281" w:lineRule="auto"/>
        <w:tabs>
          <w:tab w:leader="none" w:pos="4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Brepocitinib (Priovant): </w:t>
      </w:r>
      <w:r>
        <w:rPr>
          <w:rFonts w:ascii="Times New Roman" w:cs="Times New Roman" w:eastAsia="Times New Roman" w:hAnsi="Times New Roman"/>
          <w:sz w:val="18"/>
          <w:szCs w:val="18"/>
          <w:color w:val="auto"/>
        </w:rPr>
        <w:t>mid tens-of-millions sales milestone payment to Pfizer if aggregate net sales in a given year exceed a mid-hundreds-of-millions amount and tiered sub-teens royalty on net sales.</w:t>
      </w:r>
    </w:p>
    <w:p>
      <w:pPr>
        <w:spacing w:after="0" w:line="1" w:lineRule="exact"/>
        <w:rPr>
          <w:rFonts w:ascii="Times New Roman" w:cs="Times New Roman" w:eastAsia="Times New Roman" w:hAnsi="Times New Roman"/>
          <w:sz w:val="18"/>
          <w:szCs w:val="18"/>
          <w:color w:val="auto"/>
        </w:rPr>
      </w:pPr>
    </w:p>
    <w:p>
      <w:pPr>
        <w:ind w:left="500" w:hanging="330"/>
        <w:spacing w:after="0" w:line="281" w:lineRule="auto"/>
        <w:tabs>
          <w:tab w:leader="none" w:pos="4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Mosliciguat (Pulmovant): </w:t>
      </w:r>
      <w:r>
        <w:rPr>
          <w:rFonts w:ascii="Times New Roman" w:cs="Times New Roman" w:eastAsia="Times New Roman" w:hAnsi="Times New Roman"/>
          <w:sz w:val="18"/>
          <w:szCs w:val="18"/>
          <w:color w:val="auto"/>
        </w:rPr>
        <w:t>up to a maximum of $280.0 million to Bayer AG upon the achievement of certain development, regulatory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milestone events and tiered high-single-digits royalty on net sales.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LNP Technology (Genevant): </w:t>
      </w:r>
      <w:r>
        <w:rPr>
          <w:rFonts w:ascii="Times New Roman" w:cs="Times New Roman" w:eastAsia="Times New Roman" w:hAnsi="Times New Roman"/>
          <w:sz w:val="18"/>
          <w:szCs w:val="18"/>
          <w:color w:val="auto"/>
        </w:rPr>
        <w:t>up to 20% of Royalty-Related Receipts (as defined in the Cross-License Agreement).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Company has further commitments not reflected above relating to other asset acquisition and license agreements entered and expects to enter into additional asset acquisition and license agreements in the future, which may require upfront payments and long-term commitments of capital resources.</w:t>
      </w:r>
    </w:p>
    <w:p>
      <w:pPr>
        <w:spacing w:after="0" w:line="3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the Company enters into agreements with contract service providers to assist in the performance of its research and development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subsidiary, Immunovant, had an accumulated accrual of $42.5 million of non-cancelable contractual costs as a result of the discontinuation of batoclimab, of which $39.0 million was recognized as research and development expense during the year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Loss Contingencies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Indemnification Agreements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 The maximum amount of potential future indemnification is unlimited; however, the Company currently maintains director and officer liability insurance, which may cover certain liabilities arising from the Company’s obligation to indemnify its directors and officers. To date, the Company has not incurred any material costs related to these indemnification obligations and has not accrued any liabilities related to such obligations in the accompanying consolidated financial statements as of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13—Earn-Out Shares, Public Warrants and Private Placement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issued the following restricted common shares on September 30, 2021:</w:t>
      </w:r>
    </w:p>
    <w:p>
      <w:pPr>
        <w:spacing w:after="0" w:line="225" w:lineRule="exact"/>
        <w:rPr>
          <w:sz w:val="20"/>
          <w:szCs w:val="20"/>
          <w:color w:val="auto"/>
        </w:rPr>
      </w:pPr>
    </w:p>
    <w:p>
      <w:pPr>
        <w:jc w:val="both"/>
        <w:ind w:left="660" w:right="20" w:hanging="328"/>
        <w:spacing w:after="0" w:line="289" w:lineRule="auto"/>
        <w:tabs>
          <w:tab w:leader="none" w:pos="65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2,033,591 common shares issued to Patient Square Capital LLC (the “MAAC Sponsor”) and 10,000 common shares issued to each of MAAC’s independent directors (collectively, the “20% Earn-Out Shares”), subject to vesting if the closing price of the Company’s common shares is greater than or equal to $15.00 over any 20 out of 30 trading day period between November 9, 2021 and September 30, 2026 (the “Vesting Period”); and</w:t>
      </w:r>
    </w:p>
    <w:p>
      <w:pPr>
        <w:spacing w:after="0" w:line="157"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1,016,796 common shares issued to the MAAC Sponsor and 5,000 common shares issued to each of MAAC’s independent directors (collectively, the “10% Earn-Out Shares” and, together with the 20% Earn-Out Shares, the “Earn-Out Shares”), subject to vesting if the closing price of the Company’s common shares is greater than or equal to $20.00 over any 20 out of 30 trading day period during the Vesting Period.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both of the 20% Earn-Out Shares and the 10% Earn-Out Shares, which were already included in the Company’s issued and outstanding share count, vested and therefore are no longer subject to forfeiture. Certain of the Earn-Out Shares remain subject to a lock-up and may not be sold until the one-year anniversary of the applicable vesting date.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vesting, the Earn-Out Shares required liability classification and were classified as “Liability instruments measured at fair value” on the accompanying consolidated balance sheets. The Earn-Out Shares liability was subject to remeasurement at each balance sheet date with changes in fair value recognized in the Company’s statements of operations. The Earn-Out Shares were remeasured upon their vesting, and these remeasurements were recognized in “Change in fair value of liability instruments” in the accompanying consolidated statements of operations. The resulting liabilities upon remeasurement, totaling $57.7 million, were reclassified to additional paid-in capital.</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March 31, 2026 and 2025, the Company recognized a loss of $47.7 million and a gain of $12.0 million, respectively, due to changes in the fair value of the Earn-Out Shares in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Immediately following the Business Combination, the Company had 10,214,365 outstanding warrants for the purchase of one of the Company’s common shares, which were held by the MAAC Sponsor at an exercise price of $11.50 (the “Private Placement Warrants”), and 20,535,896 outstanding warrants for the purchase of one of the Company’s common shares, which were held by MAAC’s shareholders at an exercise price of $11.50 (the “Public Warrants” and, together with the Private Placement Warrants, the “Warrants”). Pursuant to the Warrant Agreement, dated October 6, 2020, by and between MAAC and Continental Stock Transfer &amp; Trust Company, as predecessor warrant agent, as modified by the Warrant Assumption Agreement, dated September 30, 2021, by and among MAAC, the Company and American Stock Transfer &amp; Trust Company, LLC as successor warrant agent (as modified, the “Warrant Agreement”), the Warrants became exercisable 30 days following the completion of the Business Combination and would expire five years after the completion of the Business Combination, or earlier upon redemption or liquidation.</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their settlement, the Warrants required liability classification and were classified as “Liability instruments measured at fair value” on the consolidated balance sheets. The Private Placement Warrants liability and Public Warrants liability were subject to remeasurement with changes in fair value recognized in the Company’s statements of operations. The Warrants were remeasured immediately prior to settlement. These remeasurements were recognized in “Change in fair value of debt and liability instruments” in the accompanying consolidated statements of operations.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August 2, 2023, the Company announced that it would redeem all Warrants that remained outstanding on September 1, 2023 (the “Redemption Date”).</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the Warrant Agreement, the Company was entitled to redeem the Public Warrants at a redemption price of $0.10 per Public Warrant because the last reported sales price (the “Reference Value”) of the Company’s common shares was at least $10.00 per share for any 20 trading days within the 30 trading-day period ending on the third trading day prior to the date on which RSL gave a Notice of Redemption. In addition, because the Reference Value was less than $18.00 per share, the outstanding Private Placement Warrants were also required to be concurrently called for redemption on the same terms as the outstanding Public Warrants. This share price performance requirement was satisfied as of July 28, 2023.</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Prior to the Redemption Date, Warrant holders were permitted to exercise the Warrants (i) for cash, at an exercise price of $11.50 per common share, or (ii) on a “cashless basis” whereby, in lieu of paying the Company the $11.50 exercise price per common share, the surrendering holder would receive approximately 0.2495 common shares per Warrant as determined in accordance with the terms of the Warrant Agreement.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Of the 20,475,875 Public Warrants that were outstanding as of June 30, 2023, 397 Public Warrants were exercised for cash at an exercise price of $11.50 per common share in exchange for an aggregate of 397 common shares and 20,061,507 were exercised on a cashless basis in exchange for an aggregate of 5,005,531 common shares. The remaining 413,971 unexercised Public Warrants were redeemed at the $0.10 redemption price. In addition, all of the Private Placement Warrants were exercised on a cashless basis in exchange for an aggregate of 2,548,621 common shares.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are measured at fair value on a recurring basis as of March 31, 2026 and 2025, by level, within the fair value hierarchy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March 31, 2025</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0" w:type="dxa"/>
            <w:vAlign w:val="bottom"/>
          </w:tcPr>
          <w:p>
            <w:pPr>
              <w:spacing w:after="0"/>
              <w:rPr>
                <w:sz w:val="1"/>
                <w:szCs w:val="1"/>
                <w:color w:val="auto"/>
              </w:rPr>
            </w:pPr>
          </w:p>
        </w:tc>
      </w:tr>
      <w:tr>
        <w:trPr>
          <w:trHeight w:val="34"/>
        </w:trPr>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1,374,706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2,621,457</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Datavant Class A</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167,361</w:t>
            </w:r>
          </w:p>
        </w:tc>
        <w:tc>
          <w:tcPr>
            <w:tcW w:w="0" w:type="dxa"/>
            <w:vAlign w:val="bottom"/>
          </w:tcPr>
          <w:p>
            <w:pPr>
              <w:spacing w:after="0"/>
              <w:rPr>
                <w:sz w:val="1"/>
                <w:szCs w:val="1"/>
                <w:color w:val="auto"/>
              </w:rPr>
            </w:pP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Arbutus common</w:t>
            </w:r>
          </w:p>
        </w:tc>
        <w:tc>
          <w:tcPr>
            <w:tcW w:w="2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174,814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174,814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135,578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135,578</w:t>
            </w:r>
          </w:p>
        </w:tc>
        <w:tc>
          <w:tcPr>
            <w:tcW w:w="0" w:type="dxa"/>
            <w:vAlign w:val="bottom"/>
          </w:tcPr>
          <w:p>
            <w:pPr>
              <w:spacing w:after="0"/>
              <w:rPr>
                <w:sz w:val="1"/>
                <w:szCs w:val="1"/>
                <w:color w:val="auto"/>
              </w:rPr>
            </w:pPr>
          </w:p>
        </w:tc>
      </w:tr>
      <w:tr>
        <w:trPr>
          <w:trHeight w:val="261"/>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6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assets at fair</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1,549,520</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2,872,601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233,171</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4,655,292</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2,757,035</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167,361</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2,924,396</w:t>
            </w:r>
          </w:p>
        </w:tc>
        <w:tc>
          <w:tcPr>
            <w:tcW w:w="0" w:type="dxa"/>
            <w:vAlign w:val="bottom"/>
          </w:tcPr>
          <w:p>
            <w:pPr>
              <w:spacing w:after="0"/>
              <w:rPr>
                <w:sz w:val="1"/>
                <w:szCs w:val="1"/>
                <w:color w:val="auto"/>
              </w:rPr>
            </w:pPr>
          </w:p>
        </w:tc>
      </w:tr>
      <w:tr>
        <w:trPr>
          <w:trHeight w:val="25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vMerge w:val="continue"/>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800" w:type="dxa"/>
            <w:vAlign w:val="bottom"/>
            <w:gridSpan w:val="2"/>
            <w:vMerge w:val="continue"/>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vMerge w:val="continue"/>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instruments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measured at fair</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8"/>
                <w:szCs w:val="18"/>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71"/>
        </w:trPr>
        <w:tc>
          <w:tcPr>
            <w:tcW w:w="1620" w:type="dxa"/>
            <w:vAlign w:val="bottom"/>
            <w:tcBorders>
              <w:bottom w:val="single" w:sz="8" w:color="CCEEFF"/>
            </w:tcBorders>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value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vMerge w:val="continue"/>
            <w:shd w:val="clear" w:color="auto" w:fill="CCEEFF"/>
          </w:tcPr>
          <w:p>
            <w:pPr>
              <w:spacing w:after="0"/>
              <w:rPr>
                <w:sz w:val="23"/>
                <w:szCs w:val="23"/>
                <w:color w:val="auto"/>
              </w:rPr>
            </w:pPr>
          </w:p>
        </w:tc>
        <w:tc>
          <w:tcPr>
            <w:tcW w:w="10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220" w:type="dxa"/>
            <w:vAlign w:val="bottom"/>
            <w:tcBorders>
              <w:bottom w:val="single" w:sz="8" w:color="auto"/>
            </w:tcBorders>
            <w:vMerge w:val="continue"/>
            <w:shd w:val="clear" w:color="auto" w:fill="CCEEFF"/>
          </w:tcPr>
          <w:p>
            <w:pPr>
              <w:spacing w:after="0"/>
              <w:rPr>
                <w:sz w:val="23"/>
                <w:szCs w:val="23"/>
                <w:color w:val="auto"/>
              </w:rPr>
            </w:pPr>
          </w:p>
        </w:tc>
        <w:tc>
          <w:tcPr>
            <w:tcW w:w="9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8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280" w:type="dxa"/>
            <w:vAlign w:val="bottom"/>
            <w:tcBorders>
              <w:bottom w:val="single" w:sz="8" w:color="auto"/>
            </w:tcBorders>
            <w:vMerge w:val="continue"/>
            <w:shd w:val="clear" w:color="auto" w:fill="CCEEFF"/>
          </w:tcPr>
          <w:p>
            <w:pPr>
              <w:spacing w:after="0"/>
              <w:rPr>
                <w:sz w:val="23"/>
                <w:szCs w:val="23"/>
                <w:color w:val="auto"/>
              </w:rPr>
            </w:pPr>
          </w:p>
        </w:tc>
        <w:tc>
          <w:tcPr>
            <w:tcW w:w="9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220" w:type="dxa"/>
            <w:vAlign w:val="bottom"/>
            <w:tcBorders>
              <w:bottom w:val="single" w:sz="8" w:color="auto"/>
            </w:tcBorders>
            <w:vMerge w:val="continue"/>
            <w:shd w:val="clear" w:color="auto" w:fill="CCEEFF"/>
          </w:tcPr>
          <w:p>
            <w:pPr>
              <w:spacing w:after="0"/>
              <w:rPr>
                <w:sz w:val="23"/>
                <w:szCs w:val="23"/>
                <w:color w:val="auto"/>
              </w:rPr>
            </w:pPr>
          </w:p>
        </w:tc>
        <w:tc>
          <w:tcPr>
            <w:tcW w:w="1020" w:type="dxa"/>
            <w:vAlign w:val="bottom"/>
            <w:tcBorders>
              <w:bottom w:val="single" w:sz="8" w:color="auto"/>
            </w:tcBorders>
            <w:vMerge w:val="continue"/>
            <w:shd w:val="clear" w:color="auto" w:fill="CCEEFF"/>
          </w:tcPr>
          <w:p>
            <w:pPr>
              <w:spacing w:after="0"/>
              <w:rPr>
                <w:sz w:val="23"/>
                <w:szCs w:val="23"/>
                <w:color w:val="auto"/>
              </w:rPr>
            </w:pPr>
          </w:p>
        </w:tc>
        <w:tc>
          <w:tcPr>
            <w:tcW w:w="80" w:type="dxa"/>
            <w:vAlign w:val="bottom"/>
            <w:tcBorders>
              <w:bottom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7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80" w:type="dxa"/>
            <w:vAlign w:val="bottom"/>
            <w:tcBorders>
              <w:bottom w:val="single" w:sz="8" w:color="auto"/>
            </w:tcBorders>
            <w:vMerge w:val="continue"/>
            <w:shd w:val="clear" w:color="auto" w:fill="CCEEFF"/>
          </w:tcPr>
          <w:p>
            <w:pPr>
              <w:spacing w:after="0"/>
              <w:rPr>
                <w:sz w:val="23"/>
                <w:szCs w:val="23"/>
                <w:color w:val="auto"/>
              </w:rPr>
            </w:pPr>
          </w:p>
        </w:tc>
        <w:tc>
          <w:tcPr>
            <w:tcW w:w="8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vMerge w:val="continue"/>
            <w:shd w:val="clear" w:color="auto" w:fill="CCEEFF"/>
          </w:tcPr>
          <w:p>
            <w:pPr>
              <w:spacing w:after="0"/>
              <w:rPr>
                <w:sz w:val="23"/>
                <w:szCs w:val="23"/>
                <w:color w:val="auto"/>
              </w:rPr>
            </w:pPr>
          </w:p>
        </w:tc>
        <w:tc>
          <w:tcPr>
            <w:tcW w:w="96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liabilities at fair</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tcPr>
          <w:p>
            <w:pPr>
              <w:spacing w:after="0"/>
              <w:rPr>
                <w:sz w:val="17"/>
                <w:szCs w:val="17"/>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3840" w:hanging="492"/>
        <w:spacing w:after="0" w:line="437" w:lineRule="auto"/>
        <w:tabs>
          <w:tab w:leader="none" w:pos="326"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March 31, 2025, Level 3 includes the fair value of the Earn-Out Shares of $10.0 million. There were no transfers into or out of Level 3 during the years ended March 31, 2026 and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evaluates these assumptions and estimates on an ongoing basis as additional data impacting the assumptions and estimates is obtained. Changes in the fair value related to updated assumptions and estimates are recorded within the consolidated statements of operations at the end of each reporting period.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Level 3 assets and liabilities may change significantly as additional data is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fair value of the Level 3 assets during the years ended March 31, 2026 and 2025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investment in Datavant, included in net loss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w:t>
            </w:r>
          </w:p>
        </w:tc>
      </w:tr>
      <w:tr>
        <w:trPr>
          <w:trHeight w:val="27"/>
        </w:trPr>
        <w:tc>
          <w:tcPr>
            <w:tcW w:w="9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167,361</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investment in Datavant, included in net loss</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65,810</w:t>
            </w:r>
          </w:p>
        </w:tc>
      </w:tr>
      <w:tr>
        <w:trPr>
          <w:trHeight w:val="27"/>
        </w:trPr>
        <w:tc>
          <w:tcPr>
            <w:tcW w:w="9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fair value of the Level 3 liabilities during the years ended March 31, 2026 and 2025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liability instruments, included in net loss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w:t>
            </w:r>
          </w:p>
        </w:tc>
      </w:tr>
      <w:tr>
        <w:trPr>
          <w:trHeight w:val="34"/>
        </w:trPr>
        <w:tc>
          <w:tcPr>
            <w:tcW w:w="9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r>
      <w:tr>
        <w:trPr>
          <w:trHeight w:val="230"/>
        </w:trPr>
        <w:tc>
          <w:tcPr>
            <w:tcW w:w="9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of liability instruments, included in net loss</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47,704</w:t>
            </w: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to additional paid-in capital upon vesting of Earn-Out Shares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(57,685)</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Datavant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elected the fair value option to account for its investment in Datavant. The estimate of fair value for this investment was determined using the income approach, market approach, and implementation of the option pricing method (“OPM”). The income approach is based on the future expected cash flows, which are derived from certain assumptions attributable to Datavant including estimates of revenue growth rate, earnings before interest, taxes, depreciation and amortization and terminal growth rate. These expected cash flows are then discounted to their present value using a discount rate that reflects the risk and time value of money. The market approach estimates value by using valuation multiples derived from the stock prices of comparable publicly traded companies to determine the company’s equity value.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Point Estimate Used</w:t>
            </w:r>
          </w:p>
        </w:tc>
      </w:tr>
      <w:tr>
        <w:trPr>
          <w:trHeight w:val="3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1"/>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3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3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Shares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Prior to vesting during the quarter ended December 31, 2025, the fair value of the Earn-Out Shares issued as part of the Business Combination was calculated using the Monte Carlo simulation method under the income approach. Refer to Note 13, “Earn-Out Shares, Public Warrants and Private Placement Warrants” for additional details. Significant unobservable inputs used to calculate the fair value of the Earn-Out Shares included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Point Estimate Used</w:t>
            </w:r>
          </w:p>
        </w:tc>
        <w:tc>
          <w:tcPr>
            <w:tcW w:w="0" w:type="dxa"/>
            <w:vAlign w:val="bottom"/>
          </w:tcPr>
          <w:p>
            <w:pPr>
              <w:spacing w:after="0"/>
              <w:rPr>
                <w:sz w:val="1"/>
                <w:szCs w:val="1"/>
                <w:color w:val="auto"/>
              </w:rPr>
            </w:pPr>
          </w:p>
        </w:tc>
      </w:tr>
      <w:tr>
        <w:trPr>
          <w:trHeight w:val="34"/>
        </w:trPr>
        <w:tc>
          <w:tcPr>
            <w:tcW w:w="8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60" w:type="dxa"/>
            <w:vAlign w:val="bottom"/>
            <w:gridSpan w:val="2"/>
            <w:vMerge w:val="continue"/>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March 31, 2025</w:t>
            </w:r>
          </w:p>
        </w:tc>
        <w:tc>
          <w:tcPr>
            <w:tcW w:w="0" w:type="dxa"/>
            <w:vAlign w:val="bottom"/>
          </w:tcPr>
          <w:p>
            <w:pPr>
              <w:spacing w:after="0"/>
              <w:rPr>
                <w:sz w:val="1"/>
                <w:szCs w:val="1"/>
                <w:color w:val="auto"/>
              </w:rPr>
            </w:pPr>
          </w:p>
        </w:tc>
      </w:tr>
      <w:tr>
        <w:trPr>
          <w:trHeight w:val="34"/>
        </w:trPr>
        <w:tc>
          <w:tcPr>
            <w:tcW w:w="8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38.4%</w:t>
            </w:r>
          </w:p>
        </w:tc>
        <w:tc>
          <w:tcPr>
            <w:tcW w:w="0" w:type="dxa"/>
            <w:vAlign w:val="bottom"/>
          </w:tcPr>
          <w:p>
            <w:pPr>
              <w:spacing w:after="0"/>
              <w:rPr>
                <w:sz w:val="1"/>
                <w:szCs w:val="1"/>
                <w:color w:val="auto"/>
              </w:rPr>
            </w:pPr>
          </w:p>
        </w:tc>
      </w:tr>
      <w:tr>
        <w:trPr>
          <w:trHeight w:val="24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1" w:name="page202"/>
    <w:bookmarkEnd w:id="201"/>
    <w:p>
      <w:pPr>
        <w:ind w:left="80"/>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the Company began using a blend of its historical and implied volatility, rather than exclusively relying on historical volatility, to estimate the expected volatility assumption of various equity instruments issued by the Company. Due to changes in the Company’s capital position, the Company believes this methodology better reflects its expected future volatility.</w:t>
      </w:r>
    </w:p>
    <w:p>
      <w:pPr>
        <w:spacing w:after="0" w:line="176" w:lineRule="exact"/>
        <w:rPr>
          <w:sz w:val="20"/>
          <w:szCs w:val="20"/>
          <w:color w:val="auto"/>
        </w:rPr>
      </w:pPr>
    </w:p>
    <w:p>
      <w:pPr>
        <w:jc w:val="both"/>
        <w:ind w:left="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the fair value of the Earn-Out Shares was $10.0 million, which was included in “Liability instruments measured at fair value” in the accompanying consolidated balance sheets.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Note 15—Net (Loss) Income per Common Share</w:t>
      </w:r>
    </w:p>
    <w:p>
      <w:pPr>
        <w:spacing w:after="0" w:line="229" w:lineRule="exact"/>
        <w:rPr>
          <w:sz w:val="20"/>
          <w:szCs w:val="20"/>
          <w:color w:val="auto"/>
        </w:rPr>
      </w:pPr>
    </w:p>
    <w:p>
      <w:pPr>
        <w:jc w:val="both"/>
        <w:ind w:left="80" w:right="20"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the numerator to derive the basic and diluted net (loss) income per common share amounts presented on the face of the accompanying consolidated statement of operations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4,546,353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Loss from continuing operations, net of tax, attributable to noncontrolling interests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net of tax, attributable to Roivant Sciences</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(545,166)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4,662,703</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Ltd., basic</w:t>
            </w: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Earnings allocated to subsidiary potentially dilutive common stock equivalents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6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net of tax, attributable to Roivant Sciences</w:t>
            </w: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(376,259)</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(545,166)</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4,662,703</w:t>
            </w:r>
          </w:p>
        </w:tc>
        <w:tc>
          <w:tcPr>
            <w:tcW w:w="0" w:type="dxa"/>
            <w:vAlign w:val="bottom"/>
          </w:tcPr>
          <w:p>
            <w:pPr>
              <w:spacing w:after="0"/>
              <w:rPr>
                <w:sz w:val="1"/>
                <w:szCs w:val="1"/>
                <w:color w:val="auto"/>
              </w:rPr>
            </w:pPr>
          </w:p>
        </w:tc>
      </w:tr>
      <w:tr>
        <w:trPr>
          <w:trHeight w:val="24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Ltd., diluted</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(315,147)</w:t>
            </w:r>
          </w:p>
        </w:tc>
        <w:tc>
          <w:tcPr>
            <w:tcW w:w="0" w:type="dxa"/>
            <w:vAlign w:val="bottom"/>
          </w:tcPr>
          <w:p>
            <w:pPr>
              <w:spacing w:after="0"/>
              <w:rPr>
                <w:sz w:val="1"/>
                <w:szCs w:val="1"/>
                <w:color w:val="auto"/>
              </w:rPr>
            </w:pPr>
          </w:p>
        </w:tc>
      </w:tr>
      <w:tr>
        <w:trPr>
          <w:trHeight w:val="176"/>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from discontinued operations, net of tax attributable to noncontrolling</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6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Income (loss) from discontinued operations, net of tax, attributable to Roivant Sciences</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373,185</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(313,777)</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Ltd., basic and diluted</w:t>
            </w:r>
          </w:p>
        </w:tc>
        <w:tc>
          <w:tcPr>
            <w:tcW w:w="340" w:type="dxa"/>
            <w:vAlign w:val="bottom"/>
            <w:vMerge w:val="continue"/>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600" w:type="dxa"/>
            <w:vAlign w:val="bottom"/>
            <w:tcBorders>
              <w:bottom w:val="single" w:sz="8" w:color="CCEEFF"/>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Roivant Sciences Ltd.,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Roivant Sciences Ltd.,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(376,259)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240" w:firstLine="5"/>
        <w:spacing w:after="0"/>
        <w:tabs>
          <w:tab w:leader="none" w:pos="201" w:val="left"/>
        </w:tabs>
        <w:numPr>
          <w:ilvl w:val="0"/>
          <w:numId w:val="10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a result of subsidiary net income for the year ended March 31, 2026, an adjustment was made to the diluted numerator for consolidated net (loss) income per common share to reflect the allocation of such net income to potentially dilutive common stock equivalents granted pursuant to the subsidiary EIP.</w:t>
      </w:r>
    </w:p>
    <w:p>
      <w:pPr>
        <w:spacing w:after="0" w:line="200" w:lineRule="exact"/>
        <w:rPr>
          <w:sz w:val="20"/>
          <w:szCs w:val="20"/>
          <w:color w:val="auto"/>
        </w:rPr>
      </w:pPr>
    </w:p>
    <w:p>
      <w:pPr>
        <w:spacing w:after="0" w:line="243" w:lineRule="exact"/>
        <w:rPr>
          <w:sz w:val="20"/>
          <w:szCs w:val="20"/>
          <w:color w:val="auto"/>
        </w:rPr>
      </w:pPr>
    </w:p>
    <w:p>
      <w:pPr>
        <w:jc w:val="both"/>
        <w:ind w:left="80" w:firstLine="648"/>
        <w:spacing w:after="0" w:line="266"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net (loss) income attributable to Roivant Sciences Ltd. by the weighted-average number of common shares outstanding during the period. Diluted net (loss) income per common share is computed by dividing the net (loss) income attributable to Roivant Sciences Ltd. by the diluted weighted-average number of common shares outstanding during the period.</w:t>
      </w:r>
    </w:p>
    <w:p>
      <w:pPr>
        <w:spacing w:after="0" w:line="176" w:lineRule="exact"/>
        <w:rPr>
          <w:sz w:val="20"/>
          <w:szCs w:val="20"/>
          <w:color w:val="auto"/>
        </w:rPr>
      </w:pPr>
    </w:p>
    <w:p>
      <w:pPr>
        <w:jc w:val="both"/>
        <w:ind w:left="80" w:firstLine="486"/>
        <w:spacing w:after="0" w:line="266" w:lineRule="auto"/>
        <w:rPr>
          <w:sz w:val="20"/>
          <w:szCs w:val="20"/>
          <w:color w:val="auto"/>
        </w:rPr>
      </w:pPr>
      <w:r>
        <w:rPr>
          <w:rFonts w:ascii="Times New Roman" w:cs="Times New Roman" w:eastAsia="Times New Roman" w:hAnsi="Times New Roman"/>
          <w:sz w:val="18"/>
          <w:szCs w:val="18"/>
          <w:color w:val="auto"/>
        </w:rPr>
        <w:t>For periods of loss from continuing operations, diluted loss per share is calculated similar to basic loss per share as the effect of including all potentially dilutive common stock equivalents is anti-dilutive. For the years ended March 31, 2026 and 2025, all outstanding common stock equivalents have been excluded from the computation of diluted loss per share because their effect was anti-dilutive due to the loss from continuing operations.</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216535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16"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2025 and 2024, the following potentially dilutive common stock equivalents were excluded from the computation of diluted net (loss) income per common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34"/>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performance stock options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76,091,993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139,412,098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54,648,258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restricted stock units (non-vested)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60,793,247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50,992,414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5,422,465</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2020 CVARs</w:t>
            </w:r>
            <w:r>
              <w:rPr>
                <w:rFonts w:ascii="Times New Roman" w:cs="Times New Roman" w:eastAsia="Times New Roman" w:hAnsi="Times New Roman"/>
                <w:sz w:val="23"/>
                <w:szCs w:val="23"/>
                <w:color w:val="auto"/>
                <w:vertAlign w:val="superscript"/>
              </w:rPr>
              <w:t>(1)</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17,548,368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17,548,368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2021 CVARs (non-vested)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249,120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common stock (non-vested)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255,911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Shares (non-vested)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3,080,387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3,080,387</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stock based awards and instruments issued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4,731,198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3,924,305</w:t>
            </w:r>
          </w:p>
        </w:tc>
      </w:tr>
      <w:tr>
        <w:trPr>
          <w:trHeight w:val="27"/>
        </w:trPr>
        <w:tc>
          <w:tcPr>
            <w:tcW w:w="66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62" w:lineRule="exact"/>
        <w:rPr>
          <w:sz w:val="20"/>
          <w:szCs w:val="20"/>
          <w:color w:val="auto"/>
        </w:rPr>
      </w:pPr>
    </w:p>
    <w:p>
      <w:pPr>
        <w:ind w:left="280" w:hanging="272"/>
        <w:spacing w:after="0"/>
        <w:tabs>
          <w:tab w:leader="none" w:pos="28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9, “Share-Based Compensation and Other Compensation Plans” for details regarding settlement of CVARs.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16—Segment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operated and managed as a single operating and reportable segment which focuses on the discovery, development and commercialization of medicines and technologies. The Company’s Chief Operating Decision Maker (“CODM”) is its chief executive officer.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Company based on net (loss) income, which is reported on the consolidated statements of operations and comprehensive (loss) income as net (loss) income. The measure of segment assets is reported on the consolidated balance sheets as total assets.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expenses and operating losses for the foreseeable future as it advances product candidates through all stages of development and clinical trials and, ultimately, seeks regulatory approval. As such, the CODM uses cash forecast models and budgeted versus actual results to assess performance, make operating decisions and allocate resources across the Company including to various Vants and research and development projects.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significant segment expenses are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Program-specific research and development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Anti-FcRn franchise—endocrine diseases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0" w:type="dxa"/>
            <w:vAlign w:val="bottom"/>
          </w:tcPr>
          <w:p>
            <w:pPr>
              <w:spacing w:after="0"/>
              <w:rPr>
                <w:sz w:val="1"/>
                <w:szCs w:val="1"/>
                <w:color w:val="auto"/>
              </w:rPr>
            </w:pP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Anti-FcRn franchise—neurological diseases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Anti-FcRn franchise—rheumatology diseases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Anti-FcRn franchise—dermatology diseases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Anti-FcRn franchise—other clinical and nonclinical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0" w:type="dxa"/>
            <w:vAlign w:val="bottom"/>
          </w:tcPr>
          <w:p>
            <w:pPr>
              <w:spacing w:after="0"/>
              <w:rPr>
                <w:sz w:val="1"/>
                <w:szCs w:val="1"/>
                <w:color w:val="auto"/>
              </w:rPr>
            </w:pP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Anti-FcRn franchise—contractual costs related to batoclimab program discontinuation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Brepocitinib</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0" w:type="dxa"/>
            <w:vAlign w:val="bottom"/>
          </w:tcPr>
          <w:p>
            <w:pPr>
              <w:spacing w:after="0"/>
              <w:rPr>
                <w:sz w:val="1"/>
                <w:szCs w:val="1"/>
                <w:color w:val="auto"/>
              </w:rPr>
            </w:pP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Mosliciguat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92,270</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share-based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personnel-related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123,283</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share-based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personnel-related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126,163</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(5,348,410)</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47,973</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315,147</w:t>
            </w:r>
          </w:p>
        </w:tc>
        <w:tc>
          <w:tcPr>
            <w:tcW w:w="0" w:type="dxa"/>
            <w:vAlign w:val="bottom"/>
          </w:tcPr>
          <w:p>
            <w:pPr>
              <w:spacing w:after="0"/>
              <w:rPr>
                <w:sz w:val="1"/>
                <w:szCs w:val="1"/>
                <w:color w:val="auto"/>
              </w:rPr>
            </w:pPr>
          </w:p>
        </w:tc>
      </w:tr>
      <w:tr>
        <w:trPr>
          <w:trHeight w:val="270"/>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w:t>
            </w: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(356,734)</w:t>
            </w: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4,231,206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color w:val="auto"/>
              </w:rPr>
              <w:t>199</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March 31, 2026, the end of the period covered by this Annual Report on Form 10-K. Based on this evaluation, our Principal Executive Officer and Principal Financial Officer concluded that our disclosure controls and procedures were effective as of March 31, 2026 at the reasonable assurance level.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of and with the participation of our Principal Executive Officer and our Principal Financial Officer, is responsible for establishing and maintaining adequate internal control over financial reporting, as such term is defined under Rule 13a-15(f) of the Exchange Act.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has assessed the effectiveness of our internal control over financial reporting as of March 31, 2026. In making this assessment, management used the criteria set forth in the Internal Control – Integrated Framework issued by the Committee of Sponsoring Organizations of the Treadway Commission (2013 framework). Management’s assessment included an evaluation of the design of our internal control over financial reporting and testing of the operational effectiveness of our internal control over financial reporting. Based on management’s assessment, management has concluded that, as of March 31, 2026, our internal control over financial reporting was effective based on those criteria.</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31, 2026,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Roivant Sciences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have audited Roivant Sciences Ltd.’s internal control over financial reporting as of March 31, 2026, based on criteria established in Internal Control— Integrated Framework issued by the Committee of Sponsoring Organizations of the Treadway Commission (2013 framework) (the COSO criteria). In our opinion, Roivant Sciences Ltd. (the Company) maintained, in all material respects, effective internal control over financial reporting as of March 31, 2026, based on the COSO criteria.</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31, 2026 and 2025, the related consolidated statements of operations, comprehensive (loss) income, shareholders’ equity and cash flows for each of the three years in the period ended March 31, 2026, and the related notes and our report dated May 20,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30, 2026, Melissa Epperly, a director of RSL, entered into a trading plan intended to satisfy the affirmative defense of Rule 10b5-1(c) under the Exchange Act. The plan provides for the potential sale between July 29, 2026 and June 30, 2027 of up to 71,000 common shares held by Ms. Epperly as well as up to 40% of the net number of common shares resulting from the RSU vesting event on September 10,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30, 2026, Meghan FitzGerald, a director of RSL, entered into a trading plan intended to satisfy the affirmative defense of Rule 10b5-1(c) under the Exchange Act. The plan provides for the potential sale between July 29, 2026 and July 1, 2027 of up to 30,000 common shares held by Ms. FitzGerald as well as up to 40% of the net number of common shares resulting from the RSU vesting event on September 10, 2026.</w:t>
      </w:r>
    </w:p>
    <w:p>
      <w:pPr>
        <w:spacing w:after="0" w:line="172"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2026 Annual Meeting of Shareholders to be filed with the SEC within 120 days after the end of our fiscal year ended March 31, 2026.</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and persons performing similar functions. A current copy of the code is posted on the Corporate Governance section of our website, which is located at investor.roivant.com/corporate-governance. If we make any substantive amendments to, or grant any waivers from, the code of business conduct and ethics for our principal executive officer, principal financial officer, principal accounting officer or persons performing similar functions, or any officer or director, we will disclose the nature of such amendment or waiver on our website or in a current report on Form 8-K.</w:t>
      </w:r>
    </w:p>
    <w:p>
      <w:pPr>
        <w:spacing w:after="0" w:line="18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2026 Annual Meeting of Shareholders to be filed with the SEC within 120 days after the end of our fiscal year ended March 31, 2026.</w:t>
      </w:r>
    </w:p>
    <w:p>
      <w:pPr>
        <w:spacing w:after="0" w:line="158" w:lineRule="exact"/>
        <w:rPr>
          <w:sz w:val="20"/>
          <w:szCs w:val="20"/>
          <w:color w:val="auto"/>
        </w:rPr>
      </w:pPr>
    </w:p>
    <w:p>
      <w:pPr>
        <w:ind w:left="1460" w:right="1340" w:hanging="1457"/>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2026 Annual Meeting of Shareholders to be filed with the SEC within 120 days after the end of our fiscal year ended March 31, 2026.</w:t>
      </w:r>
    </w:p>
    <w:p>
      <w:pPr>
        <w:spacing w:after="0" w:line="15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2026 Annual Meeting of Shareholders to be filed with the SEC within 120 days after the end of our fiscal year ended March 31, 2026.</w:t>
      </w:r>
    </w:p>
    <w:p>
      <w:pPr>
        <w:spacing w:after="0" w:line="15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2026 Annual Meeting of Shareholders to be filed with the SEC within 120 days after the end of our fiscal year ended March 31, 2026.</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Consolidated Financial Statements” under Part II, Item 8 of this Annual Report on Form 10-K.</w:t>
      </w:r>
    </w:p>
    <w:p>
      <w:pPr>
        <w:spacing w:after="0" w:line="162" w:lineRule="exact"/>
        <w:rPr>
          <w:sz w:val="20"/>
          <w:szCs w:val="20"/>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 required by Item 601 of Regulation 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or incorporated by reference into, this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0" w:type="dxa"/>
            <w:vAlign w:val="bottom"/>
          </w:tcPr>
          <w:p>
            <w:pPr>
              <w:spacing w:after="0"/>
              <w:rPr>
                <w:sz w:val="21"/>
                <w:szCs w:val="21"/>
                <w:color w:val="auto"/>
              </w:rPr>
            </w:pPr>
          </w:p>
        </w:tc>
        <w:tc>
          <w:tcPr>
            <w:tcW w:w="3960" w:type="dxa"/>
            <w:vAlign w:val="bottom"/>
            <w:gridSpan w:val="13"/>
          </w:tcPr>
          <w:p>
            <w:pPr>
              <w:ind w:left="1000"/>
              <w:spacing w:after="0"/>
              <w:rPr>
                <w:sz w:val="20"/>
                <w:szCs w:val="20"/>
                <w:color w:val="auto"/>
              </w:rPr>
            </w:pPr>
            <w:r>
              <w:rPr>
                <w:rFonts w:ascii="Times New Roman" w:cs="Times New Roman" w:eastAsia="Times New Roman" w:hAnsi="Times New Roman"/>
                <w:sz w:val="18"/>
                <w:szCs w:val="18"/>
                <w:color w:val="auto"/>
              </w:rPr>
              <w:t>Description</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w:t>
            </w:r>
          </w:p>
        </w:tc>
        <w:tc>
          <w:tcPr>
            <w:tcW w:w="1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File No.</w:t>
            </w: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Exhibit</w:t>
            </w:r>
          </w:p>
        </w:tc>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498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Business Combination Agreement, dated as of May 1, 2021, by and</w:t>
              </w:r>
            </w:hyperlink>
          </w:p>
        </w:tc>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6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28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June 28, 2022</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466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among Montes Archimedes Acquisition Corp., Roivant Sciences</w:t>
              </w:r>
            </w:hyperlink>
          </w:p>
        </w:tc>
        <w:tc>
          <w:tcPr>
            <w:tcW w:w="20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98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Ltd. and Rhine Merger Sub, Inc.</w:t>
              </w:r>
            </w:hyperlink>
          </w:p>
        </w:tc>
        <w:tc>
          <w:tcPr>
            <w:tcW w:w="7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4780" w:type="dxa"/>
            <w:vAlign w:val="bottom"/>
            <w:tcBorders>
              <w:bottom w:val="single" w:sz="8" w:color="0000FF"/>
            </w:tcBorders>
            <w:gridSpan w:val="12"/>
            <w:shd w:val="clear" w:color="auto" w:fill="CCEEFF"/>
          </w:tcPr>
          <w:p>
            <w:pPr>
              <w:spacing w:after="0" w:line="202"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Amendment No. 1 to the Business Combination Agreement, dated</w:t>
              </w:r>
            </w:hyperlink>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60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280" w:type="dxa"/>
            <w:vAlign w:val="bottom"/>
            <w:tcBorders>
              <w:bottom w:val="single" w:sz="8" w:color="CCEEFF"/>
            </w:tcBorders>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June 28, 2022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98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June 9, 2021, by and among Montes Archimedes Acquisition</w:t>
              </w:r>
            </w:hyperlink>
          </w:p>
        </w:tc>
        <w:tc>
          <w:tcPr>
            <w:tcW w:w="7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4400" w:type="dxa"/>
            <w:vAlign w:val="bottom"/>
            <w:tcBorders>
              <w:top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Corp., Roivant Sciences Ltd. and Rhine Merger Sub, Inc.</w:t>
              </w:r>
            </w:hyperlink>
          </w:p>
        </w:tc>
        <w:tc>
          <w:tcPr>
            <w:tcW w:w="580" w:type="dxa"/>
            <w:vAlign w:val="bottom"/>
            <w:tcBorders>
              <w:top w:val="single" w:sz="8" w:color="CCEEFF"/>
            </w:tcBorders>
            <w:gridSpan w:val="6"/>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498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Agreement and Plan of Merger, dated September 17, 2024, by and</w:t>
              </w:r>
            </w:hyperlink>
          </w:p>
        </w:tc>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6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28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September 23,</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4260" w:type="dxa"/>
            <w:vAlign w:val="bottom"/>
            <w:tcBorders>
              <w:top w:val="single" w:sz="8" w:color="0000FF"/>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among Dermavant Sciences Ltd., Organon &amp; Co., Organon</w:t>
              </w:r>
            </w:hyperlink>
          </w:p>
        </w:tc>
        <w:tc>
          <w:tcPr>
            <w:tcW w:w="50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98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Bermuda Ltd. and Roivant Sciences Ltd.</w:t>
              </w:r>
            </w:hyperlink>
          </w:p>
        </w:tc>
        <w:tc>
          <w:tcPr>
            <w:tcW w:w="7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498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Memorandum of Association of Roivant Sciences Ltd.</w:t>
              </w:r>
            </w:hyperlink>
          </w:p>
        </w:tc>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S-4/A</w:t>
            </w:r>
          </w:p>
        </w:tc>
        <w:tc>
          <w:tcPr>
            <w:tcW w:w="16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333-256165</w:t>
            </w:r>
          </w:p>
        </w:tc>
        <w:tc>
          <w:tcPr>
            <w:tcW w:w="128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498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Amended and Restated Bye-laws of Roivant Sciences Ltd.</w:t>
              </w:r>
            </w:hyperlink>
          </w:p>
        </w:tc>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6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28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October 1, 2021</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498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Description of Registrant’s Securities Registered Pursuant to</w:t>
            </w:r>
          </w:p>
        </w:tc>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498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 of the Securities Exchange Act of 1934</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498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Third Amended and Restated Registration Rights Agreement, dated</w:t>
              </w:r>
            </w:hyperlink>
          </w:p>
        </w:tc>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6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28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June 28, 2022</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60" w:type="dxa"/>
            <w:vAlign w:val="bottom"/>
            <w:tcBorders>
              <w:top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as of May 1, 2021, by and among Roivant Sciences Ltd. and the</w:t>
              </w:r>
            </w:hyperlink>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parties thereto</w:t>
              </w:r>
            </w:hyperlink>
          </w:p>
        </w:tc>
        <w:tc>
          <w:tcPr>
            <w:tcW w:w="380" w:type="dxa"/>
            <w:vAlign w:val="bottom"/>
            <w:tcBorders>
              <w:top w:val="single" w:sz="8" w:color="CCEEFF"/>
            </w:tcBorders>
            <w:gridSpan w:val="5"/>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940" w:type="dxa"/>
            <w:vAlign w:val="bottom"/>
            <w:gridSpan w:val="30"/>
            <w:shd w:val="clear" w:color="auto" w:fill="CCEEFF"/>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Sponsor Support Agreement, dated as of May 1, 2021, by and</w:t>
              </w:r>
            </w:hyperlink>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0"/>
        </w:trPr>
        <w:tc>
          <w:tcPr>
            <w:tcW w:w="1140" w:type="dxa"/>
            <w:vAlign w:val="bottom"/>
            <w:shd w:val="clear" w:color="auto" w:fill="CCEE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among Roivant Sciences Ltd., Montes Archimedes Acquisition</w:t>
              </w:r>
            </w:hyperlink>
          </w:p>
        </w:tc>
        <w:tc>
          <w:tcPr>
            <w:tcW w:w="8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Corp., Patient Square Capital LLC and certain shareholders of</w:t>
              </w:r>
            </w:hyperlink>
          </w:p>
        </w:tc>
        <w:tc>
          <w:tcPr>
            <w:tcW w:w="400" w:type="dxa"/>
            <w:vAlign w:val="bottom"/>
            <w:tcBorders>
              <w:top w:val="single" w:sz="8" w:color="CCEEFF"/>
            </w:tcBorders>
            <w:gridSpan w:val="9"/>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460" w:type="dxa"/>
            <w:vAlign w:val="bottom"/>
            <w:tcBorders>
              <w:top w:val="single" w:sz="8" w:color="0000FF"/>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Roivant Sciences Ltd.</w:t>
              </w:r>
            </w:hyperlink>
          </w:p>
        </w:tc>
        <w:tc>
          <w:tcPr>
            <w:tcW w:w="480" w:type="dxa"/>
            <w:vAlign w:val="bottom"/>
            <w:tcBorders>
              <w:top w:val="single" w:sz="8" w:color="CCEEFF"/>
            </w:tcBorders>
            <w:gridSpan w:val="10"/>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4300" w:type="dxa"/>
            <w:vAlign w:val="bottom"/>
            <w:tcBorders>
              <w:bottom w:val="single" w:sz="8" w:color="0000FF"/>
            </w:tcBorders>
            <w:gridSpan w:val="18"/>
            <w:shd w:val="clear" w:color="auto" w:fill="CCEEFF"/>
          </w:tcPr>
          <w:p>
            <w:pPr>
              <w:spacing w:after="0" w:line="202"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License Agreement, dated as of December 19, 2017, by and</w:t>
              </w:r>
            </w:hyperlink>
          </w:p>
        </w:tc>
        <w:tc>
          <w:tcPr>
            <w:tcW w:w="640" w:type="dxa"/>
            <w:vAlign w:val="bottom"/>
            <w:tcBorders>
              <w:bottom w:val="single" w:sz="8" w:color="CCEEFF"/>
            </w:tcBorders>
            <w:gridSpan w:val="1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001-38906</w:t>
            </w:r>
          </w:p>
        </w:tc>
        <w:tc>
          <w:tcPr>
            <w:tcW w:w="110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December 20,</w:t>
            </w:r>
          </w:p>
        </w:tc>
      </w:tr>
      <w:tr>
        <w:trPr>
          <w:trHeight w:val="244"/>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between HanAll Biopharma Co., Ltd. and Roivant Sciences GmbH</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2019</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Cross License Agreement, dated as of April 11, 2018, by and</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001-34949</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7, 2020</w:t>
            </w:r>
          </w:p>
        </w:tc>
      </w:tr>
      <w:tr>
        <w:trPr>
          <w:trHeight w:val="196"/>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4120" w:type="dxa"/>
            <w:vAlign w:val="bottom"/>
            <w:tcBorders>
              <w:top w:val="single" w:sz="8" w:color="0000FF"/>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between Genevant Sciences Ltd. and Arbutus Biopharma</w:t>
              </w:r>
            </w:hyperlink>
          </w:p>
        </w:tc>
        <w:tc>
          <w:tcPr>
            <w:tcW w:w="260" w:type="dxa"/>
            <w:vAlign w:val="bottom"/>
            <w:tcBorders>
              <w:top w:val="single" w:sz="8" w:color="0000FF"/>
              <w:bottom w:val="single" w:sz="8" w:color="CCEEFF"/>
            </w:tcBorders>
            <w:gridSpan w:val="5"/>
            <w:shd w:val="clear" w:color="auto" w:fill="CCEEFF"/>
          </w:tcPr>
          <w:p>
            <w:pPr>
              <w:spacing w:after="0"/>
              <w:rPr>
                <w:sz w:val="17"/>
                <w:szCs w:val="17"/>
                <w:color w:val="auto"/>
              </w:rPr>
            </w:pPr>
          </w:p>
        </w:tc>
        <w:tc>
          <w:tcPr>
            <w:tcW w:w="560" w:type="dxa"/>
            <w:vAlign w:val="bottom"/>
            <w:tcBorders>
              <w:top w:val="single" w:sz="8" w:color="CCEEFF"/>
              <w:bottom w:val="single" w:sz="8" w:color="CCEEFF"/>
            </w:tcBorders>
            <w:gridSpan w:val="11"/>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Corporation</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4860" w:type="dxa"/>
            <w:vAlign w:val="bottom"/>
            <w:tcBorders>
              <w:bottom w:val="single" w:sz="8" w:color="0000FF"/>
            </w:tcBorders>
            <w:gridSpan w:val="29"/>
            <w:shd w:val="clear" w:color="auto" w:fill="CCEEFF"/>
          </w:tcPr>
          <w:p>
            <w:pPr>
              <w:spacing w:after="0" w:line="202"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First Amendment to Cross License Agreement, dated as of June 27,</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001-34949</w:t>
            </w:r>
          </w:p>
        </w:tc>
        <w:tc>
          <w:tcPr>
            <w:tcW w:w="110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7, 2020</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680" w:type="dxa"/>
            <w:vAlign w:val="bottom"/>
            <w:tcBorders>
              <w:bottom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2018, by and among Genevant Sciences Ltd., Genevant Sciences</w:t>
              </w:r>
            </w:hyperlink>
          </w:p>
        </w:tc>
        <w:tc>
          <w:tcPr>
            <w:tcW w:w="260" w:type="dxa"/>
            <w:vAlign w:val="bottom"/>
            <w:tcBorders>
              <w:bottom w:val="single" w:sz="8" w:color="CCEEFF"/>
            </w:tcBorders>
            <w:gridSpan w:val="5"/>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r>
      <w:tr>
        <w:trPr>
          <w:trHeight w:val="243"/>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GmbH and Arbutus Biopharma Corporation</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Second Amendment to Cross License Agreement, dated as of June</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001-34949</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7, 2020</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27, 2018, by and among Genevant Sciences Ltd., Genevant</w:t>
              </w:r>
            </w:hyperlink>
          </w:p>
        </w:tc>
        <w:tc>
          <w:tcPr>
            <w:tcW w:w="160" w:type="dxa"/>
            <w:vAlign w:val="bottom"/>
            <w:tcBorders>
              <w:top w:val="single" w:sz="8" w:color="CCEEFF"/>
            </w:tcBorders>
            <w:gridSpan w:val="4"/>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r>
      <w:tr>
        <w:trPr>
          <w:trHeight w:val="243"/>
        </w:trPr>
        <w:tc>
          <w:tcPr>
            <w:tcW w:w="1140" w:type="dxa"/>
            <w:vAlign w:val="bottom"/>
            <w:tcBorders>
              <w:top w:val="single" w:sz="8" w:color="CCEEFF"/>
            </w:tcBorders>
            <w:shd w:val="clear" w:color="auto" w:fill="CCEEFF"/>
          </w:tcPr>
          <w:p>
            <w:pPr>
              <w:spacing w:after="0"/>
              <w:rPr>
                <w:sz w:val="21"/>
                <w:szCs w:val="21"/>
                <w:color w:val="auto"/>
              </w:rPr>
            </w:pPr>
          </w:p>
        </w:tc>
        <w:tc>
          <w:tcPr>
            <w:tcW w:w="426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Sciences GmbH and Arbutus Biopharma Corporation</w:t>
              </w:r>
            </w:hyperlink>
          </w:p>
        </w:tc>
        <w:tc>
          <w:tcPr>
            <w:tcW w:w="680" w:type="dxa"/>
            <w:vAlign w:val="bottom"/>
            <w:tcBorders>
              <w:top w:val="single" w:sz="8" w:color="CCEEFF"/>
            </w:tcBorders>
            <w:gridSpan w:val="13"/>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50"/>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Form of Indemnity Agreement</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S-4/A</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333-256165</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10.24</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July 1, 2021</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Roivant Sciences Ltd. Amended and Restated 2015 Equity</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S-4</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333-256165</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10.25</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May 14, 2021</w:t>
            </w: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22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Incentive Plan</w:t>
              </w:r>
            </w:hyperlink>
          </w:p>
        </w:tc>
        <w:tc>
          <w:tcPr>
            <w:tcW w:w="720" w:type="dxa"/>
            <w:vAlign w:val="bottom"/>
            <w:tcBorders>
              <w:top w:val="single" w:sz="8" w:color="CCEEFF"/>
            </w:tcBorders>
            <w:gridSpan w:val="14"/>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50"/>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Roivant Sciences Ltd. 2021 Equity Incentive Plan</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S-8</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333-260173</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October 8, 2021</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10.10*^</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Executive Employment Agreement between Roivant Sciences, Inc.</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S-4</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333-256165</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10.28</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May 14, 2021</w:t>
            </w: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820" w:type="dxa"/>
            <w:vAlign w:val="bottom"/>
            <w:tcBorders>
              <w:top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and Matthew Gline, dated as of May 14, 2021</w:t>
              </w:r>
            </w:hyperlink>
          </w:p>
        </w:tc>
        <w:tc>
          <w:tcPr>
            <w:tcW w:w="120" w:type="dxa"/>
            <w:vAlign w:val="bottom"/>
            <w:tcBorders>
              <w:top w:val="single" w:sz="8" w:color="CCEEFF"/>
            </w:tcBorders>
            <w:gridSpan w:val="2"/>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10.11*^</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Executive Employment Agreement between Roivant Sciences, Inc.</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S-4</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333-256165</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10.29</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May 14, 2021</w:t>
            </w:r>
          </w:p>
        </w:tc>
      </w:tr>
      <w:tr>
        <w:trPr>
          <w:trHeight w:val="243"/>
        </w:trPr>
        <w:tc>
          <w:tcPr>
            <w:tcW w:w="1140" w:type="dxa"/>
            <w:vAlign w:val="bottom"/>
            <w:tcBorders>
              <w:top w:val="single" w:sz="8" w:color="CCEEFF"/>
            </w:tcBorders>
            <w:shd w:val="clear" w:color="auto" w:fill="CCEEFF"/>
          </w:tcPr>
          <w:p>
            <w:pPr>
              <w:spacing w:after="0"/>
              <w:rPr>
                <w:sz w:val="21"/>
                <w:szCs w:val="21"/>
                <w:color w:val="auto"/>
              </w:rPr>
            </w:pPr>
          </w:p>
        </w:tc>
        <w:tc>
          <w:tcPr>
            <w:tcW w:w="4820" w:type="dxa"/>
            <w:vAlign w:val="bottom"/>
            <w:tcBorders>
              <w:top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and Eric Venker, dated as of May 14, 2021</w:t>
              </w:r>
            </w:hyperlink>
          </w:p>
        </w:tc>
        <w:tc>
          <w:tcPr>
            <w:tcW w:w="120" w:type="dxa"/>
            <w:vAlign w:val="bottom"/>
            <w:tcBorders>
              <w:top w:val="single" w:sz="8" w:color="CCEEFF"/>
            </w:tcBorders>
            <w:gridSpan w:val="2"/>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10.12*</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Amendment No. 1 to the Support Agreement, dated as of June 9,</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10.28</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2022</w:t>
            </w:r>
          </w:p>
        </w:tc>
      </w:tr>
      <w:tr>
        <w:trPr>
          <w:trHeight w:val="196"/>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4640" w:type="dxa"/>
            <w:vAlign w:val="bottom"/>
            <w:tcBorders>
              <w:top w:val="single" w:sz="8" w:color="0000FF"/>
              <w:bottom w:val="single" w:sz="8" w:color="0000FF"/>
            </w:tcBorders>
            <w:gridSpan w:val="23"/>
            <w:shd w:val="clear" w:color="auto" w:fill="CCEEFF"/>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2021, by and among Roivant Sciences Ltd., Montes Archimedes</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Acquisition Corp., Patient Square Capital LLC and certain</w:t>
              </w:r>
            </w:hyperlink>
          </w:p>
        </w:tc>
        <w:tc>
          <w:tcPr>
            <w:tcW w:w="8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20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shareholders of Roivant Sciences Ltd.</w:t>
              </w:r>
            </w:hyperlink>
          </w:p>
        </w:tc>
        <w:tc>
          <w:tcPr>
            <w:tcW w:w="740" w:type="dxa"/>
            <w:vAlign w:val="bottom"/>
            <w:tcBorders>
              <w:top w:val="single" w:sz="8" w:color="CCEEFF"/>
            </w:tcBorders>
            <w:gridSpan w:val="15"/>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10.13*</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Amendment No. 2 to the Support Agreement, dated as of</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October 1, 2021</w:t>
            </w:r>
          </w:p>
        </w:tc>
      </w:tr>
      <w:tr>
        <w:trPr>
          <w:trHeight w:val="20"/>
        </w:trPr>
        <w:tc>
          <w:tcPr>
            <w:tcW w:w="114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CCEEFF"/>
            </w:tcBorders>
            <w:gridSpan w:val="7"/>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20" w:type="dxa"/>
            <w:vAlign w:val="bottom"/>
            <w:gridSpan w:val="5"/>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September 30, 2021, by and among Roivant Sciences Ltd., Montes</w:t>
              </w:r>
            </w:hyperlink>
          </w:p>
        </w:tc>
        <w:tc>
          <w:tcPr>
            <w:tcW w:w="8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800" w:type="dxa"/>
            <w:vAlign w:val="bottom"/>
            <w:tcBorders>
              <w:top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Archimedes Acquisition Corp., Patient Square Capital LLC and</w:t>
              </w:r>
            </w:hyperlink>
          </w:p>
        </w:tc>
        <w:tc>
          <w:tcPr>
            <w:tcW w:w="1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r>
      <w:tr>
        <w:trPr>
          <w:trHeight w:val="243"/>
        </w:trPr>
        <w:tc>
          <w:tcPr>
            <w:tcW w:w="1140" w:type="dxa"/>
            <w:vAlign w:val="bottom"/>
            <w:tcBorders>
              <w:top w:val="single" w:sz="8" w:color="CCEEFF"/>
            </w:tcBorders>
            <w:shd w:val="clear" w:color="auto" w:fill="CCEEFF"/>
          </w:tcPr>
          <w:p>
            <w:pPr>
              <w:spacing w:after="0"/>
              <w:rPr>
                <w:sz w:val="21"/>
                <w:szCs w:val="21"/>
                <w:color w:val="auto"/>
              </w:rPr>
            </w:pPr>
          </w:p>
        </w:tc>
        <w:tc>
          <w:tcPr>
            <w:tcW w:w="458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certain shareholders of Roivant Sciences Ltd.</w:t>
              </w:r>
            </w:hyperlink>
          </w:p>
        </w:tc>
        <w:tc>
          <w:tcPr>
            <w:tcW w:w="360" w:type="dxa"/>
            <w:vAlign w:val="bottom"/>
            <w:tcBorders>
              <w:top w:val="single" w:sz="8" w:color="CCEEFF"/>
            </w:tcBorders>
            <w:gridSpan w:val="8"/>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10.14*^</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Amended &amp; Restated Roivant Sciences Ltd. Employee Stock</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10.27</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2023</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Purchase Plan</w:t>
              </w:r>
            </w:hyperlink>
          </w:p>
        </w:tc>
        <w:tc>
          <w:tcPr>
            <w:tcW w:w="480" w:type="dxa"/>
            <w:vAlign w:val="bottom"/>
            <w:tcBorders>
              <w:top w:val="single" w:sz="8" w:color="CCEEFF"/>
            </w:tcBorders>
            <w:gridSpan w:val="10"/>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860" w:type="dxa"/>
            <w:vAlign w:val="bottom"/>
            <w:tcBorders>
              <w:bottom w:val="single" w:sz="8" w:color="0000FF"/>
            </w:tcBorders>
            <w:gridSpan w:val="29"/>
            <w:shd w:val="clear" w:color="auto" w:fill="CCEEFF"/>
          </w:tcPr>
          <w:p>
            <w:pPr>
              <w:spacing w:after="0"/>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Third Amendment to Cross License Agreement, dated December 9,</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333-261853</w:t>
            </w:r>
          </w:p>
        </w:tc>
        <w:tc>
          <w:tcPr>
            <w:tcW w:w="11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10.37</w:t>
            </w:r>
          </w:p>
        </w:tc>
        <w:tc>
          <w:tcPr>
            <w:tcW w:w="1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22,</w:t>
            </w:r>
          </w:p>
        </w:tc>
      </w:tr>
      <w:tr>
        <w:trPr>
          <w:trHeight w:val="196"/>
        </w:trPr>
        <w:tc>
          <w:tcPr>
            <w:tcW w:w="1140" w:type="dxa"/>
            <w:vAlign w:val="bottom"/>
            <w:shd w:val="clear" w:color="auto" w:fill="CCEEFF"/>
          </w:tcPr>
          <w:p>
            <w:pPr>
              <w:spacing w:after="0"/>
              <w:rPr>
                <w:sz w:val="17"/>
                <w:szCs w:val="17"/>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2021, by and between Genevant Sciences GmbH and Arbutus</w:t>
              </w:r>
            </w:hyperlink>
          </w:p>
        </w:tc>
        <w:tc>
          <w:tcPr>
            <w:tcW w:w="8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2021</w:t>
            </w: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440" w:type="dxa"/>
            <w:vAlign w:val="bottom"/>
            <w:tcBorders>
              <w:top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Biopharma Corporation</w:t>
              </w:r>
            </w:hyperlink>
          </w:p>
        </w:tc>
        <w:tc>
          <w:tcPr>
            <w:tcW w:w="500" w:type="dxa"/>
            <w:vAlign w:val="bottom"/>
            <w:tcBorders>
              <w:top w:val="single" w:sz="8" w:color="CCEEFF"/>
            </w:tcBorders>
            <w:gridSpan w:val="12"/>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4600" w:type="dxa"/>
            <w:vAlign w:val="bottom"/>
            <w:tcBorders>
              <w:bottom w:val="single" w:sz="8" w:color="0000FF"/>
            </w:tcBorders>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Investor Rights Agreement, dated as of September 13, 2021, by</w:t>
              </w:r>
            </w:hyperlink>
          </w:p>
        </w:tc>
        <w:tc>
          <w:tcPr>
            <w:tcW w:w="340" w:type="dxa"/>
            <w:vAlign w:val="bottom"/>
            <w:tcBorders>
              <w:bottom w:val="single" w:sz="8" w:color="CCEEFF"/>
            </w:tcBorders>
            <w:gridSpan w:val="8"/>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10.36</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2022</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and among Priovant Holdings, Inc., Roivant Sciences Ltd. and</w:t>
              </w:r>
            </w:hyperlink>
          </w:p>
        </w:tc>
        <w:tc>
          <w:tcPr>
            <w:tcW w:w="440" w:type="dxa"/>
            <w:vAlign w:val="bottom"/>
            <w:tcBorders>
              <w:bottom w:val="single" w:sz="8" w:color="CCEEFF"/>
            </w:tcBorders>
            <w:gridSpan w:val="11"/>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r>
      <w:tr>
        <w:trPr>
          <w:trHeight w:val="243"/>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Pfizer Inc.</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10.17#†*</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License and Collaboration Agreement, dated as of September 13,</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10.37</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2022</w:t>
            </w: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680" w:type="dxa"/>
            <w:vAlign w:val="bottom"/>
            <w:tcBorders>
              <w:top w:val="single" w:sz="8" w:color="0000FF"/>
            </w:tcBorders>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2021, by and between Pfizer Inc. and Priovant, Inc.</w:t>
              </w:r>
            </w:hyperlink>
          </w:p>
        </w:tc>
        <w:tc>
          <w:tcPr>
            <w:tcW w:w="260" w:type="dxa"/>
            <w:vAlign w:val="bottom"/>
            <w:tcBorders>
              <w:top w:val="single" w:sz="8" w:color="CCEEFF"/>
            </w:tcBorders>
            <w:gridSpan w:val="7"/>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10.18#*</w:t>
            </w:r>
          </w:p>
        </w:tc>
        <w:tc>
          <w:tcPr>
            <w:tcW w:w="4780" w:type="dxa"/>
            <w:vAlign w:val="bottom"/>
            <w:tcBorders>
              <w:bottom w:val="single" w:sz="8" w:color="0000FF"/>
            </w:tcBorders>
            <w:gridSpan w:val="26"/>
            <w:shd w:val="clear" w:color="auto" w:fill="CCEEFF"/>
          </w:tcPr>
          <w:p>
            <w:pPr>
              <w:spacing w:after="0" w:line="202"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Amendment No. 1 to License and Collaboration Agreement, dated</w:t>
              </w:r>
            </w:hyperlink>
          </w:p>
        </w:tc>
        <w:tc>
          <w:tcPr>
            <w:tcW w:w="160" w:type="dxa"/>
            <w:vAlign w:val="bottom"/>
            <w:tcBorders>
              <w:bottom w:val="single" w:sz="8" w:color="CCEEFF"/>
            </w:tcBorders>
            <w:gridSpan w:val="4"/>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10.38</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2022</w:t>
            </w:r>
          </w:p>
        </w:tc>
      </w:tr>
      <w:tr>
        <w:trPr>
          <w:trHeight w:val="244"/>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as of June 10, 2022, by and between Pfizer Inc. and Priovant, Inc.</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2"/>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Employment Agreement between Roivant Sciences, Inc. and</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S-1/A</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333-260619</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10.39</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July 28, 2022</w:t>
            </w: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36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Mayukh Sukhatme, dated as of May 19, 2020</w:t>
              </w:r>
            </w:hyperlink>
          </w:p>
        </w:tc>
        <w:tc>
          <w:tcPr>
            <w:tcW w:w="580" w:type="dxa"/>
            <w:vAlign w:val="bottom"/>
            <w:tcBorders>
              <w:top w:val="single" w:sz="8" w:color="CCEEFF"/>
            </w:tcBorders>
            <w:gridSpan w:val="15"/>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458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Form of Stock Option Grant Notice under the Roivant Sciences</w:t>
              </w:r>
            </w:hyperlink>
          </w:p>
        </w:tc>
        <w:tc>
          <w:tcPr>
            <w:tcW w:w="360" w:type="dxa"/>
            <w:vAlign w:val="bottom"/>
            <w:tcBorders>
              <w:bottom w:val="single" w:sz="8" w:color="CCEEFF"/>
            </w:tcBorders>
            <w:gridSpan w:val="9"/>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10.39</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2023</w:t>
            </w:r>
          </w:p>
        </w:tc>
      </w:tr>
      <w:tr>
        <w:trPr>
          <w:trHeight w:val="244"/>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Ltd. Amended and Restated 2015 Equity Incentive Plan</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10.21*</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of Restricted Stock Unit Award Grant Notice under the</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10.40</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2023</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Roivant Sciences Ltd. Amended and Restated 2015 Equity</w:t>
              </w:r>
            </w:hyperlink>
          </w:p>
        </w:tc>
        <w:tc>
          <w:tcPr>
            <w:tcW w:w="560" w:type="dxa"/>
            <w:vAlign w:val="bottom"/>
            <w:tcBorders>
              <w:top w:val="single" w:sz="8" w:color="CCEEFF"/>
            </w:tcBorders>
            <w:gridSpan w:val="14"/>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r>
      <w:tr>
        <w:trPr>
          <w:trHeight w:val="244"/>
        </w:trPr>
        <w:tc>
          <w:tcPr>
            <w:tcW w:w="1140" w:type="dxa"/>
            <w:vAlign w:val="bottom"/>
            <w:tcBorders>
              <w:top w:val="single" w:sz="8" w:color="CCEEFF"/>
            </w:tcBorders>
            <w:shd w:val="clear" w:color="auto" w:fill="CCEEFF"/>
          </w:tcPr>
          <w:p>
            <w:pPr>
              <w:spacing w:after="0"/>
              <w:rPr>
                <w:sz w:val="21"/>
                <w:szCs w:val="21"/>
                <w:color w:val="auto"/>
              </w:rPr>
            </w:pPr>
          </w:p>
        </w:tc>
        <w:tc>
          <w:tcPr>
            <w:tcW w:w="422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Incentive Plan</w:t>
              </w:r>
            </w:hyperlink>
          </w:p>
        </w:tc>
        <w:tc>
          <w:tcPr>
            <w:tcW w:w="720" w:type="dxa"/>
            <w:vAlign w:val="bottom"/>
            <w:tcBorders>
              <w:top w:val="single" w:sz="8" w:color="CCEEFF"/>
            </w:tcBorders>
            <w:gridSpan w:val="16"/>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10.22*</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of Performance Option Grant Notice under the Roivant</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10.41</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2023</w:t>
            </w:r>
          </w:p>
        </w:tc>
      </w:tr>
      <w:tr>
        <w:trPr>
          <w:trHeight w:val="20"/>
        </w:trPr>
        <w:tc>
          <w:tcPr>
            <w:tcW w:w="1140" w:type="dxa"/>
            <w:vAlign w:val="bottom"/>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CCEEFF"/>
            </w:tcBorders>
            <w:gridSpan w:val="6"/>
            <w:shd w:val="clear" w:color="auto" w:fill="0000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r>
        <w:trPr>
          <w:trHeight w:val="243"/>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Sciences Ltd. Amended and Restated 2015 Equity Incentive Plan</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10.23*</w:t>
            </w:r>
          </w:p>
        </w:tc>
        <w:tc>
          <w:tcPr>
            <w:tcW w:w="4560" w:type="dxa"/>
            <w:vAlign w:val="bottom"/>
            <w:tcBorders>
              <w:bottom w:val="single" w:sz="8" w:color="0000FF"/>
            </w:tcBorders>
            <w:gridSpan w:val="20"/>
            <w:shd w:val="clear" w:color="auto" w:fill="CCEEFF"/>
          </w:tcPr>
          <w:p>
            <w:pPr>
              <w:spacing w:after="0" w:line="202" w:lineRule="exact"/>
              <w:rPr>
                <w:rFonts w:ascii="Times New Roman" w:cs="Times New Roman" w:eastAsia="Times New Roman" w:hAnsi="Times New Roman"/>
                <w:sz w:val="18"/>
                <w:szCs w:val="18"/>
                <w:color w:val="0000FF"/>
                <w:w w:val="98"/>
              </w:rPr>
            </w:pPr>
            <w:hyperlink r:id="rId267">
              <w:r>
                <w:rPr>
                  <w:rFonts w:ascii="Times New Roman" w:cs="Times New Roman" w:eastAsia="Times New Roman" w:hAnsi="Times New Roman"/>
                  <w:sz w:val="18"/>
                  <w:szCs w:val="18"/>
                  <w:color w:val="0000FF"/>
                  <w:w w:val="98"/>
                </w:rPr>
                <w:t>Form of Capped Value Appreciation Right Award Grant Notice</w:t>
              </w:r>
            </w:hyperlink>
          </w:p>
        </w:tc>
        <w:tc>
          <w:tcPr>
            <w:tcW w:w="380" w:type="dxa"/>
            <w:vAlign w:val="bottom"/>
            <w:tcBorders>
              <w:bottom w:val="single" w:sz="8" w:color="CCEEFF"/>
            </w:tcBorders>
            <w:gridSpan w:val="10"/>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10.42</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2023</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420" w:type="dxa"/>
            <w:vAlign w:val="bottom"/>
            <w:tcBorders>
              <w:bottom w:val="single" w:sz="8" w:color="0000FF"/>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FF"/>
                <w:w w:val="98"/>
              </w:rPr>
            </w:pPr>
            <w:hyperlink r:id="rId267">
              <w:r>
                <w:rPr>
                  <w:rFonts w:ascii="Times New Roman" w:cs="Times New Roman" w:eastAsia="Times New Roman" w:hAnsi="Times New Roman"/>
                  <w:sz w:val="18"/>
                  <w:szCs w:val="18"/>
                  <w:color w:val="0000FF"/>
                  <w:w w:val="98"/>
                </w:rPr>
                <w:t>under the Roivant Sciences Ltd. Amended and Restated 2015</w:t>
              </w:r>
            </w:hyperlink>
          </w:p>
        </w:tc>
        <w:tc>
          <w:tcPr>
            <w:tcW w:w="520" w:type="dxa"/>
            <w:vAlign w:val="bottom"/>
            <w:tcBorders>
              <w:bottom w:val="single" w:sz="8" w:color="CCEEFF"/>
            </w:tcBorders>
            <w:gridSpan w:val="1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r>
      <w:tr>
        <w:trPr>
          <w:trHeight w:val="244"/>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Equity Incentive Plan</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10.24*</w:t>
            </w:r>
          </w:p>
        </w:tc>
        <w:tc>
          <w:tcPr>
            <w:tcW w:w="458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Form of Stock Option Grant Notice under the Roivant Sciences</w:t>
              </w:r>
            </w:hyperlink>
          </w:p>
        </w:tc>
        <w:tc>
          <w:tcPr>
            <w:tcW w:w="360" w:type="dxa"/>
            <w:vAlign w:val="bottom"/>
            <w:tcBorders>
              <w:bottom w:val="single" w:sz="8" w:color="CCEEFF"/>
            </w:tcBorders>
            <w:gridSpan w:val="9"/>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10.43</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2023</w:t>
            </w:r>
          </w:p>
        </w:tc>
      </w:tr>
      <w:tr>
        <w:trPr>
          <w:trHeight w:val="243"/>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Ltd. 2021 Equity Incentive Plan</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10.25*</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of Restricted Stock Unit Award Grant Notice under the</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10.44</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June 28, 2023</w:t>
            </w:r>
          </w:p>
        </w:tc>
      </w:tr>
      <w:tr>
        <w:trPr>
          <w:trHeight w:val="243"/>
        </w:trPr>
        <w:tc>
          <w:tcPr>
            <w:tcW w:w="1140" w:type="dxa"/>
            <w:vAlign w:val="bottom"/>
            <w:tcBorders>
              <w:top w:val="single" w:sz="8" w:color="CCEEFF"/>
            </w:tcBorders>
            <w:shd w:val="clear" w:color="auto" w:fill="CCEEFF"/>
          </w:tcPr>
          <w:p>
            <w:pPr>
              <w:spacing w:after="0"/>
              <w:rPr>
                <w:sz w:val="21"/>
                <w:szCs w:val="21"/>
                <w:color w:val="auto"/>
              </w:rPr>
            </w:pPr>
          </w:p>
        </w:tc>
        <w:tc>
          <w:tcPr>
            <w:tcW w:w="438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Roivant Sciences Ltd. 2021 Equity Incentive Plan</w:t>
              </w:r>
            </w:hyperlink>
          </w:p>
        </w:tc>
        <w:tc>
          <w:tcPr>
            <w:tcW w:w="560" w:type="dxa"/>
            <w:vAlign w:val="bottom"/>
            <w:tcBorders>
              <w:top w:val="single" w:sz="8" w:color="CCEEFF"/>
            </w:tcBorders>
            <w:gridSpan w:val="14"/>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10.26*^</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Employment Agreement between Roivant Sciences, Inc. and Rakhi</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10.44</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9, 2024</w:t>
            </w:r>
          </w:p>
        </w:tc>
      </w:tr>
      <w:tr>
        <w:trPr>
          <w:trHeight w:val="243"/>
        </w:trPr>
        <w:tc>
          <w:tcPr>
            <w:tcW w:w="1140" w:type="dxa"/>
            <w:vAlign w:val="bottom"/>
            <w:tcBorders>
              <w:top w:val="single" w:sz="8" w:color="CCEEFF"/>
            </w:tcBorders>
            <w:shd w:val="clear" w:color="auto" w:fill="CCEEFF"/>
          </w:tcPr>
          <w:p>
            <w:pPr>
              <w:spacing w:after="0"/>
              <w:rPr>
                <w:sz w:val="21"/>
                <w:szCs w:val="21"/>
                <w:color w:val="auto"/>
              </w:rPr>
            </w:pPr>
          </w:p>
        </w:tc>
        <w:tc>
          <w:tcPr>
            <w:tcW w:w="4840" w:type="dxa"/>
            <w:vAlign w:val="bottom"/>
            <w:tcBorders>
              <w:top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Kumar, dated as of June 5, 2023</w:t>
              </w:r>
            </w:hyperlink>
          </w:p>
        </w:tc>
        <w:tc>
          <w:tcPr>
            <w:tcW w:w="100" w:type="dxa"/>
            <w:vAlign w:val="bottom"/>
            <w:tcBorders>
              <w:top w:val="single" w:sz="8" w:color="CCEEFF"/>
            </w:tcBorders>
            <w:gridSpan w:val="2"/>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10.27#*^</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Employment Agreement between Roivant Sciences, Inc. and</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10.43</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9, 2024</w:t>
            </w:r>
          </w:p>
        </w:tc>
      </w:tr>
      <w:tr>
        <w:trPr>
          <w:trHeight w:val="243"/>
        </w:trPr>
        <w:tc>
          <w:tcPr>
            <w:tcW w:w="1140" w:type="dxa"/>
            <w:vAlign w:val="bottom"/>
            <w:tcBorders>
              <w:top w:val="single" w:sz="8" w:color="CCEEFF"/>
            </w:tcBorders>
            <w:shd w:val="clear" w:color="auto" w:fill="CCEEFF"/>
          </w:tcPr>
          <w:p>
            <w:pPr>
              <w:spacing w:after="0"/>
              <w:rPr>
                <w:sz w:val="21"/>
                <w:szCs w:val="21"/>
                <w:color w:val="auto"/>
              </w:rPr>
            </w:pPr>
          </w:p>
        </w:tc>
        <w:tc>
          <w:tcPr>
            <w:tcW w:w="436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Richard Pulik, dated as of August 31, 2021</w:t>
              </w:r>
            </w:hyperlink>
          </w:p>
        </w:tc>
        <w:tc>
          <w:tcPr>
            <w:tcW w:w="580" w:type="dxa"/>
            <w:vAlign w:val="bottom"/>
            <w:tcBorders>
              <w:top w:val="single" w:sz="8" w:color="CCEEFF"/>
            </w:tcBorders>
            <w:gridSpan w:val="15"/>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10.28#†*</w:t>
            </w:r>
          </w:p>
        </w:tc>
        <w:tc>
          <w:tcPr>
            <w:tcW w:w="474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License Agreement by and between Bayer Aktiengesellschaft and</w:t>
              </w:r>
            </w:hyperlink>
          </w:p>
        </w:tc>
        <w:tc>
          <w:tcPr>
            <w:tcW w:w="200" w:type="dxa"/>
            <w:vAlign w:val="bottom"/>
            <w:tcBorders>
              <w:bottom w:val="single" w:sz="8" w:color="CCEEFF"/>
            </w:tcBorders>
            <w:gridSpan w:val="5"/>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54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10.45</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November 12,</w:t>
            </w:r>
          </w:p>
        </w:tc>
      </w:tr>
      <w:tr>
        <w:trPr>
          <w:trHeight w:val="243"/>
        </w:trPr>
        <w:tc>
          <w:tcPr>
            <w:tcW w:w="1140" w:type="dxa"/>
            <w:vAlign w:val="bottom"/>
            <w:shd w:val="clear" w:color="auto" w:fill="CCEEFF"/>
          </w:tcPr>
          <w:p>
            <w:pPr>
              <w:spacing w:after="0"/>
              <w:rPr>
                <w:sz w:val="21"/>
                <w:szCs w:val="21"/>
                <w:color w:val="auto"/>
              </w:rPr>
            </w:pPr>
          </w:p>
        </w:tc>
        <w:tc>
          <w:tcPr>
            <w:tcW w:w="49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Pulmovant, Inc., dated as of July 27, 2023</w:t>
              </w:r>
            </w:hyperlink>
          </w:p>
        </w:tc>
        <w:tc>
          <w:tcPr>
            <w:tcW w:w="8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2024</w:t>
            </w:r>
          </w:p>
        </w:tc>
      </w:tr>
      <w:tr>
        <w:trPr>
          <w:trHeight w:val="162"/>
        </w:trPr>
        <w:tc>
          <w:tcPr>
            <w:tcW w:w="1140" w:type="dxa"/>
            <w:vAlign w:val="bottom"/>
            <w:tcBorders>
              <w:top w:val="single" w:sz="8" w:color="CCEE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10.29#†*</w:t>
            </w:r>
          </w:p>
        </w:tc>
        <w:tc>
          <w:tcPr>
            <w:tcW w:w="4940" w:type="dxa"/>
            <w:vAlign w:val="bottom"/>
            <w:gridSpan w:val="30"/>
            <w:shd w:val="clear" w:color="auto" w:fill="CCEEFF"/>
          </w:tcPr>
          <w:p>
            <w:pPr>
              <w:spacing w:after="0" w:line="202"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First Amendment to the License Agreement by and between Bayer</w:t>
              </w:r>
            </w:hyperlink>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5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00" w:type="dxa"/>
            <w:vAlign w:val="bottom"/>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10.46</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November 12,</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800" w:type="dxa"/>
            <w:vAlign w:val="bottom"/>
            <w:tcBorders>
              <w:top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Aktiengesellschaft and Pulmovant, Inc., dated as of September 22,</w:t>
              </w:r>
            </w:hyperlink>
          </w:p>
        </w:tc>
        <w:tc>
          <w:tcPr>
            <w:tcW w:w="1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2024</w:t>
            </w:r>
          </w:p>
        </w:tc>
      </w:tr>
      <w:tr>
        <w:trPr>
          <w:trHeight w:val="243"/>
        </w:trPr>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4"/>
              </w:rPr>
            </w:pPr>
            <w:hyperlink r:id="rId273">
              <w:r>
                <w:rPr>
                  <w:rFonts w:ascii="Times New Roman" w:cs="Times New Roman" w:eastAsia="Times New Roman" w:hAnsi="Times New Roman"/>
                  <w:sz w:val="18"/>
                  <w:szCs w:val="18"/>
                  <w:color w:val="0000FF"/>
                  <w:w w:val="94"/>
                </w:rPr>
                <w:t>2023</w:t>
              </w:r>
            </w:hyperlink>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54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894"/>
        </w:trPr>
        <w:tc>
          <w:tcPr>
            <w:tcW w:w="1140" w:type="dxa"/>
            <w:vAlign w:val="bottom"/>
          </w:tcPr>
          <w:p>
            <w:pPr>
              <w:spacing w:after="0"/>
              <w:rPr>
                <w:sz w:val="24"/>
                <w:szCs w:val="24"/>
                <w:color w:val="auto"/>
              </w:rPr>
            </w:pPr>
          </w:p>
        </w:tc>
        <w:tc>
          <w:tcPr>
            <w:tcW w:w="4680" w:type="dxa"/>
            <w:vAlign w:val="bottom"/>
            <w:gridSpan w:val="23"/>
          </w:tcPr>
          <w:p>
            <w:pPr>
              <w:ind w:left="4380"/>
              <w:spacing w:after="0"/>
              <w:rPr>
                <w:sz w:val="20"/>
                <w:szCs w:val="20"/>
                <w:color w:val="auto"/>
              </w:rPr>
            </w:pPr>
            <w:r>
              <w:rPr>
                <w:rFonts w:ascii="Times New Roman" w:cs="Times New Roman" w:eastAsia="Times New Roman" w:hAnsi="Times New Roman"/>
                <w:sz w:val="14"/>
                <w:szCs w:val="14"/>
                <w:color w:val="auto"/>
              </w:rPr>
              <w:t>206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41"/>
        </w:trPr>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4640" w:type="dxa"/>
            <w:vAlign w:val="bottom"/>
            <w:tcBorders>
              <w:bottom w:val="single" w:sz="8" w:color="0000FF"/>
            </w:tcBorders>
            <w:gridSpan w:val="16"/>
            <w:shd w:val="clear" w:color="auto" w:fill="CCEEFF"/>
          </w:tcPr>
          <w:p>
            <w:pPr>
              <w:spacing w:after="0"/>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Form of Performance Restricted Stock Unit Award Grant Notice</w:t>
              </w:r>
            </w:hyperlink>
          </w:p>
        </w:tc>
        <w:tc>
          <w:tcPr>
            <w:tcW w:w="300" w:type="dxa"/>
            <w:vAlign w:val="bottom"/>
            <w:tcBorders>
              <w:bottom w:val="single" w:sz="8" w:color="CCEEFF"/>
            </w:tcBorders>
            <w:gridSpan w:val="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10.36</w:t>
            </w:r>
          </w:p>
        </w:tc>
        <w:tc>
          <w:tcPr>
            <w:tcW w:w="1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 29, 2025</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94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under the Roivant Sciences Ltd. 2021 Equity Incentive Plan</w:t>
              </w:r>
            </w:hyperlink>
          </w:p>
        </w:tc>
        <w:tc>
          <w:tcPr>
            <w:tcW w:w="8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10.31†^*</w:t>
            </w:r>
          </w:p>
        </w:tc>
        <w:tc>
          <w:tcPr>
            <w:tcW w:w="49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Separation Agreement and General Release between Roivant</w:t>
              </w:r>
            </w:hyperlink>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10.37</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May 29, 2025</w:t>
            </w: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4380" w:type="dxa"/>
            <w:vAlign w:val="bottom"/>
            <w:tcBorders>
              <w:top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Sciences, Inc. and Rakhi Kumar</w:t>
              </w:r>
            </w:hyperlink>
          </w:p>
        </w:tc>
        <w:tc>
          <w:tcPr>
            <w:tcW w:w="560" w:type="dxa"/>
            <w:vAlign w:val="bottom"/>
            <w:tcBorders>
              <w:top w:val="single" w:sz="8" w:color="CCEEFF"/>
            </w:tcBorders>
            <w:gridSpan w:val="9"/>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10.32†*^</w:t>
            </w:r>
          </w:p>
        </w:tc>
        <w:tc>
          <w:tcPr>
            <w:tcW w:w="49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Consulting Agreement between Roivant Sciences, Inc. and Rakhi</w:t>
              </w:r>
            </w:hyperlink>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10.38</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May 29, 2025</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5"/>
              </w:rPr>
            </w:pPr>
            <w:hyperlink r:id="rId278">
              <w:r>
                <w:rPr>
                  <w:rFonts w:ascii="Times New Roman" w:cs="Times New Roman" w:eastAsia="Times New Roman" w:hAnsi="Times New Roman"/>
                  <w:sz w:val="18"/>
                  <w:szCs w:val="18"/>
                  <w:color w:val="0000FF"/>
                  <w:w w:val="95"/>
                </w:rPr>
                <w:t>Kumar</w:t>
              </w:r>
            </w:hyperlink>
          </w:p>
        </w:tc>
        <w:tc>
          <w:tcPr>
            <w:tcW w:w="4200" w:type="dxa"/>
            <w:vAlign w:val="bottom"/>
            <w:tcBorders>
              <w:top w:val="single" w:sz="8" w:color="0000FF"/>
              <w:bottom w:val="single" w:sz="8" w:color="CCEEFF"/>
            </w:tcBorders>
            <w:gridSpan w:val="16"/>
            <w:shd w:val="clear" w:color="auto" w:fill="CCEEFF"/>
          </w:tcPr>
          <w:p>
            <w:pPr>
              <w:spacing w:after="0"/>
              <w:rPr>
                <w:sz w:val="21"/>
                <w:szCs w:val="21"/>
                <w:color w:val="auto"/>
              </w:rPr>
            </w:pPr>
          </w:p>
        </w:tc>
        <w:tc>
          <w:tcPr>
            <w:tcW w:w="24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2"/>
        </w:trPr>
        <w:tc>
          <w:tcPr>
            <w:tcW w:w="11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10.33*^</w:t>
            </w:r>
          </w:p>
        </w:tc>
        <w:tc>
          <w:tcPr>
            <w:tcW w:w="458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Letter of Offer for Employment between Roivant Sciences, Inc.</w:t>
              </w:r>
            </w:hyperlink>
          </w:p>
        </w:tc>
        <w:tc>
          <w:tcPr>
            <w:tcW w:w="360" w:type="dxa"/>
            <w:vAlign w:val="bottom"/>
            <w:gridSpan w:val="7"/>
          </w:tcPr>
          <w:p>
            <w:pPr>
              <w:spacing w:after="0"/>
              <w:rPr>
                <w:sz w:val="17"/>
                <w:szCs w:val="17"/>
                <w:color w:val="auto"/>
              </w:rPr>
            </w:pPr>
          </w:p>
        </w:tc>
        <w:tc>
          <w:tcPr>
            <w:tcW w:w="8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11, 2025</w:t>
            </w: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40" w:type="dxa"/>
            <w:vAlign w:val="bottom"/>
            <w:gridSpan w:val="22"/>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and Jennifer Humes, dated as of February 7, 2025.</w:t>
              </w:r>
            </w:hyperlink>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10.34*^</w:t>
            </w:r>
          </w:p>
        </w:tc>
        <w:tc>
          <w:tcPr>
            <w:tcW w:w="49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Amended &amp; Restated Executive Employment Agreement between</w:t>
              </w:r>
            </w:hyperlink>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11, 2025</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4740" w:type="dxa"/>
            <w:vAlign w:val="bottom"/>
            <w:tcBorders>
              <w:top w:val="single" w:sz="8" w:color="0000FF"/>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8"/>
              </w:rPr>
            </w:pPr>
            <w:hyperlink r:id="rId280">
              <w:r>
                <w:rPr>
                  <w:rFonts w:ascii="Times New Roman" w:cs="Times New Roman" w:eastAsia="Times New Roman" w:hAnsi="Times New Roman"/>
                  <w:sz w:val="18"/>
                  <w:szCs w:val="18"/>
                  <w:color w:val="0000FF"/>
                  <w:w w:val="98"/>
                </w:rPr>
                <w:t>Roivant Sciences, Inc. and Eric Venker, dated as of July 28, 2025.</w:t>
              </w:r>
            </w:hyperlink>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10.35†*^</w:t>
            </w:r>
          </w:p>
        </w:tc>
        <w:tc>
          <w:tcPr>
            <w:tcW w:w="4940" w:type="dxa"/>
            <w:vAlign w:val="bottom"/>
            <w:gridSpan w:val="22"/>
          </w:tcPr>
          <w:p>
            <w:pPr>
              <w:spacing w:after="0" w:line="202"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Employment Agreement between Immunovant, Inc. and Eric</w:t>
              </w:r>
            </w:hyperlink>
          </w:p>
        </w:tc>
        <w:tc>
          <w:tcPr>
            <w:tcW w:w="8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70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11, 2025</w:t>
            </w: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8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Venker, dated as of July 28, 2025.</w:t>
              </w:r>
            </w:hyperlink>
          </w:p>
        </w:tc>
        <w:tc>
          <w:tcPr>
            <w:tcW w:w="56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02"/>
        </w:trPr>
        <w:tc>
          <w:tcPr>
            <w:tcW w:w="114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10.36*^</w:t>
            </w:r>
          </w:p>
        </w:tc>
        <w:tc>
          <w:tcPr>
            <w:tcW w:w="486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w w:val="98"/>
              </w:rPr>
            </w:pPr>
            <w:hyperlink r:id="rId282">
              <w:r>
                <w:rPr>
                  <w:rFonts w:ascii="Times New Roman" w:cs="Times New Roman" w:eastAsia="Times New Roman" w:hAnsi="Times New Roman"/>
                  <w:sz w:val="18"/>
                  <w:szCs w:val="18"/>
                  <w:color w:val="0000FF"/>
                  <w:w w:val="98"/>
                </w:rPr>
                <w:t>Form of Capped Value Appreciation Right Award Grant Notice and</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Borders>
              <w:bottom w:val="single" w:sz="8" w:color="CCEEFF"/>
            </w:tcBorders>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7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11, 2025</w:t>
            </w:r>
          </w:p>
        </w:tc>
      </w:tr>
      <w:tr>
        <w:trPr>
          <w:trHeight w:val="196"/>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94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Award Agreement under 2019 Equity Incentive Plan of</w:t>
              </w:r>
            </w:hyperlink>
          </w:p>
        </w:tc>
        <w:tc>
          <w:tcPr>
            <w:tcW w:w="8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0000FF"/>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8"/>
              </w:rPr>
            </w:pPr>
            <w:hyperlink r:id="rId282">
              <w:r>
                <w:rPr>
                  <w:rFonts w:ascii="Times New Roman" w:cs="Times New Roman" w:eastAsia="Times New Roman" w:hAnsi="Times New Roman"/>
                  <w:sz w:val="18"/>
                  <w:szCs w:val="18"/>
                  <w:color w:val="0000FF"/>
                  <w:w w:val="98"/>
                </w:rPr>
                <w:t>Immunovant, Inc.</w:t>
              </w:r>
            </w:hyperlink>
          </w:p>
        </w:tc>
        <w:tc>
          <w:tcPr>
            <w:tcW w:w="268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980" w:type="dxa"/>
            <w:vAlign w:val="bottom"/>
            <w:tcBorders>
              <w:top w:val="single" w:sz="8" w:color="CCEEFF"/>
              <w:bottom w:val="single" w:sz="8" w:color="CCEEFF"/>
            </w:tcBorders>
            <w:gridSpan w:val="11"/>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2"/>
        </w:trPr>
        <w:tc>
          <w:tcPr>
            <w:tcW w:w="11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10.37*^</w:t>
            </w:r>
          </w:p>
        </w:tc>
        <w:tc>
          <w:tcPr>
            <w:tcW w:w="4940" w:type="dxa"/>
            <w:vAlign w:val="bottom"/>
            <w:gridSpan w:val="22"/>
          </w:tcPr>
          <w:p>
            <w:pPr>
              <w:spacing w:after="0" w:line="202"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Forms of Option Grant Notices and Option Agreements under 2019</w:t>
              </w:r>
            </w:hyperlink>
          </w:p>
        </w:tc>
        <w:tc>
          <w:tcPr>
            <w:tcW w:w="8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70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11, 2025</w:t>
            </w: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6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Equity Incentive Plan of Immunovant, Inc.</w:t>
              </w:r>
            </w:hyperlink>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10.38*^</w:t>
            </w:r>
          </w:p>
        </w:tc>
        <w:tc>
          <w:tcPr>
            <w:tcW w:w="49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2019 Equity Incentive Plan of Immunovant, Inc.</w:t>
              </w:r>
            </w:hyperlink>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11, 2025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10.39†*^</w:t>
            </w:r>
          </w:p>
        </w:tc>
        <w:tc>
          <w:tcPr>
            <w:tcW w:w="4940" w:type="dxa"/>
            <w:vAlign w:val="bottom"/>
            <w:gridSpan w:val="22"/>
          </w:tcPr>
          <w:p>
            <w:pPr>
              <w:spacing w:after="0" w:line="202"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Special Equity Award Opportunity Letter, dated as of July 26,</w:t>
              </w:r>
            </w:hyperlink>
          </w:p>
        </w:tc>
        <w:tc>
          <w:tcPr>
            <w:tcW w:w="8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170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August 11, 2025</w:t>
            </w: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2024.</w:t>
              </w:r>
            </w:hyperlink>
          </w:p>
        </w:tc>
        <w:tc>
          <w:tcPr>
            <w:tcW w:w="7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10.40#†*</w:t>
            </w:r>
          </w:p>
        </w:tc>
        <w:tc>
          <w:tcPr>
            <w:tcW w:w="49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Settlement Agreement, dated as of March 3, 2026, by and among</w:t>
              </w:r>
            </w:hyperlink>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8-K/A</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March 23, 2026</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4640" w:type="dxa"/>
            <w:vAlign w:val="bottom"/>
            <w:tcBorders>
              <w:top w:val="single" w:sz="8" w:color="0000FF"/>
              <w:bottom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Genevant Sciences GmbH, Arbutus Biopharma Corp., Genevant</w:t>
              </w:r>
            </w:hyperlink>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94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Sciences Ltd., Moderna, Inc. and ModernaTX, Inc.</w:t>
              </w:r>
            </w:hyperlink>
          </w:p>
        </w:tc>
        <w:tc>
          <w:tcPr>
            <w:tcW w:w="8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50"/>
        </w:trPr>
        <w:tc>
          <w:tcPr>
            <w:tcW w:w="3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800" w:type="dxa"/>
            <w:vAlign w:val="bottom"/>
            <w:shd w:val="clear" w:color="auto" w:fill="CCEEFF"/>
          </w:tcPr>
          <w:p>
            <w:pPr>
              <w:spacing w:after="0"/>
              <w:rPr>
                <w:sz w:val="21"/>
                <w:szCs w:val="21"/>
                <w:color w:val="auto"/>
              </w:rPr>
            </w:pPr>
          </w:p>
        </w:tc>
        <w:tc>
          <w:tcPr>
            <w:tcW w:w="49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Insider Trading Policy</w:t>
              </w:r>
            </w:hyperlink>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May 29, 2025</w:t>
            </w:r>
          </w:p>
        </w:tc>
      </w:tr>
      <w:tr>
        <w:trPr>
          <w:trHeight w:val="162"/>
        </w:trPr>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50"/>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494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List of Subsidiaries of Roivant Sciences Ltd.</w:t>
            </w:r>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162"/>
        </w:trPr>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3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00" w:type="dxa"/>
            <w:vAlign w:val="bottom"/>
            <w:shd w:val="clear" w:color="auto" w:fill="CCEEFF"/>
          </w:tcPr>
          <w:p>
            <w:pPr>
              <w:spacing w:after="0"/>
              <w:rPr>
                <w:sz w:val="17"/>
                <w:szCs w:val="17"/>
                <w:color w:val="auto"/>
              </w:rPr>
            </w:pPr>
          </w:p>
        </w:tc>
        <w:tc>
          <w:tcPr>
            <w:tcW w:w="494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Consent of Ernst &amp; Young LLP, Independent Registered Public</w:t>
            </w:r>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Firm of Roivant Sciences Ltd.</w:t>
            </w: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50"/>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24.</w:t>
            </w:r>
            <w:r>
              <w:rPr>
                <w:rFonts w:ascii="Times New Roman" w:cs="Times New Roman" w:eastAsia="Times New Roman" w:hAnsi="Times New Roman"/>
                <w:sz w:val="18"/>
                <w:szCs w:val="18"/>
                <w:u w:val="single" w:color="auto"/>
                <w:color w:val="0000FF"/>
              </w:rPr>
              <w:t>1</w:t>
            </w:r>
          </w:p>
        </w:tc>
        <w:tc>
          <w:tcPr>
            <w:tcW w:w="494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162"/>
        </w:trPr>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94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w:t>
            </w:r>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14(a) and 15d-14(a) under the Securities Exchange Act of 1934, as</w:t>
            </w:r>
          </w:p>
        </w:tc>
        <w:tc>
          <w:tcPr>
            <w:tcW w:w="8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9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w:t>
            </w: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94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w:t>
            </w:r>
          </w:p>
        </w:tc>
        <w:tc>
          <w:tcPr>
            <w:tcW w:w="8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14(a) and 15d-14(a) under the Securities Exchange Act of 1934, as</w:t>
            </w:r>
          </w:p>
        </w:tc>
        <w:tc>
          <w:tcPr>
            <w:tcW w:w="8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9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w:t>
            </w: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4"/>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c>
          <w:tcPr>
            <w:tcW w:w="8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8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3"/>
        </w:trPr>
        <w:tc>
          <w:tcPr>
            <w:tcW w:w="11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49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w:t>
            </w:r>
          </w:p>
        </w:tc>
        <w:tc>
          <w:tcPr>
            <w:tcW w:w="84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46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c>
          <w:tcPr>
            <w:tcW w:w="8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8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50"/>
        </w:trPr>
        <w:tc>
          <w:tcPr>
            <w:tcW w:w="3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97*</w:t>
            </w:r>
          </w:p>
        </w:tc>
        <w:tc>
          <w:tcPr>
            <w:tcW w:w="800" w:type="dxa"/>
            <w:vAlign w:val="bottom"/>
            <w:shd w:val="clear" w:color="auto" w:fill="CCEEFF"/>
          </w:tcPr>
          <w:p>
            <w:pPr>
              <w:spacing w:after="0"/>
              <w:rPr>
                <w:sz w:val="21"/>
                <w:szCs w:val="21"/>
                <w:color w:val="auto"/>
              </w:rPr>
            </w:pPr>
          </w:p>
        </w:tc>
        <w:tc>
          <w:tcPr>
            <w:tcW w:w="4920" w:type="dxa"/>
            <w:vAlign w:val="bottom"/>
            <w:gridSpan w:val="2"/>
            <w:shd w:val="clear" w:color="auto" w:fill="CCEEFF"/>
          </w:tcPr>
          <w:p>
            <w:pPr>
              <w:spacing w:after="0" w:line="202"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Roivant Sciences Ltd. Compensation Recoupment Policy</w:t>
              </w:r>
            </w:hyperlink>
          </w:p>
        </w:tc>
        <w:tc>
          <w:tcPr>
            <w:tcW w:w="84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10-K</w:t>
            </w:r>
          </w:p>
        </w:tc>
        <w:tc>
          <w:tcPr>
            <w:tcW w:w="15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001-40782</w:t>
            </w:r>
          </w:p>
        </w:tc>
        <w:tc>
          <w:tcPr>
            <w:tcW w:w="10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97</w:t>
            </w:r>
          </w:p>
        </w:tc>
        <w:tc>
          <w:tcPr>
            <w:tcW w:w="1800" w:type="dxa"/>
            <w:vAlign w:val="bottom"/>
            <w:shd w:val="clear" w:color="auto" w:fill="CCEEFF"/>
          </w:tcPr>
          <w:p>
            <w:pPr>
              <w:ind w:left="460"/>
              <w:spacing w:after="0" w:line="202" w:lineRule="exact"/>
              <w:rPr>
                <w:sz w:val="20"/>
                <w:szCs w:val="20"/>
                <w:color w:val="auto"/>
              </w:rPr>
            </w:pPr>
            <w:r>
              <w:rPr>
                <w:rFonts w:ascii="Times New Roman" w:cs="Times New Roman" w:eastAsia="Times New Roman" w:hAnsi="Times New Roman"/>
                <w:sz w:val="18"/>
                <w:szCs w:val="18"/>
                <w:color w:val="auto"/>
              </w:rPr>
              <w:t>May 30, 2024</w:t>
            </w:r>
          </w:p>
        </w:tc>
      </w:tr>
      <w:tr>
        <w:trPr>
          <w:trHeight w:val="162"/>
        </w:trPr>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12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800" w:type="dxa"/>
            <w:vAlign w:val="bottom"/>
            <w:tcBorders>
              <w:top w:val="single" w:sz="8" w:color="CCEEFF"/>
            </w:tcBorders>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25"/>
        </w:trPr>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25"/>
        </w:trPr>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25"/>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8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500" w:hanging="492"/>
        <w:spacing w:after="0" w:line="261" w:lineRule="auto"/>
        <w:tabs>
          <w:tab w:leader="none" w:pos="4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both (i) not material and (ii) would likely cause competitive harm to Roivant Sciences Ltd. if publicly disclosed.</w:t>
      </w:r>
    </w:p>
    <w:p>
      <w:pPr>
        <w:ind w:left="500" w:right="20" w:hanging="492"/>
        <w:spacing w:after="0" w:line="250" w:lineRule="auto"/>
        <w:tabs>
          <w:tab w:leader="none" w:pos="52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 w:lineRule="exact"/>
        <w:rPr>
          <w:sz w:val="20"/>
          <w:szCs w:val="20"/>
          <w:color w:val="auto"/>
        </w:rPr>
      </w:pPr>
    </w:p>
    <w:p>
      <w:pPr>
        <w:ind w:left="480" w:hanging="472"/>
        <w:spacing w:after="0"/>
        <w:tabs>
          <w:tab w:leader="none" w:pos="4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jc w:val="both"/>
        <w:ind w:left="500" w:hanging="492"/>
        <w:spacing w:after="0" w:line="250" w:lineRule="auto"/>
        <w:tabs>
          <w:tab w:leader="none" w:pos="4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 of Section 18 of the</w:t>
      </w:r>
    </w:p>
    <w:p>
      <w:pPr>
        <w:spacing w:after="0" w:line="1"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8"/>
          <w:szCs w:val="18"/>
          <w:color w:val="auto"/>
        </w:rPr>
        <w:t>Exchange Act. Such certifications will not be deemed to be incorporated by reference into any filing under the Securities Act or the Exchange Act, except to the extent that the registrant specifically incorporates it by reference.</w:t>
      </w:r>
    </w:p>
    <w:p>
      <w:pPr>
        <w:spacing w:after="0" w:line="1" w:lineRule="exact"/>
        <w:rPr>
          <w:sz w:val="20"/>
          <w:szCs w:val="20"/>
          <w:color w:val="auto"/>
        </w:rPr>
      </w:pPr>
    </w:p>
    <w:p>
      <w:pPr>
        <w:ind w:left="480" w:hanging="472"/>
        <w:spacing w:after="0"/>
        <w:tabs>
          <w:tab w:leader="none" w:pos="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 pursuant to Item 15(b).</w:t>
      </w:r>
    </w:p>
    <w:p>
      <w:pPr>
        <w:spacing w:after="0" w:line="20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79" w:lineRule="exact"/>
        <w:rPr>
          <w:sz w:val="20"/>
          <w:szCs w:val="20"/>
          <w:color w:val="auto"/>
        </w:rPr>
      </w:pPr>
    </w:p>
    <w:p>
      <w:pPr>
        <w:ind w:left="3920"/>
        <w:spacing w:after="0"/>
        <w:tabs>
          <w:tab w:leader="none" w:pos="5840" w:val="left"/>
        </w:tabs>
        <w:rPr>
          <w:sz w:val="20"/>
          <w:szCs w:val="20"/>
          <w:color w:val="auto"/>
        </w:rPr>
      </w:pPr>
      <w:r>
        <w:rPr>
          <w:rFonts w:ascii="Times New Roman" w:cs="Times New Roman" w:eastAsia="Times New Roman" w:hAnsi="Times New Roman"/>
          <w:sz w:val="18"/>
          <w:szCs w:val="18"/>
          <w:color w:val="auto"/>
        </w:rPr>
        <w:t>Date: May 20, 2026 By:</w:t>
      </w:r>
      <w:r>
        <w:rPr>
          <w:sz w:val="20"/>
          <w:szCs w:val="20"/>
          <w:color w:val="auto"/>
        </w:rPr>
        <w:tab/>
      </w:r>
      <w:r>
        <w:rPr>
          <w:rFonts w:ascii="Times New Roman" w:cs="Times New Roman" w:eastAsia="Times New Roman" w:hAnsi="Times New Roman"/>
          <w:sz w:val="17"/>
          <w:szCs w:val="17"/>
          <w:color w:val="auto"/>
        </w:rPr>
        <w:t>/s/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34290</wp:posOffset>
            </wp:positionV>
            <wp:extent cx="341185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Richard Pulik, Jo Chen and Keyur Parekh, as their true and lawful attorney-in-fact and agent, with full power of substitution and resubstitution, for such person and in his or her name, place and stead, in any and all capacities, to sign any and all amendments to the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could do in person, hereby ratifying and confirming all that said attorney-in-fact and agent, or his substitutes, may lawfully do or cause to be done by virtue hereof.</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6" w:right="339" w:bottom="1440" w:gutter="0" w:footer="0" w:header="0"/>
        </w:sectPr>
      </w:pPr>
    </w:p>
    <w:p>
      <w:pPr>
        <w:spacing w:after="0" w:line="212"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Gline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Pulik</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Jennifer Humes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Jennifer Humes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Mayukh Sukhatme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Mayukh Sukhatme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Keith Manchester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Keith Manchester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Ilan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Ilan Oren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Gold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Melissa Epperly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Meghan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Meghan FitzGerald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C. Momtazee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9743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C. Momtazee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3"/>
              </w:rPr>
              <w:t>Title</w:t>
            </w:r>
          </w:p>
        </w:tc>
        <w:tc>
          <w:tcPr>
            <w:tcW w:w="19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1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34"/>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4"/>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95"/>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4"/>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95"/>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4"/>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95"/>
        </w:trPr>
        <w:tc>
          <w:tcPr>
            <w:tcW w:w="37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President and Chief Investment Officer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4"/>
        </w:trPr>
        <w:tc>
          <w:tcPr>
            <w:tcW w:w="37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and Director</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13"/>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729"/>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729"/>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729"/>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729"/>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729"/>
        </w:trPr>
        <w:tc>
          <w:tcPr>
            <w:tcW w:w="3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May 20, 2026</w:t>
            </w:r>
          </w:p>
        </w:tc>
      </w:tr>
    </w:tbl>
    <w:p>
      <w:pPr>
        <w:spacing w:after="0" w:line="469" w:lineRule="exact"/>
        <w:rPr>
          <w:sz w:val="20"/>
          <w:szCs w:val="20"/>
          <w:color w:val="auto"/>
        </w:rPr>
      </w:pPr>
    </w:p>
    <w:p>
      <w:pPr>
        <w:sectPr>
          <w:pgSz w:w="11900" w:h="16838" w:orient="portrait"/>
          <w:cols w:equalWidth="0" w:num="2">
            <w:col w:w="4040" w:space="720"/>
            <w:col w:w="6480"/>
          </w:cols>
          <w:pgMar w:left="320" w:top="116" w:right="339"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209</w:t>
      </w:r>
    </w:p>
    <w:p>
      <w:pPr>
        <w:sectPr>
          <w:pgSz w:w="11900" w:h="16838" w:orient="portrait"/>
          <w:cols w:equalWidth="0" w:num="1">
            <w:col w:w="11240"/>
          </w:cols>
          <w:pgMar w:left="320" w:top="116" w:right="339" w:bottom="1440" w:gutter="0" w:footer="0" w:header="0"/>
          <w:type w:val="continuous"/>
        </w:sectPr>
      </w:pPr>
    </w:p>
    <w:bookmarkStart w:id="214" w:name="page215"/>
    <w:bookmarkEnd w:id="2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Roivant Sciences Ltd. (the “Company,” “Roivant” or “we”) has one class of securities registered under Section 12 of the Securities Exchange Act of 1934, as amended (the “Exchange Act”): common shares.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common shares is a summary and does not purport to be complete. It is subject to and qualified in its entirety by reference to our memorandum of association and our amended and restated bye-laws, each of which are incorporated by reference as an exhibit to the Annual Report on Form 10-K of which this Exhibit 4.5 is a part. We encourage you to read our memorandum of association and our amended and restated bye-laws.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Terms not otherwise defined herein shall have the meaning assigned to them in the Annual Report on Form 10-K of which this Exhibit 4.5 is a part.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5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our authorized share capital consists of 7,000,000,000 common shares, of which 720,352,386 common shares were issued and outstanding. All of the currently issued and outstanding common shares are fully paid. Pursuant to our amended and restated bye-laws, subject to the requirements of the Nasdaq, and to any resolution of the shareholders to the contrary, our board of directors is authorized to issue any of our authorized but unissued shares. There are no limitations on the right of non-Bermudians or non-residents of Bermuda to hold or vote our shares provided common shares remain listed on an appointed stock exchange, which includes Nasdaq.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Holders of common shares have no pre-emptive, redemption, conversion or sinking fund rights. Holders of common shares are entitled to one vote per share on all matters submitted to a vote of holders of common shares. Unless a different majority is required by law or by our amended and restated bye-laws, resolutions to be approved by holders of common shares require approval by a simple majority of votes cast at a meeting at which a quorum is present.</w:t>
      </w:r>
    </w:p>
    <w:p>
      <w:pPr>
        <w:spacing w:after="0" w:line="20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shares are entitled to share equally and ratably in our assets, if any, remaining after the payment of all of our debts and liabilities, subject to any liquidation preference on any issued and outstanding preference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5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each common share is entitled to dividends if, as and when dividends are declared by our board of directors, subject to any preferred dividend right of the holders of any preference shares. We do not anticipate paying cash dividends in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2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at any time we have more than one class of shares, the rights attaching to any class, unless otherwise provided for by the terms of issue of the relevant class, may be varied either: (1) with the consent in writing of the holders of 66 2/3% of the issued shares of that class; or (2) with the sanction of a resolution passed by a majority of the votes cast at a general meeting of the relevant class of shareholders at which a quorum consisting of at least one person</w:t>
      </w:r>
    </w:p>
    <w:p>
      <w:pPr>
        <w:sectPr>
          <w:pgSz w:w="11900" w:h="16838" w:orient="portrait"/>
          <w:cols w:equalWidth="0" w:num="1">
            <w:col w:w="11180"/>
          </w:cols>
          <w:pgMar w:left="320" w:top="1413" w:right="399" w:bottom="1440" w:gutter="0" w:footer="0" w:header="0"/>
        </w:sectPr>
      </w:pPr>
    </w:p>
    <w:bookmarkStart w:id="215" w:name="page216"/>
    <w:bookmarkEnd w:id="215"/>
    <w:p>
      <w:pPr>
        <w:ind w:right="60"/>
        <w:spacing w:after="0" w:line="258" w:lineRule="auto"/>
        <w:rPr>
          <w:sz w:val="20"/>
          <w:szCs w:val="20"/>
          <w:color w:val="auto"/>
        </w:rPr>
      </w:pPr>
      <w:r>
        <w:rPr>
          <w:rFonts w:ascii="Times New Roman" w:cs="Times New Roman" w:eastAsia="Times New Roman" w:hAnsi="Times New Roman"/>
          <w:sz w:val="18"/>
          <w:szCs w:val="18"/>
          <w:color w:val="auto"/>
        </w:rPr>
        <w:t>holding or representing a majority of the issued shares of the relevant class is present. Our amended and restated bye-laws specify that the creation or issue of shares ranking equally with existing shares will not, unless expressly provided by the terms of issue of existing shares, vary the rights attached to existing shares. In addition, the creation or issue of preference shares ranking prior to common shares will not be deemed to vary the rights attached to common shares or, subject to the terms of any other class or series of preference shares, to vary the rights attached to any other class or series of preference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5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or unless all applicable consents, authorizations and permissions of any governmental agency or body in Bermuda have been obtained. Subject to these restrictions, a holder of common shares may transfer the title to all or any of his or her common shares by completing an instrument of transfer in writing in such form as our board of directors may accept. The instrument of transfer must be signed by the transferor and transferee, although in the case of a fully paid share our board of directors may accept the instrument signed only by the transferor.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Shareholders</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Bermuda law, a company is required to convene at least one general meeting of shareholders each calendar year, which we refer to as the annual general meeting. While Bermuda law permits the shareholders to waive the requirement to hold an annual general meeting by resolution (either for a specific year or a period of time or indefinitely), our amended and restated bye-laws provide that, notwithstanding, an annual general meeting shall be held in each year.</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does not invalidate the proceedings at a meeting. Our amended and restated bye-laws provide that our principal executive officer or the chairperson of our board of directors or any two directors or any director and the secretary or our board of directors may convene an annual general meeting and our principal executive officer or the chairperson of our board of directors or our board of directors may convene a special general meeting. Under our amended and restated bye-laws, at least 14 days’ notice of an annual general meeting or 10 days’ notice of a special general meeting must be given to each shareholder entitled to vote at such meeting. This notice requirement is subject to the ability to hold such meetings on shorter notice if such notice is agreed: (1) in the case of an annual general meeting by all of the shareholders entitled to attend and vote at such meeting; or (2)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in person at the start of the meeting and representing in person or by proxy in excess of 50% of all issued and outstanding common shares.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bye-laws provide that our board of directors shall consist of not less than five (5) Directors and not more than such maximum number of Directors as the board of directors may from time to time determine, being initially fifteen (15) Directors. Our board of directors currently consists of eight directors. Our board of directors is divided into three classes that are required to be, as nearly as possible, of equal size. Each class of directors is elected for a three-year term of office, but the terms will be staggered so that the term of only one class of directors expires at each annual general meeting. As of March 31, 2026, the terms of the Class I, Class II and Class III directors will expire in 2028, 2026 and 2027, respectively. At each succeeding annual general meeting,</w:t>
      </w:r>
    </w:p>
    <w:p>
      <w:pPr>
        <w:sectPr>
          <w:pgSz w:w="11900" w:h="16838" w:orient="portrait"/>
          <w:cols w:equalWidth="0" w:num="1">
            <w:col w:w="11240"/>
          </w:cols>
          <w:pgMar w:left="320" w:top="1417"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successors to the class of directors whose term expires at the annual general meeting will be elected for a three-year term.</w:t>
      </w:r>
    </w:p>
    <w:p>
      <w:pPr>
        <w:spacing w:after="0" w:line="25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21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director may be removed, only with cause, by the shareholders by the affirmative vote of at least 66</w:t>
      </w:r>
      <w:r>
        <w:rPr>
          <w:rFonts w:ascii="Times New Roman" w:cs="Times New Roman" w:eastAsia="Times New Roman" w:hAnsi="Times New Roman"/>
          <w:sz w:val="14"/>
          <w:szCs w:val="14"/>
          <w:color w:val="auto"/>
        </w:rPr>
        <w:t>2/3</w:t>
      </w:r>
      <w:r>
        <w:rPr>
          <w:rFonts w:ascii="Times New Roman" w:cs="Times New Roman" w:eastAsia="Times New Roman" w:hAnsi="Times New Roman"/>
          <w:sz w:val="18"/>
          <w:szCs w:val="18"/>
          <w:color w:val="auto"/>
        </w:rPr>
        <w:t>% of the issued and outstanding voting shares entitled to vote for the election of directors,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or her removal.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of Board of Directors</w:t>
      </w:r>
    </w:p>
    <w:p>
      <w:pPr>
        <w:spacing w:after="0" w:line="256"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bye-laws provide that our business is to be managed and conducted by our board of directors. Bermuda law permits individual and corporate directors and there is no requirement in our bye-laws or Bermuda law that directors hold any of our shares. There is also no requirement in our amended and restated bye-laws or Bermuda law that our directors must retire at a certain age.</w:t>
      </w:r>
    </w:p>
    <w:p>
      <w:pPr>
        <w:spacing w:after="0" w:line="20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compensation of our directors will be determined by the board of directors, and there is no requirement that a specified number or percentage of “independent” directors must approve any such determination. Our directors may also be paid all travel, hotel and other reasonable out-of-pocket expenses properly incurred by them in connection with our business or their duties as directors.</w:t>
      </w:r>
    </w:p>
    <w:p>
      <w:pPr>
        <w:spacing w:after="0" w:line="20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 director who discloses a direct or indirect interest in any contract or arrangement with us as required by Bermuda law may be entitled to be counted in the quorum for such meeting and to vote in respect of any such contract or arrangement in which he or she is interested unless the chairman of the relevant meeting of the board of directors determines that such director is disqualified from voting.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2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21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w:t>
      </w:r>
    </w:p>
    <w:p>
      <w:pPr>
        <w:sectPr>
          <w:pgSz w:w="11900" w:h="16838" w:orient="portrait"/>
          <w:cols w:equalWidth="0" w:num="1">
            <w:col w:w="11240"/>
          </w:cols>
          <w:pgMar w:left="320" w:top="1417" w:right="339" w:bottom="1440" w:gutter="0" w:footer="0" w:header="0"/>
        </w:sectPr>
      </w:pPr>
    </w:p>
    <w:bookmarkStart w:id="217" w:name="page218"/>
    <w:bookmarkEnd w:id="217"/>
    <w:p>
      <w:pPr>
        <w:ind w:right="40"/>
        <w:spacing w:after="0" w:line="256" w:lineRule="auto"/>
        <w:rPr>
          <w:sz w:val="20"/>
          <w:szCs w:val="20"/>
          <w:color w:val="auto"/>
        </w:rPr>
      </w:pPr>
      <w:r>
        <w:rPr>
          <w:rFonts w:ascii="Times New Roman" w:cs="Times New Roman" w:eastAsia="Times New Roman" w:hAnsi="Times New Roman"/>
          <w:sz w:val="18"/>
          <w:szCs w:val="18"/>
          <w:color w:val="auto"/>
        </w:rPr>
        <w:t>allegation of fraud or dishonesty is proved.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Memorandum of Association and Bye-laws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Bermuda law provides that the memorandum of association of a company may be amended by a resolution passed at a general meeting of shareholders. Our amended and restated bye-laws provide that no bye-law shall be rescinded, altered or amended, and no new bye-law shall be made, unless it shall have been approved by a resolution of our board of directors and by a resolution of our shareholders holding at least 66</w:t>
      </w:r>
      <w:r>
        <w:rPr>
          <w:rFonts w:ascii="Times New Roman" w:cs="Times New Roman" w:eastAsia="Times New Roman" w:hAnsi="Times New Roman"/>
          <w:sz w:val="14"/>
          <w:szCs w:val="14"/>
          <w:color w:val="auto"/>
        </w:rPr>
        <w:t>2/3</w:t>
      </w:r>
      <w:r>
        <w:rPr>
          <w:rFonts w:ascii="Times New Roman" w:cs="Times New Roman" w:eastAsia="Times New Roman" w:hAnsi="Times New Roman"/>
          <w:sz w:val="18"/>
          <w:szCs w:val="18"/>
          <w:color w:val="auto"/>
        </w:rPr>
        <w:t>% of all votes cast on the resolution. The memorandum or association shall not be rescinded, altered or amended without a resolution of our board of directors and a resolution of our shareholders holding at least 66</w:t>
      </w:r>
      <w:r>
        <w:rPr>
          <w:rFonts w:ascii="Times New Roman" w:cs="Times New Roman" w:eastAsia="Times New Roman" w:hAnsi="Times New Roman"/>
          <w:sz w:val="14"/>
          <w:szCs w:val="14"/>
          <w:color w:val="auto"/>
        </w:rPr>
        <w:t>2/3</w:t>
      </w:r>
      <w:r>
        <w:rPr>
          <w:rFonts w:ascii="Times New Roman" w:cs="Times New Roman" w:eastAsia="Times New Roman" w:hAnsi="Times New Roman"/>
          <w:sz w:val="18"/>
          <w:szCs w:val="18"/>
          <w:color w:val="auto"/>
        </w:rPr>
        <w:t>% of all votes cast on the resolution.</w:t>
      </w:r>
    </w:p>
    <w:p>
      <w:pPr>
        <w:spacing w:after="0" w:line="21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Amalgamations and Mergers</w:t>
      </w:r>
    </w:p>
    <w:p>
      <w:pPr>
        <w:spacing w:after="0" w:line="256"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 Our amended and restated bye-laws provide that the approval of a 66</w:t>
      </w:r>
      <w:r>
        <w:rPr>
          <w:rFonts w:ascii="Times New Roman" w:cs="Times New Roman" w:eastAsia="Times New Roman" w:hAnsi="Times New Roman"/>
          <w:sz w:val="13"/>
          <w:szCs w:val="13"/>
          <w:color w:val="auto"/>
        </w:rPr>
        <w:t>2/3</w:t>
      </w:r>
      <w:r>
        <w:rPr>
          <w:rFonts w:ascii="Times New Roman" w:cs="Times New Roman" w:eastAsia="Times New Roman" w:hAnsi="Times New Roman"/>
          <w:sz w:val="17"/>
          <w:szCs w:val="17"/>
          <w:color w:val="auto"/>
        </w:rPr>
        <w:t>% of shareholders voting at a meeting to approve the amalgamation or merger agreement shall be sufficient (other than in respect of an amalgamation or merger constituting a “business combination”), and the quorum for such meeting shall be two or more persons present in person and representing in person or by proxy in excess of 50% of the total voting rights of all issued and outstanding shares of the company.</w:t>
      </w:r>
    </w:p>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the Companies Act does not contain specific provisions regarding “business combinations” between companies organized under the laws of Bermuda and “interested shareholders,” we have included these provisions in our bye-laws. Specifically, our bye-laws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ectPr>
          <w:pgSz w:w="11900" w:h="16838" w:orient="portrait"/>
          <w:cols w:equalWidth="0" w:num="1">
            <w:col w:w="11240"/>
          </w:cols>
          <w:pgMar w:left="320" w:top="1417" w:right="339" w:bottom="1440" w:gutter="0" w:footer="0" w:header="0"/>
        </w:sectPr>
      </w:pPr>
    </w:p>
    <w:bookmarkStart w:id="218" w:name="page219"/>
    <w:bookmarkEnd w:id="218"/>
    <w:p>
      <w:pPr>
        <w:spacing w:after="0" w:line="261" w:lineRule="exact"/>
        <w:rPr>
          <w:sz w:val="20"/>
          <w:szCs w:val="20"/>
          <w:color w:val="auto"/>
        </w:rPr>
      </w:pPr>
    </w:p>
    <w:p>
      <w:pPr>
        <w:ind w:left="1320" w:right="240" w:hanging="430"/>
        <w:spacing w:after="0" w:line="237" w:lineRule="auto"/>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1320" w:right="340" w:hanging="430"/>
        <w:spacing w:after="0" w:line="237" w:lineRule="auto"/>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issued and voting shares outstanding at the time the transaction commenced; or</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ind w:left="1320" w:right="20" w:hanging="430"/>
        <w:spacing w:after="0" w:line="266" w:lineRule="auto"/>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transaction that resulted in the shareholder becoming an interested shareholder, the business combination is approved by our board of directors and authorized at an annual or special meeting of shareholders by the affirmative vote of at least 66</w:t>
      </w:r>
      <w:r>
        <w:rPr>
          <w:rFonts w:ascii="Times New Roman" w:cs="Times New Roman" w:eastAsia="Times New Roman" w:hAnsi="Times New Roman"/>
          <w:sz w:val="14"/>
          <w:szCs w:val="14"/>
          <w:color w:val="auto"/>
        </w:rPr>
        <w:t>2/3</w:t>
      </w:r>
      <w:r>
        <w:rPr>
          <w:rFonts w:ascii="Times New Roman" w:cs="Times New Roman" w:eastAsia="Times New Roman" w:hAnsi="Times New Roman"/>
          <w:sz w:val="18"/>
          <w:szCs w:val="18"/>
          <w:color w:val="auto"/>
        </w:rPr>
        <w:t>% of our issued and outstanding voting shares that are not owned by the interested shareholder.</w:t>
      </w:r>
    </w:p>
    <w:p>
      <w:pPr>
        <w:spacing w:after="0" w:line="25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Suits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21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20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We have been advised by the SEC that in the opinion of the SEC, the operation of this provision as a waiver of the right to sue for violations of federal securities laws would likely be unenforceable in U.S. courts.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Profits and Reserves</w:t>
      </w:r>
    </w:p>
    <w:p>
      <w:pPr>
        <w:sectPr>
          <w:pgSz w:w="11900" w:h="16838" w:orient="portrait"/>
          <w:cols w:equalWidth="0" w:num="1">
            <w:col w:w="11220"/>
          </w:cols>
          <w:pgMar w:left="320" w:top="1440" w:right="359" w:bottom="1440" w:gutter="0" w:footer="0" w:header="0"/>
        </w:sectPr>
      </w:pPr>
    </w:p>
    <w:bookmarkStart w:id="219" w:name="page220"/>
    <w:bookmarkEnd w:id="219"/>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(2)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Untraced Shareholders</w:t>
      </w:r>
    </w:p>
    <w:p>
      <w:pPr>
        <w:spacing w:after="0" w:line="25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Bermuda Law</w:t>
      </w:r>
    </w:p>
    <w:p>
      <w:pPr>
        <w:spacing w:after="0" w:line="25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been designated by the Bermuda Monetary Authority as a non-resident for Bermuda exchange control purposes. This designation allows us to engage in transactions in currencies other than the Bermuda dollar, and there are no restrictions on our ability to transfer funds (other than funds denominated in Bermuda dollars) in and out of Bermuda or to pay dividends to U.S. residents who are holders of common shares.</w:t>
      </w:r>
    </w:p>
    <w:p>
      <w:pPr>
        <w:spacing w:after="0" w:line="20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Bermuda Monetary Authority has given its consent for the issue and free transferability of all of the common shares of the Company to and between residents and non-residents of Bermuda for exchange control purposes, provided our shares remain listed on an appointed stock exchange, which includes Nasdaq. Approvals or permissions given by the Bermuda Monetary Authority do not constitute a guarantee by the Bermuda Monetary Authority as to our performance or our creditworthiness. Accordingly, in giving such consent or permissions, neither the Bermuda Monetary Authority nor the Registrar of Companies in Bermuda shall be liable for the financial soundness, performance or default of our business or for the correctness of any opinions or statements expressed in this Annual Report on Form 10-K.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2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permission of the Bermuda Monetary Authority is required, pursuant to the provisions of the Exchange Control Act 1972 and related regulations, for all issuances and transfers of shares (which includes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or to a non-resident of Bermuda for exchange control purposes for so long as any “Equity Securities” of the company (which would include common shares) are listed on an “Appointed Stock Exchange” (which would include Nasdaq). Certain issues and transfers of common shares involving persons deemed</w:t>
      </w:r>
    </w:p>
    <w:p>
      <w:pPr>
        <w:sectPr>
          <w:pgSz w:w="11900" w:h="16838" w:orient="portrait"/>
          <w:cols w:equalWidth="0" w:num="1">
            <w:col w:w="11240"/>
          </w:cols>
          <w:pgMar w:left="320" w:top="1417" w:right="339" w:bottom="1440" w:gutter="0" w:footer="0" w:header="0"/>
        </w:sectPr>
      </w:pPr>
    </w:p>
    <w:bookmarkStart w:id="220" w:name="page221"/>
    <w:bookmarkEnd w:id="220"/>
    <w:p>
      <w:pPr>
        <w:spacing w:after="0" w:line="261" w:lineRule="auto"/>
        <w:rPr>
          <w:sz w:val="20"/>
          <w:szCs w:val="20"/>
          <w:color w:val="auto"/>
        </w:rPr>
      </w:pPr>
      <w:r>
        <w:rPr>
          <w:rFonts w:ascii="Times New Roman" w:cs="Times New Roman" w:eastAsia="Times New Roman" w:hAnsi="Times New Roman"/>
          <w:sz w:val="18"/>
          <w:szCs w:val="18"/>
          <w:color w:val="auto"/>
        </w:rPr>
        <w:t>resident in Bermuda for exchange control purposes require the specific consent of the Bermuda Monetary Authority. We have sought and have obtained a specific permission from the Bermuda Monetary Authority for the issue and transfer of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w:t>
      </w:r>
    </w:p>
    <w:p>
      <w:pPr>
        <w:sectPr>
          <w:pgSz w:w="11900" w:h="16838" w:orient="portrait"/>
          <w:cols w:equalWidth="0" w:num="1">
            <w:col w:w="11200"/>
          </w:cols>
          <w:pgMar w:left="320" w:top="1417" w:right="379" w:bottom="1440" w:gutter="0" w:footer="0" w:header="0"/>
        </w:sectPr>
      </w:pPr>
    </w:p>
    <w:bookmarkStart w:id="221" w:name="page222"/>
    <w:bookmarkEnd w:id="221"/>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558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22"/>
                <w:szCs w:val="22"/>
                <w:b w:val="1"/>
                <w:bCs w:val="1"/>
                <w:color w:val="FFFFFF"/>
              </w:rPr>
              <w:t>Company</w:t>
            </w:r>
          </w:p>
        </w:tc>
        <w:tc>
          <w:tcPr>
            <w:tcW w:w="5680" w:type="dxa"/>
            <w:vAlign w:val="bottom"/>
            <w:tcBorders>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22"/>
                <w:szCs w:val="22"/>
                <w:b w:val="1"/>
                <w:bCs w:val="1"/>
                <w:color w:val="FFFFFF"/>
              </w:rPr>
              <w:t>Jurisdiction of Incorporation or Formation</w:t>
            </w:r>
          </w:p>
        </w:tc>
      </w:tr>
      <w:tr>
        <w:trPr>
          <w:trHeight w:val="191"/>
        </w:trPr>
        <w:tc>
          <w:tcPr>
            <w:tcW w:w="5580" w:type="dxa"/>
            <w:vAlign w:val="bottom"/>
            <w:tcBorders>
              <w:left w:val="single" w:sz="8" w:color="auto"/>
              <w:right w:val="single" w:sz="8" w:color="auto"/>
            </w:tcBorders>
            <w:shd w:val="clear" w:color="auto" w:fill="000000"/>
          </w:tcPr>
          <w:p>
            <w:pPr>
              <w:spacing w:after="0"/>
              <w:rPr>
                <w:sz w:val="16"/>
                <w:szCs w:val="16"/>
                <w:color w:val="auto"/>
              </w:rPr>
            </w:pPr>
          </w:p>
        </w:tc>
        <w:tc>
          <w:tcPr>
            <w:tcW w:w="5680" w:type="dxa"/>
            <w:vAlign w:val="bottom"/>
            <w:tcBorders>
              <w:right w:val="single" w:sz="8" w:color="auto"/>
            </w:tcBorders>
            <w:shd w:val="clear" w:color="auto" w:fill="000000"/>
          </w:tcPr>
          <w:p>
            <w:pPr>
              <w:spacing w:after="0"/>
              <w:rPr>
                <w:sz w:val="16"/>
                <w:szCs w:val="16"/>
                <w:color w:val="auto"/>
              </w:rPr>
            </w:pPr>
          </w:p>
        </w:tc>
      </w:tr>
      <w:tr>
        <w:trPr>
          <w:trHeight w:val="309"/>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Covant Therapeutics Operating,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2"/>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Genevant Sciences Corporation</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Canada</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Genevant Sciences GmbH</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Genevant Sciences Ltd.</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Bermuda</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Genevant Sciences,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Immunovant Sciences GmbH</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Immunovant Sciences Ltd.</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Bermuda</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Immunovant,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IMVT Corporation</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Priovant Holdings,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2"/>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Priovant Therapeutics,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Pulmovant Sciences,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Pulmovant,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2"/>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Roivant Sciences GmbH</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2"/>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Roivant Sciences,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Roivant Treasury Holdings,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Roivant Treasury,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2"/>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Zest Dermatology Holdings,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r>
        <w:trPr>
          <w:trHeight w:val="303"/>
        </w:trPr>
        <w:tc>
          <w:tcPr>
            <w:tcW w:w="5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Zest Dermatology, Inc.</w:t>
            </w:r>
          </w:p>
        </w:tc>
        <w:tc>
          <w:tcPr>
            <w:tcW w:w="5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United States – Delaware</w:t>
            </w:r>
          </w:p>
        </w:tc>
      </w:tr>
      <w:tr>
        <w:trPr>
          <w:trHeight w:val="177"/>
        </w:trPr>
        <w:tc>
          <w:tcPr>
            <w:tcW w:w="5580" w:type="dxa"/>
            <w:vAlign w:val="bottom"/>
            <w:tcBorders>
              <w:left w:val="single" w:sz="8" w:color="auto"/>
              <w:bottom w:val="single" w:sz="8" w:color="auto"/>
              <w:right w:val="single" w:sz="8" w:color="auto"/>
            </w:tcBorders>
          </w:tcPr>
          <w:p>
            <w:pPr>
              <w:spacing w:after="0"/>
              <w:rPr>
                <w:sz w:val="15"/>
                <w:szCs w:val="15"/>
                <w:color w:val="auto"/>
              </w:rPr>
            </w:pPr>
          </w:p>
        </w:tc>
        <w:tc>
          <w:tcPr>
            <w:tcW w:w="56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1260"/>
          </w:cols>
          <w:pgMar w:left="320" w:top="1440" w:right="31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44" w:lineRule="exact"/>
        <w:rPr>
          <w:sz w:val="20"/>
          <w:szCs w:val="20"/>
          <w:color w:val="auto"/>
        </w:rPr>
      </w:pPr>
    </w:p>
    <w:p>
      <w:pPr>
        <w:ind w:left="460" w:hanging="317"/>
        <w:spacing w:after="0"/>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333-281061) pertaining to the Roivant Sciences Ltd. 2021 Equity Incentive Plan,</w:t>
      </w:r>
    </w:p>
    <w:p>
      <w:pPr>
        <w:spacing w:after="0" w:line="49" w:lineRule="exact"/>
        <w:rPr>
          <w:rFonts w:ascii="Times New Roman" w:cs="Times New Roman" w:eastAsia="Times New Roman" w:hAnsi="Times New Roman"/>
          <w:sz w:val="18"/>
          <w:szCs w:val="18"/>
          <w:color w:val="auto"/>
        </w:rPr>
      </w:pPr>
    </w:p>
    <w:p>
      <w:pPr>
        <w:ind w:left="460" w:right="200" w:hanging="317"/>
        <w:spacing w:after="0" w:line="289" w:lineRule="auto"/>
        <w:tabs>
          <w:tab w:leader="none" w:pos="4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333-260173) pertaining to the Roivant Sciences Ltd. 2021 Equity Incentive Plan, the Roivant Sciences Ltd. Employee Stock Purchase Plan and the Roivant Sciences Ltd. Amended and Restated 2015 Equity Incentive Plan,</w:t>
      </w:r>
    </w:p>
    <w:p>
      <w:pPr>
        <w:spacing w:after="0" w:line="1" w:lineRule="exact"/>
        <w:rPr>
          <w:rFonts w:ascii="Times New Roman" w:cs="Times New Roman" w:eastAsia="Times New Roman" w:hAnsi="Times New Roman"/>
          <w:sz w:val="18"/>
          <w:szCs w:val="18"/>
          <w:color w:val="auto"/>
        </w:rPr>
      </w:pPr>
    </w:p>
    <w:p>
      <w:pPr>
        <w:ind w:left="460" w:right="280" w:hanging="317"/>
        <w:spacing w:after="0" w:line="289" w:lineRule="auto"/>
        <w:tabs>
          <w:tab w:leader="none" w:pos="4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333-265867) pertaining to the Roivant Sciences Ltd. 2021 Equity Incentive Plan and the Roivant Sciences Ltd. Employee Stock Purchase Plan,</w:t>
      </w:r>
    </w:p>
    <w:p>
      <w:pPr>
        <w:spacing w:after="0" w:line="1" w:lineRule="exact"/>
        <w:rPr>
          <w:rFonts w:ascii="Times New Roman" w:cs="Times New Roman" w:eastAsia="Times New Roman" w:hAnsi="Times New Roman"/>
          <w:sz w:val="18"/>
          <w:szCs w:val="18"/>
          <w:color w:val="auto"/>
        </w:rPr>
      </w:pPr>
    </w:p>
    <w:p>
      <w:pPr>
        <w:ind w:left="460" w:hanging="317"/>
        <w:spacing w:after="0"/>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333-267503),</w:t>
      </w:r>
    </w:p>
    <w:p>
      <w:pPr>
        <w:spacing w:after="0" w:line="36" w:lineRule="exact"/>
        <w:rPr>
          <w:rFonts w:ascii="Times New Roman" w:cs="Times New Roman" w:eastAsia="Times New Roman" w:hAnsi="Times New Roman"/>
          <w:sz w:val="18"/>
          <w:szCs w:val="18"/>
          <w:color w:val="auto"/>
        </w:rPr>
      </w:pPr>
    </w:p>
    <w:p>
      <w:pPr>
        <w:ind w:left="460" w:right="280" w:hanging="317"/>
        <w:spacing w:after="0" w:line="289" w:lineRule="auto"/>
        <w:tabs>
          <w:tab w:leader="none" w:pos="4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333-273000) pertaining to the Roivant Sciences Ltd. 2021 Equity Incentive Plan and the Roivant Sciences Ltd. Employee Stock Purchase Plan, and</w:t>
      </w:r>
    </w:p>
    <w:p>
      <w:pPr>
        <w:spacing w:after="0" w:line="1" w:lineRule="exact"/>
        <w:rPr>
          <w:rFonts w:ascii="Times New Roman" w:cs="Times New Roman" w:eastAsia="Times New Roman" w:hAnsi="Times New Roman"/>
          <w:sz w:val="18"/>
          <w:szCs w:val="18"/>
          <w:color w:val="auto"/>
        </w:rPr>
      </w:pPr>
    </w:p>
    <w:p>
      <w:pPr>
        <w:ind w:left="460" w:hanging="317"/>
        <w:spacing w:after="0"/>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333-274804);</w:t>
      </w:r>
    </w:p>
    <w:p>
      <w:pPr>
        <w:spacing w:after="0" w:line="49" w:lineRule="exact"/>
        <w:rPr>
          <w:rFonts w:ascii="Times New Roman" w:cs="Times New Roman" w:eastAsia="Times New Roman" w:hAnsi="Times New Roman"/>
          <w:sz w:val="18"/>
          <w:szCs w:val="18"/>
          <w:color w:val="auto"/>
        </w:rPr>
      </w:pPr>
    </w:p>
    <w:p>
      <w:pPr>
        <w:ind w:left="460" w:hanging="317"/>
        <w:spacing w:after="0"/>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ASR No. 333-290706);</w:t>
      </w:r>
    </w:p>
    <w:p>
      <w:pPr>
        <w:spacing w:after="0" w:line="144"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of our reports dated May 20, 2026, with respect to the consolidated financial statements of Roivant Sciences Ltd. and the effectiveness of internal control over financial reporting of Roivant Sciences Ltd. included in this Annual Report (Form 10-K) of Roivant Sciences Ltd. for the year ended March 31,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80"/>
          </w:cols>
          <w:pgMar w:left="320" w:top="1440" w:right="39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Gline, certify that:</w:t>
      </w:r>
    </w:p>
    <w:p>
      <w:pPr>
        <w:spacing w:after="0" w:line="225"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Roivant Sciences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7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34290</wp:posOffset>
            </wp:positionV>
            <wp:extent cx="281178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2811780" cy="17145"/>
                    </a:xfrm>
                    <a:prstGeom prst="rect">
                      <a:avLst/>
                    </a:prstGeom>
                    <a:noFill/>
                  </pic:spPr>
                </pic:pic>
              </a:graphicData>
            </a:graphic>
          </wp:anchor>
        </w:drawing>
      </w:r>
    </w:p>
    <w:p>
      <w:pPr>
        <w:spacing w:after="0" w:line="7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Matthew Gline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Pulik, certify that:</w:t>
      </w:r>
    </w:p>
    <w:p>
      <w:pPr>
        <w:spacing w:after="0" w:line="225"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Roivant Sciences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7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34290</wp:posOffset>
            </wp:positionV>
            <wp:extent cx="281178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2811780" cy="17145"/>
                    </a:xfrm>
                    <a:prstGeom prst="rect">
                      <a:avLst/>
                    </a:prstGeom>
                    <a:noFill/>
                  </pic:spPr>
                </pic:pic>
              </a:graphicData>
            </a:graphic>
          </wp:anchor>
        </w:drawing>
      </w:r>
    </w:p>
    <w:p>
      <w:pPr>
        <w:spacing w:after="0" w:line="7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Richard Pulik</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spacing w:after="0" w:line="176" w:lineRule="exact"/>
        <w:rPr>
          <w:sz w:val="20"/>
          <w:szCs w:val="20"/>
          <w:color w:val="auto"/>
        </w:rPr>
      </w:pPr>
    </w:p>
    <w:p>
      <w:pPr>
        <w:ind w:left="500" w:hanging="492"/>
        <w:spacing w:after="0" w:line="282" w:lineRule="auto"/>
        <w:tabs>
          <w:tab w:leader="none" w:pos="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March 31, 2026,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7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34290</wp:posOffset>
            </wp:positionV>
            <wp:extent cx="281178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2811780" cy="17145"/>
                    </a:xfrm>
                    <a:prstGeom prst="rect">
                      <a:avLst/>
                    </a:prstGeom>
                    <a:noFill/>
                  </pic:spPr>
                </pic:pic>
              </a:graphicData>
            </a:graphic>
          </wp:anchor>
        </w:drawing>
      </w:r>
    </w:p>
    <w:p>
      <w:pPr>
        <w:spacing w:after="0" w:line="7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Matthew Gline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40"/>
          </w:cols>
          <w:pgMar w:left="320" w:top="1143"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spacing w:after="0" w:line="176" w:lineRule="exact"/>
        <w:rPr>
          <w:sz w:val="20"/>
          <w:szCs w:val="20"/>
          <w:color w:val="auto"/>
        </w:rPr>
      </w:pPr>
    </w:p>
    <w:p>
      <w:pPr>
        <w:ind w:left="500" w:hanging="492"/>
        <w:spacing w:after="0" w:line="282" w:lineRule="auto"/>
        <w:tabs>
          <w:tab w:leader="none" w:pos="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March 31, 2026, to which this Certification is attached as Exhibit 32.2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7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34290</wp:posOffset>
            </wp:positionV>
            <wp:extent cx="28117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2811780" cy="17145"/>
                    </a:xfrm>
                    <a:prstGeom prst="rect">
                      <a:avLst/>
                    </a:prstGeom>
                    <a:noFill/>
                  </pic:spPr>
                </pic:pic>
              </a:graphicData>
            </a:graphic>
          </wp:anchor>
        </w:drawing>
      </w:r>
    </w:p>
    <w:p>
      <w:pPr>
        <w:spacing w:after="0" w:line="7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Richard Pulik</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x"/>
      <w:numFmt w:val="bullet"/>
      <w:start w:val="1"/>
    </w:lvl>
  </w:abstractNum>
  <w:abstractNum w:abstractNumId="1">
    <w:nsid w:val="D34B6A8"/>
    <w:multiLevelType w:val="hybridMultilevel"/>
    <w:lvl w:ilvl="0">
      <w:lvlJc w:val="left"/>
      <w:lvlText w:val="o"/>
      <w:numFmt w:val="bullet"/>
      <w:start w:val="1"/>
    </w:lvl>
  </w:abstractNum>
  <w:abstractNum w:abstractNumId="2">
    <w:nsid w:val="10233C99"/>
    <w:multiLevelType w:val="hybridMultilevel"/>
    <w:lvl w:ilvl="0">
      <w:lvlJc w:val="left"/>
      <w:lvlText w:val="1"/>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lvl w:ilvl="1">
      <w:lvlJc w:val="left"/>
      <w:lvlText w:val="•"/>
      <w:numFmt w:val="bullet"/>
      <w:start w:val="1"/>
    </w:lvl>
  </w:abstractNum>
  <w:abstractNum w:abstractNumId="13">
    <w:nsid w:val="4AD084E9"/>
    <w:multiLevelType w:val="hybridMultilevel"/>
    <w:lvl w:ilvl="0">
      <w:lvlJc w:val="left"/>
      <w:lvlText w:val="•"/>
      <w:numFmt w:val="bullet"/>
      <w:start w:val="1"/>
    </w:lvl>
    <w:lvl w:ilvl="1">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1."/>
      <w:numFmt w:val="decimal"/>
      <w:start w:val="1"/>
    </w:lvl>
  </w:abstractNum>
  <w:abstractNum w:abstractNumId="17">
    <w:nsid w:val="100F8FCA"/>
    <w:multiLevelType w:val="hybridMultilevel"/>
    <w:lvl w:ilvl="0">
      <w:lvlJc w:val="left"/>
      <w:lvlText w:val="%1."/>
      <w:numFmt w:val="decimal"/>
      <w:start w:val="1"/>
    </w:lvl>
  </w:abstractNum>
  <w:abstractNum w:abstractNumId="18">
    <w:nsid w:val="6590700B"/>
    <w:multiLevelType w:val="hybridMultilevel"/>
    <w:lvl w:ilvl="0">
      <w:lvlJc w:val="left"/>
      <w:lvlText w:val="•"/>
      <w:numFmt w:val="bullet"/>
      <w:start w:val="1"/>
    </w:lvl>
    <w:lvl w:ilvl="1">
      <w:lvlJc w:val="left"/>
      <w:lvlText w:val="•"/>
      <w:numFmt w:val="bullet"/>
      <w:start w:val="1"/>
    </w:lvl>
  </w:abstractNum>
  <w:abstractNum w:abstractNumId="19">
    <w:nsid w:val="15014ACB"/>
    <w:multiLevelType w:val="hybridMultilevel"/>
    <w:lvl w:ilvl="0">
      <w:lvlJc w:val="left"/>
      <w:lvlText w:val="•"/>
      <w:numFmt w:val="bullet"/>
      <w:start w:val="1"/>
    </w:lvl>
    <w:lvl w:ilvl="1">
      <w:lvlJc w:val="left"/>
      <w:lvlText w:val="•"/>
      <w:numFmt w:val="bullet"/>
      <w:start w:val="1"/>
    </w:lvl>
  </w:abstractNum>
  <w:abstractNum w:abstractNumId="20">
    <w:nsid w:val="5F5E7FD0"/>
    <w:multiLevelType w:val="hybridMultilevel"/>
    <w:lvl w:ilvl="0">
      <w:lvlJc w:val="left"/>
      <w:lvlText w:val="•"/>
      <w:numFmt w:val="bullet"/>
      <w:start w:val="1"/>
    </w:lvl>
    <w:lvl w:ilvl="1">
      <w:lvlJc w:val="left"/>
      <w:lvlText w:val="•"/>
      <w:numFmt w:val="bullet"/>
      <w:start w:val="1"/>
    </w:lvl>
  </w:abstractNum>
  <w:abstractNum w:abstractNumId="21">
    <w:nsid w:val="98A3148"/>
    <w:multiLevelType w:val="hybridMultilevel"/>
    <w:lvl w:ilvl="0">
      <w:lvlJc w:val="left"/>
      <w:lvlText w:val="%1."/>
      <w:numFmt w:val="decimal"/>
      <w:start w:val="1"/>
    </w:lvl>
  </w:abstractNum>
  <w:abstractNum w:abstractNumId="22">
    <w:nsid w:val="799D0247"/>
    <w:multiLevelType w:val="hybridMultilevel"/>
    <w:lvl w:ilvl="0">
      <w:lvlJc w:val="left"/>
      <w:lvlText w:val="•"/>
      <w:numFmt w:val="bullet"/>
      <w:start w:val="1"/>
    </w:lvl>
    <w:lvl w:ilvl="1">
      <w:lvlJc w:val="left"/>
      <w:lvlText w:val="•"/>
      <w:numFmt w:val="bullet"/>
      <w:start w:val="1"/>
    </w:lvl>
  </w:abstractNum>
  <w:abstractNum w:abstractNumId="23">
    <w:nsid w:val="6B94764"/>
    <w:multiLevelType w:val="hybridMultilevel"/>
    <w:lvl w:ilvl="0">
      <w:lvlJc w:val="left"/>
      <w:lvlText w:val="•"/>
      <w:numFmt w:val="bullet"/>
      <w:start w:val="1"/>
    </w:lvl>
    <w:lvl w:ilvl="1">
      <w:lvlJc w:val="left"/>
      <w:lvlText w:val="•"/>
      <w:numFmt w:val="bullet"/>
      <w:start w:val="1"/>
    </w:lvl>
  </w:abstractNum>
  <w:abstractNum w:abstractNumId="24">
    <w:nsid w:val="42C296BD"/>
    <w:multiLevelType w:val="hybridMultilevel"/>
    <w:lvl w:ilvl="0">
      <w:lvlJc w:val="left"/>
      <w:lvlText w:val="•"/>
      <w:numFmt w:val="bullet"/>
      <w:start w:val="1"/>
    </w:lvl>
    <w:lvl w:ilvl="1">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lvl w:ilvl="1">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lvl w:ilvl="1">
      <w:lvlJc w:val="left"/>
      <w:lvlText w:val="•"/>
      <w:numFmt w:val="bullet"/>
      <w:start w:val="1"/>
    </w:lvl>
    <w:lvl w:ilvl="2">
      <w:lvlJc w:val="left"/>
      <w:lvlText w:val="%3"/>
      <w:numFmt w:val="decimal"/>
      <w:start w:val="300"/>
    </w:lvl>
  </w:abstractNum>
  <w:abstractNum w:abstractNumId="32">
    <w:nsid w:val="613EFDC5"/>
    <w:multiLevelType w:val="hybridMultilevel"/>
    <w:lvl w:ilvl="0">
      <w:lvlJc w:val="left"/>
      <w:lvlText w:val="•"/>
      <w:numFmt w:val="bullet"/>
      <w:start w:val="1"/>
    </w:lvl>
    <w:lvl w:ilvl="1">
      <w:lvlJc w:val="left"/>
      <w:lvlText w:val="•"/>
      <w:numFmt w:val="bullet"/>
      <w:start w:val="1"/>
    </w:lvl>
    <w:lvl w:ilvl="2">
      <w:lvlJc w:val="left"/>
      <w:lvlText w:val="%3"/>
      <w:numFmt w:val="decimal"/>
      <w:start w:val="600"/>
    </w:lvl>
  </w:abstractNum>
  <w:abstractNum w:abstractNumId="33">
    <w:nsid w:val="BF72B14"/>
    <w:multiLevelType w:val="hybridMultilevel"/>
    <w:lvl w:ilvl="0">
      <w:lvlJc w:val="left"/>
      <w:lvlText w:val="•"/>
      <w:numFmt w:val="bullet"/>
      <w:start w:val="1"/>
    </w:lvl>
    <w:lvl w:ilvl="1">
      <w:lvlJc w:val="left"/>
      <w:lvlText w:val="•"/>
      <w:numFmt w:val="bullet"/>
      <w:start w:val="1"/>
    </w:lvl>
    <w:lvl w:ilvl="2">
      <w:lvlJc w:val="left"/>
      <w:lvlText w:val="%3."/>
      <w:numFmt w:val="decimal"/>
      <w:start w:val="12"/>
    </w:lvl>
  </w:abstractNum>
  <w:abstractNum w:abstractNumId="34">
    <w:nsid w:val="11447B73"/>
    <w:multiLevelType w:val="hybridMultilevel"/>
    <w:lvl w:ilvl="0">
      <w:lvlJc w:val="left"/>
      <w:lvlText w:val="•"/>
      <w:numFmt w:val="bullet"/>
      <w:start w:val="1"/>
    </w:lvl>
    <w:lvl w:ilvl="1">
      <w:lvlJc w:val="left"/>
      <w:lvlText w:val="•"/>
      <w:numFmt w:val="bullet"/>
      <w:start w:val="1"/>
    </w:lvl>
  </w:abstractNum>
  <w:abstractNum w:abstractNumId="35">
    <w:nsid w:val="42963E5A"/>
    <w:multiLevelType w:val="hybridMultilevel"/>
    <w:lvl w:ilvl="0">
      <w:lvlJc w:val="left"/>
      <w:lvlText w:val="•"/>
      <w:numFmt w:val="bullet"/>
      <w:start w:val="1"/>
    </w:lvl>
    <w:lvl w:ilvl="1">
      <w:lvlJc w:val="left"/>
      <w:lvlText w:val="•"/>
      <w:numFmt w:val="bullet"/>
      <w:start w:val="1"/>
    </w:lvl>
  </w:abstractNum>
  <w:abstractNum w:abstractNumId="36">
    <w:nsid w:val="A0382C5"/>
    <w:multiLevelType w:val="hybridMultilevel"/>
    <w:lvl w:ilvl="0">
      <w:lvlJc w:val="left"/>
      <w:lvlText w:val="•"/>
      <w:numFmt w:val="bullet"/>
      <w:start w:val="1"/>
    </w:lvl>
    <w:lvl w:ilvl="1">
      <w:lvlJc w:val="left"/>
      <w:lvlText w:val="•"/>
      <w:numFmt w:val="bullet"/>
      <w:start w:val="1"/>
    </w:lvl>
  </w:abstractNum>
  <w:abstractNum w:abstractNumId="37">
    <w:nsid w:val="8F2B15E"/>
    <w:multiLevelType w:val="hybridMultilevel"/>
    <w:lvl w:ilvl="0">
      <w:lvlJc w:val="left"/>
      <w:lvlText w:val="•"/>
      <w:numFmt w:val="bullet"/>
      <w:start w:val="1"/>
    </w:lvl>
    <w:lvl w:ilvl="1">
      <w:lvlJc w:val="left"/>
      <w:lvlText w:val="•"/>
      <w:numFmt w:val="bullet"/>
      <w:start w:val="1"/>
    </w:lvl>
  </w:abstractNum>
  <w:abstractNum w:abstractNumId="38">
    <w:nsid w:val="1A32234B"/>
    <w:multiLevelType w:val="hybridMultilevel"/>
    <w:lvl w:ilvl="0">
      <w:lvlJc w:val="left"/>
      <w:lvlText w:val="•"/>
      <w:numFmt w:val="bullet"/>
      <w:start w:val="1"/>
    </w:lvl>
    <w:lvl w:ilvl="1">
      <w:lvlJc w:val="left"/>
      <w:lvlText w:val="•"/>
      <w:numFmt w:val="bullet"/>
      <w:start w:val="1"/>
    </w:lvl>
  </w:abstractNum>
  <w:abstractNum w:abstractNumId="39">
    <w:nsid w:val="3B0FD379"/>
    <w:multiLevelType w:val="hybridMultilevel"/>
    <w:lvl w:ilvl="0">
      <w:lvlJc w:val="left"/>
      <w:lvlText w:val="•"/>
      <w:numFmt w:val="bullet"/>
      <w:start w:val="1"/>
    </w:lvl>
    <w:lvl w:ilvl="1">
      <w:lvlJc w:val="left"/>
      <w:lvlText w:val="•"/>
      <w:numFmt w:val="bullet"/>
      <w:start w:val="1"/>
    </w:lvl>
  </w:abstractNum>
  <w:abstractNum w:abstractNumId="40">
    <w:nsid w:val="68EB2F6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41">
    <w:nsid w:val="4962813B"/>
    <w:multiLevelType w:val="hybridMultilevel"/>
    <w:lvl w:ilvl="0">
      <w:lvlJc w:val="left"/>
      <w:lvlText w:val="•"/>
      <w:numFmt w:val="bullet"/>
      <w:start w:val="1"/>
    </w:lvl>
    <w:lvl w:ilvl="1">
      <w:lvlJc w:val="left"/>
      <w:lvlText w:val="•"/>
      <w:numFmt w:val="bullet"/>
      <w:start w:val="1"/>
    </w:lvl>
  </w:abstractNum>
  <w:abstractNum w:abstractNumId="42">
    <w:nsid w:val="60B6DF70"/>
    <w:multiLevelType w:val="hybridMultilevel"/>
    <w:lvl w:ilvl="0">
      <w:lvlJc w:val="left"/>
      <w:lvlText w:val="(%1)"/>
      <w:numFmt w:val="lowerLetter"/>
      <w:start w:val="2"/>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lvl w:ilvl="1">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
      <w:numFmt w:val="bullet"/>
      <w:start w:val="1"/>
    </w:lvl>
    <w:lvl w:ilvl="1">
      <w:lvlJc w:val="left"/>
      <w:lvlText w:val="•"/>
      <w:numFmt w:val="bullet"/>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1)"/>
      <w:numFmt w:val="decimal"/>
      <w:start w:val="1"/>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
      <w:numFmt w:val="bullet"/>
      <w:start w:val="1"/>
    </w:lvl>
    <w:lvl w:ilvl="1">
      <w:lvlJc w:val="left"/>
      <w:lvlText w:val="•"/>
      <w:numFmt w:val="bullet"/>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
      <w:numFmt w:val="bullet"/>
      <w:start w:val="1"/>
    </w:lvl>
  </w:abstractNum>
  <w:abstractNum w:abstractNumId="84">
    <w:nsid w:val="7DE67713"/>
    <w:multiLevelType w:val="hybridMultilevel"/>
    <w:lvl w:ilvl="0">
      <w:lvlJc w:val="left"/>
      <w:lvlText w:val="•"/>
      <w:numFmt w:val="bullet"/>
      <w:start w:val="1"/>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1."/>
      <w:numFmt w:val="lowerLetter"/>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
      <w:numFmt w:val="bullet"/>
      <w:start w:val="1"/>
    </w:lvl>
  </w:abstractNum>
  <w:abstractNum w:abstractNumId="89">
    <w:nsid w:val="71C91298"/>
    <w:multiLevelType w:val="hybridMultilevel"/>
    <w:lvl w:ilvl="0">
      <w:lvlJc w:val="left"/>
      <w:lvlText w:val="(%1)"/>
      <w:numFmt w:val="decimal"/>
      <w:start w:val="1"/>
    </w:lvl>
  </w:abstractNum>
  <w:abstractNum w:abstractNumId="90">
    <w:nsid w:val="9DAF632"/>
    <w:multiLevelType w:val="hybridMultilevel"/>
    <w:lvl w:ilvl="0">
      <w:lvlJc w:val="left"/>
      <w:lvlText w:val="(%1)"/>
      <w:numFmt w:val="decimal"/>
      <w:start w:val="1"/>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1)"/>
      <w:numFmt w:val="lowerRoman"/>
      <w:start w:val="1"/>
    </w:lvl>
  </w:abstractNum>
  <w:abstractNum w:abstractNumId="93">
    <w:nsid w:val="5092CA79"/>
    <w:multiLevelType w:val="hybridMultilevel"/>
    <w:lvl w:ilvl="0">
      <w:lvlJc w:val="left"/>
      <w:lvlText w:val="(%1)"/>
      <w:numFmt w:val="decimal"/>
      <w:start w:val="1"/>
    </w:lvl>
  </w:abstractNum>
  <w:abstractNum w:abstractNumId="94">
    <w:nsid w:val="1D545C4D"/>
    <w:multiLevelType w:val="hybridMultilevel"/>
    <w:lvl w:ilvl="0">
      <w:lvlJc w:val="left"/>
      <w:lvlText w:val="(%1)"/>
      <w:numFmt w:val="decimal"/>
      <w:start w:val="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1)"/>
      <w:numFmt w:val="lowerRoman"/>
      <w:start w:val="1"/>
    </w:lvl>
  </w:abstractNum>
  <w:abstractNum w:abstractNumId="97">
    <w:nsid w:val="2A155DBC"/>
    <w:multiLevelType w:val="hybridMultilevel"/>
    <w:lvl w:ilvl="0">
      <w:lvlJc w:val="left"/>
      <w:lvlText w:val="(%1)"/>
      <w:numFmt w:val="decimal"/>
      <w:start w:val="1"/>
    </w:lvl>
  </w:abstractNum>
  <w:abstractNum w:abstractNumId="98">
    <w:nsid w:val="1D9F6E5F"/>
    <w:multiLevelType w:val="hybridMultilevel"/>
    <w:lvl w:ilvl="0">
      <w:lvlJc w:val="left"/>
      <w:lvlText w:val="(%1)"/>
      <w:numFmt w:val="decimal"/>
      <w:start w:val="1"/>
    </w:lvl>
  </w:abstractNum>
  <w:abstractNum w:abstractNumId="99">
    <w:nsid w:val="97E1B4E"/>
    <w:multiLevelType w:val="hybridMultilevel"/>
    <w:lvl w:ilvl="0">
      <w:lvlJc w:val="left"/>
      <w:lvlText w:val="(%1)"/>
      <w:numFmt w:val="decimal"/>
      <w:start w:val="1"/>
    </w:lvl>
  </w:abstractNum>
  <w:abstractNum w:abstractNumId="100">
    <w:nsid w:val="51088277"/>
    <w:multiLevelType w:val="hybridMultilevel"/>
    <w:lvl w:ilvl="0">
      <w:lvlJc w:val="left"/>
      <w:lvlText w:val="(%1)"/>
      <w:numFmt w:val="decimal"/>
      <w:start w:val="1"/>
    </w:lvl>
  </w:abstractNum>
  <w:abstractNum w:abstractNumId="101">
    <w:nsid w:val="1CA0C5FA"/>
    <w:multiLevelType w:val="hybridMultilevel"/>
    <w:lvl w:ilvl="0">
      <w:lvlJc w:val="left"/>
      <w:lvlText w:val="•"/>
      <w:numFmt w:val="bullet"/>
      <w:start w:val="1"/>
    </w:lvl>
  </w:abstractNum>
  <w:abstractNum w:abstractNumId="102">
    <w:nsid w:val="53584BCB"/>
    <w:multiLevelType w:val="hybridMultilevel"/>
    <w:lvl w:ilvl="0">
      <w:lvlJc w:val="left"/>
      <w:lvlText w:val="%1."/>
      <w:numFmt w:val="lowerLetter"/>
      <w:start w:val="1"/>
    </w:lvl>
  </w:abstractNum>
  <w:abstractNum w:abstractNumId="103">
    <w:nsid w:val="415E286C"/>
    <w:multiLevelType w:val="hybridMultilevel"/>
    <w:lvl w:ilvl="0">
      <w:lvlJc w:val="left"/>
      <w:lvlText w:val="(%1)"/>
      <w:numFmt w:val="decimal"/>
      <w:start w:val="1"/>
    </w:lvl>
  </w:abstractNum>
  <w:abstractNum w:abstractNumId="104">
    <w:nsid w:val="7C58FD05"/>
    <w:multiLevelType w:val="hybridMultilevel"/>
    <w:lvl w:ilvl="0">
      <w:lvlJc w:val="left"/>
      <w:lvlText w:val="(%1)"/>
      <w:numFmt w:val="decimal"/>
      <w:start w:val="1"/>
    </w:lvl>
  </w:abstractNum>
  <w:abstractNum w:abstractNumId="105">
    <w:nsid w:val="23D86AAC"/>
    <w:multiLevelType w:val="hybridMultilevel"/>
    <w:lvl w:ilvl="0">
      <w:lvlJc w:val="left"/>
      <w:lvlText w:val="(%1)"/>
      <w:numFmt w:val="decimal"/>
      <w:start w:val="1"/>
    </w:lvl>
  </w:abstractNum>
  <w:abstractNum w:abstractNumId="106">
    <w:nsid w:val="45E6D486"/>
    <w:multiLevelType w:val="hybridMultilevel"/>
    <w:lvl w:ilvl="0">
      <w:lvlJc w:val="left"/>
      <w:lvlText w:val="(%1)"/>
      <w:numFmt w:val="lowerLetter"/>
      <w:start w:val="1"/>
    </w:lvl>
    <w:lvl w:ilvl="1">
      <w:lvlJc w:val="left"/>
      <w:lvlText w:val="%2."/>
      <w:numFmt w:val="decimal"/>
      <w:start w:val="1"/>
    </w:lvl>
  </w:abstractNum>
  <w:abstractNum w:abstractNumId="107">
    <w:nsid w:val="5C10FE21"/>
    <w:multiLevelType w:val="hybridMultilevel"/>
    <w:lvl w:ilvl="0">
      <w:lvlJc w:val="left"/>
      <w:lvlText w:val="%1."/>
      <w:numFmt w:val="decimal"/>
      <w:start w:val="2"/>
    </w:lvl>
  </w:abstractNum>
  <w:abstractNum w:abstractNumId="108">
    <w:nsid w:val="E7FFA2B"/>
    <w:multiLevelType w:val="hybridMultilevel"/>
    <w:lvl w:ilvl="0">
      <w:lvlJc w:val="left"/>
      <w:lvlText w:val="#"/>
      <w:numFmt w:val="bullet"/>
      <w:start w:val="1"/>
    </w:lvl>
  </w:abstractNum>
  <w:abstractNum w:abstractNumId="109">
    <w:nsid w:val="3C5991AA"/>
    <w:multiLevelType w:val="hybridMultilevel"/>
    <w:lvl w:ilvl="0">
      <w:lvlJc w:val="left"/>
      <w:lvlText w:val="†"/>
      <w:numFmt w:val="bullet"/>
      <w:start w:val="1"/>
    </w:lvl>
  </w:abstractNum>
  <w:abstractNum w:abstractNumId="110">
    <w:nsid w:val="4BD8591A"/>
    <w:multiLevelType w:val="hybridMultilevel"/>
    <w:lvl w:ilvl="0">
      <w:lvlJc w:val="left"/>
      <w:lvlText w:val="*"/>
      <w:numFmt w:val="bullet"/>
      <w:start w:val="1"/>
    </w:lvl>
  </w:abstractNum>
  <w:abstractNum w:abstractNumId="111">
    <w:nsid w:val="78DF6A55"/>
    <w:multiLevelType w:val="hybridMultilevel"/>
    <w:lvl w:ilvl="0">
      <w:lvlJc w:val="left"/>
      <w:lvlText w:val="**"/>
      <w:numFmt w:val="bullet"/>
      <w:start w:val="1"/>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1)"/>
      <w:numFmt w:val="decimal"/>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44" Type="http://schemas.openxmlformats.org/officeDocument/2006/relationships/image" Target="media/image231.png"/><Relationship Id="rId258"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88"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238" Type="http://schemas.openxmlformats.org/officeDocument/2006/relationships/hyperlink" Target="https://www.sec.gov/Archives/edgar/data/1635088/000119312522183362/d307489dex21.htm" TargetMode="External"/><Relationship Id="rId239" Type="http://schemas.openxmlformats.org/officeDocument/2006/relationships/hyperlink" Target="https://www.sec.gov/Archives/edgar/data/1635088/000119312522183362/d307489dex29.htm" TargetMode="External"/><Relationship Id="rId240" Type="http://schemas.openxmlformats.org/officeDocument/2006/relationships/hyperlink" Target="https://www.sec.gov/Archives/edgar/data/1635088/000114036124041663/ny20036156x1_ex2-1.htm" TargetMode="External"/><Relationship Id="rId241" Type="http://schemas.openxmlformats.org/officeDocument/2006/relationships/hyperlink" Target="https://www.sec.gov/Archives/edgar/data/1635088/000119312521205193/d65062dex31.htm" TargetMode="External"/><Relationship Id="rId242" Type="http://schemas.openxmlformats.org/officeDocument/2006/relationships/hyperlink" Target="https://www.sec.gov/Archives/edgar/data/1635088/000119312521288885/d230641dex31.htm" TargetMode="External"/><Relationship Id="rId243" Type="http://schemas.openxmlformats.org/officeDocument/2006/relationships/hyperlink" Target="https://www.sec.gov/Archives/edgar/data/1635088/000119312522183362/d307489dex101.htm" TargetMode="External"/><Relationship Id="rId245" Type="http://schemas.openxmlformats.org/officeDocument/2006/relationships/hyperlink" Target="https://www.sec.gov/Archives/edgar/data/1635088/000119312522183362/d307489dex103.htm" TargetMode="External"/><Relationship Id="rId246" Type="http://schemas.openxmlformats.org/officeDocument/2006/relationships/hyperlink" Target="https://www.sec.gov/Archives/edgar/data/1764013/000119312519321147/d839382dex106.htm" TargetMode="External"/><Relationship Id="rId247" Type="http://schemas.openxmlformats.org/officeDocument/2006/relationships/hyperlink" Target="https://www.sec.gov/Archives/edgar/data/1447028/000144702820000118/a2020-q210xqex103cross.htm" TargetMode="External"/><Relationship Id="rId248" Type="http://schemas.openxmlformats.org/officeDocument/2006/relationships/hyperlink" Target="https://www.sec.gov/Archives/edgar/data/1447028/000144702820000118/a2020-q210xqex1041stam.htm" TargetMode="External"/><Relationship Id="rId249" Type="http://schemas.openxmlformats.org/officeDocument/2006/relationships/hyperlink" Target="https://www.sec.gov/Archives/edgar/data/1447028/000144702820000118/a2020-q210xqex105secon.htm" TargetMode="External"/><Relationship Id="rId250" Type="http://schemas.openxmlformats.org/officeDocument/2006/relationships/hyperlink" Target="https://www.sec.gov/Archives/edgar/data/1635088/000119312521205193/d65062dex1024.htm" TargetMode="External"/><Relationship Id="rId251" Type="http://schemas.openxmlformats.org/officeDocument/2006/relationships/hyperlink" Target="https://www.sec.gov/Archives/edgar/data/1635088/000119312521162191/d65062dex1025.htm" TargetMode="External"/><Relationship Id="rId252" Type="http://schemas.openxmlformats.org/officeDocument/2006/relationships/hyperlink" Target="https://www.sec.gov/Archives/edgar/data/1635088/000095010321015700/dp159512_ex9901.htm" TargetMode="External"/><Relationship Id="rId253" Type="http://schemas.openxmlformats.org/officeDocument/2006/relationships/hyperlink" Target="https://www.sec.gov/Archives/edgar/data/1635088/000119312521162191/d65062dex1028.htm" TargetMode="External"/><Relationship Id="rId254" Type="http://schemas.openxmlformats.org/officeDocument/2006/relationships/hyperlink" Target="https://www.sec.gov/Archives/edgar/data/1635088/000119312521162191/d65062dex1029.htm" TargetMode="External"/><Relationship Id="rId255" Type="http://schemas.openxmlformats.org/officeDocument/2006/relationships/hyperlink" Target="https://www.sec.gov/Archives/edgar/data/1635088/000119312522183362/d307489dex1028.htm" TargetMode="External"/><Relationship Id="rId256" Type="http://schemas.openxmlformats.org/officeDocument/2006/relationships/hyperlink" Target="https://www.sec.gov/Archives/edgar/data/1635088/000119312521288885/d230641dex101.htm" TargetMode="External"/><Relationship Id="rId257" Type="http://schemas.openxmlformats.org/officeDocument/2006/relationships/hyperlink" Target="https://www.sec.gov/Archives/edgar/data/1635088/000114036123031798/brhc20054745_ex10-27.htm" TargetMode="External"/><Relationship Id="rId259" Type="http://schemas.openxmlformats.org/officeDocument/2006/relationships/hyperlink" Target="https://www.sec.gov/Archives/edgar/data/1635088/000119312521365107/d268332dex1037.htm" TargetMode="External"/><Relationship Id="rId260" Type="http://schemas.openxmlformats.org/officeDocument/2006/relationships/hyperlink" Target="https://www.sec.gov/Archives/edgar/data/1635088/000119312522183362/d307489dex1036.htm" TargetMode="External"/><Relationship Id="rId261" Type="http://schemas.openxmlformats.org/officeDocument/2006/relationships/hyperlink" Target="https://www.sec.gov/Archives/edgar/data/1635088/000119312522183362/d307489dex1037.htm" TargetMode="External"/><Relationship Id="rId262" Type="http://schemas.openxmlformats.org/officeDocument/2006/relationships/hyperlink" Target="https://www.sec.gov/Archives/edgar/data/1635088/000119312522183362/d307489dex1038.htm" TargetMode="External"/><Relationship Id="rId263" Type="http://schemas.openxmlformats.org/officeDocument/2006/relationships/hyperlink" Target="https://www.sec.gov/Archives/edgar/data/1635088/000119312522205102/d383501dex1039.htm" TargetMode="External"/><Relationship Id="rId264" Type="http://schemas.openxmlformats.org/officeDocument/2006/relationships/hyperlink" Target="https://www.sec.gov/Archives/edgar/data/1635088/000114036123031798/brhc20054745_ex10-39.htm" TargetMode="External"/><Relationship Id="rId265" Type="http://schemas.openxmlformats.org/officeDocument/2006/relationships/hyperlink" Target="https://www.sec.gov/Archives/edgar/data/1635088/000114036123031798/brhc20054745_ex10-40.htm" TargetMode="External"/><Relationship Id="rId266" Type="http://schemas.openxmlformats.org/officeDocument/2006/relationships/hyperlink" Target="https://www.sec.gov/Archives/edgar/data/1635088/000114036123031798/brhc20054745_ex10-41.htm" TargetMode="External"/><Relationship Id="rId267" Type="http://schemas.openxmlformats.org/officeDocument/2006/relationships/hyperlink" Target="https://www.sec.gov/Archives/edgar/data/1635088/000114036123031798/brhc20054745_ex10-42.htm" TargetMode="External"/><Relationship Id="rId268" Type="http://schemas.openxmlformats.org/officeDocument/2006/relationships/hyperlink" Target="https://www.sec.gov/Archives/edgar/data/1635088/000114036123031798/brhc20054745_ex10-43.htm" TargetMode="External"/><Relationship Id="rId269" Type="http://schemas.openxmlformats.org/officeDocument/2006/relationships/hyperlink" Target="https://www.sec.gov/Archives/edgar/data/1635088/000114036123031798/brhc20054745_ex10-44.htm" TargetMode="External"/><Relationship Id="rId270" Type="http://schemas.openxmlformats.org/officeDocument/2006/relationships/hyperlink" Target="https://www.sec.gov/Archives/edgar/data/1635088/000114036124036642/ef20030921_ex10-44.htm" TargetMode="External"/><Relationship Id="rId271" Type="http://schemas.openxmlformats.org/officeDocument/2006/relationships/hyperlink" Target="https://www.sec.gov/Archives/edgar/data/1635088/000114036124036642/ef20030921_ex10-43.htm" TargetMode="External"/><Relationship Id="rId272" Type="http://schemas.openxmlformats.org/officeDocument/2006/relationships/hyperlink" Target="https://www.sec.gov/Archives/edgar/data/1635088/000114036124046019/ef20034554_ex10-45.htm" TargetMode="External"/><Relationship Id="rId273" Type="http://schemas.openxmlformats.org/officeDocument/2006/relationships/hyperlink" Target="https://www.sec.gov/Archives/edgar/data/1635088/000114036124046019/ef20034554_ex10-46.htm" TargetMode="External"/><Relationship Id="rId276" Type="http://schemas.openxmlformats.org/officeDocument/2006/relationships/hyperlink" Target="https://www.sec.gov/Archives/edgar/data/1635088/000114036125020715/ef20047582_ex10-36.htm" TargetMode="External"/><Relationship Id="rId277" Type="http://schemas.openxmlformats.org/officeDocument/2006/relationships/hyperlink" Target="https://www.sec.gov/Archives/edgar/data/1635088/000114036125020715/ef20047582_ex10-37.htm" TargetMode="External"/><Relationship Id="rId278" Type="http://schemas.openxmlformats.org/officeDocument/2006/relationships/hyperlink" Target="https://www.sec.gov/Archives/edgar/data/1635088/000114036125020715/ef20047582_ex10-38.htm" TargetMode="External"/><Relationship Id="rId279" Type="http://schemas.openxmlformats.org/officeDocument/2006/relationships/hyperlink" Target="https://www.sec.gov/Archives/edgar/data/1635088/000114036125030001/ef20050394_ex10-1.htm" TargetMode="External"/><Relationship Id="rId280" Type="http://schemas.openxmlformats.org/officeDocument/2006/relationships/hyperlink" Target="https://www.sec.gov/Archives/edgar/data/1635088/000114036125030001/ef20050394_ex10-3.htm" TargetMode="External"/><Relationship Id="rId281" Type="http://schemas.openxmlformats.org/officeDocument/2006/relationships/hyperlink" Target="https://www.sec.gov/Archives/edgar/data/1635088/000114036125030001/ef20050394_ex10-2.htm" TargetMode="External"/><Relationship Id="rId282" Type="http://schemas.openxmlformats.org/officeDocument/2006/relationships/hyperlink" Target="https://www.sec.gov/Archives/edgar/data/1635088/000114036125030001/ef20050394_ex10-4.htm" TargetMode="External"/><Relationship Id="rId283" Type="http://schemas.openxmlformats.org/officeDocument/2006/relationships/hyperlink" Target="https://www.sec.gov/Archives/edgar/data/1764013/000095012320006444/d919375dex1031.htm" TargetMode="External"/><Relationship Id="rId284" Type="http://schemas.openxmlformats.org/officeDocument/2006/relationships/hyperlink" Target="https://www.sec.gov/Archives/edgar/data/1764013/000095012320006444/d919375dex103.htm" TargetMode="External"/><Relationship Id="rId285" Type="http://schemas.openxmlformats.org/officeDocument/2006/relationships/hyperlink" Target="https://www.sec.gov/Archives/edgar/data/1635088/000114036125030001/ef20050394_ex10-7.htm" TargetMode="External"/><Relationship Id="rId286" Type="http://schemas.openxmlformats.org/officeDocument/2006/relationships/hyperlink" Target="https://www.sec.gov/Archives/edgar/data/1635088/000114036126010656/ef20068452_ex10-1.htm" TargetMode="External"/><Relationship Id="rId287" Type="http://schemas.openxmlformats.org/officeDocument/2006/relationships/hyperlink" Target="https://www.sec.gov/Archives/edgar/data/1635088/000114036125020715/ef20047582_ex19.htm" TargetMode="External"/><Relationship Id="rId289" Type="http://schemas.openxmlformats.org/officeDocument/2006/relationships/hyperlink" Target="https://www.sec.gov/Archives/edgar/data/1635088/000114036124028145/ef20026301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2026-05-20T06:23:22Z</dcterms:created>
  <dcterms:modified xsi:type="dcterms:W3CDTF">2026-05-20T06:23:22Z</dcterms:modified>
</cp:coreProperties>
</file>