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00" w:space="720"/>
            <w:col w:w="2740" w:space="720"/>
            <w:col w:w="32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 share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ROIV</w:t>
            </w:r>
          </w:p>
        </w:tc>
        <w:tc>
          <w:tcPr>
            <w:tcW w:w="2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29, 2025, Roivant Sciences Ltd. (the “Company”) issued a press release announcing its financial results for the fourth quarter and fiscal year ended March 31, 2025. A copy of the press release is attached as Exhibit 99.1 to this Current Report on Form 8-K.</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Results of Operations and Financial Condition” (including the exhibit thereto) shall not be deemed to be “filed” for the purposes of Section 18 of the Securities Exchange Act of 1934, as amended, nor shall it be incorporated by reference in any filing made by the Company pursuant to the Securities Act of 1933, as amended, other than to the extent that such filing incorporates by reference any or all of such information by express reference thereto.</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0" w:type="dxa"/>
            <w:vAlign w:val="bottom"/>
          </w:tcPr>
          <w:p>
            <w:pPr>
              <w:spacing w:after="0"/>
              <w:rPr>
                <w:sz w:val="20"/>
                <w:szCs w:val="20"/>
                <w:color w:val="auto"/>
              </w:rPr>
            </w:pP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5"/>
                <w:szCs w:val="15"/>
                <w:color w:val="auto"/>
              </w:rPr>
            </w:pPr>
          </w:p>
        </w:tc>
        <w:tc>
          <w:tcPr>
            <w:tcW w:w="100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Press Release dated May 29, 2025</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Roivant Reports Financial Results for the Fourth Quarter and Fiscal Year Ended March 31, 2025, and Provides Business Update</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BASEL, Switzerland and LONDON and NEW YORK, May 29, 2025 </w:t>
      </w:r>
      <w:r>
        <w:rPr>
          <w:rFonts w:ascii="Times New Roman" w:cs="Times New Roman" w:eastAsia="Times New Roman" w:hAnsi="Times New Roman"/>
          <w:sz w:val="18"/>
          <w:szCs w:val="18"/>
          <w:color w:val="auto"/>
        </w:rPr>
        <w:t>– Roivant (Nasdaq: ROIV) today reported its financial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and fiscal year ended March 31, 2025, and provided a business update.</w:t>
      </w:r>
    </w:p>
    <w:p>
      <w:pPr>
        <w:spacing w:after="0" w:line="159" w:lineRule="exact"/>
        <w:rPr>
          <w:sz w:val="20"/>
          <w:szCs w:val="20"/>
          <w:color w:val="auto"/>
        </w:rPr>
      </w:pPr>
    </w:p>
    <w:p>
      <w:pPr>
        <w:ind w:left="660" w:right="2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program progressing well with rapid enrollment in non-infectious uveitis (NIU) Phase 3 study and first patients dosed in cutaneous sarcoidosis (CS) proof-of-concept trial, with readouts expected in the first half of calendar year 2027 and second half of calendar year 2026, respectively</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Brepocitinib’s VALOR Phase 3 study evaluating its use in patients with dermatomyositis (DM) is fully enrolled and on track for topline data readout in the second half of calendar year 2025; Roivant and Priovant will host a live conference call and webcast at 1:00 p.m. ET on Tuesday, June 17, 2025, for an investor event on brepocitinib</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Immunovant’s new management team is focused on rapid clinical execution for the six announced indications for IMVT-1402, including a second potentially registrational study in Graves’ disease (GD) and a potentially registrational study in Sjögren’s disease (SjD), both expected to start in summer 2025</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LNP litigation against Moderna expanded to include international lawsuits in Canada, Japan, Switzerland and the UPC with first trials in these jurisdictions expected in calendar year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 repurchased $1.3B of the company’s shares as of March 31, 2025, reducing outstanding shares by 14% from March 31, 2024</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 reported consolidated cash, cash equivalents, restricted cash and marketable securities of $4.9B at March 31, 2025, supporting cash runway into profitability</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 will host a live conference call and webcast at 8:00 a.m. ET on Thursday, May 29, 2025, to report its financial results for the fourth quarter and fiscal year ended March 31, 2025, and provide a business update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 am incredibly proud of the progress we reported in the final quarter of this past fiscal year. Continued broad development of brepocitinib, positive data from our myasthenia gravis study, and expansion of IMVT-1402 into new indications underscore our commitment to patients. We remain focused on building value in our late-stage clinical pipeline, and on continued discipline on capital allocation across the portfolio,” said Matt Gline, CEO of Roivant. “We look forward to a number of exciting milestones later this year, including the upcoming brepocitinib readout in DM.”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60" w:right="1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Priovant: </w:t>
      </w:r>
      <w:r>
        <w:rPr>
          <w:rFonts w:ascii="Times New Roman" w:cs="Times New Roman" w:eastAsia="Times New Roman" w:hAnsi="Times New Roman"/>
          <w:sz w:val="18"/>
          <w:szCs w:val="18"/>
          <w:color w:val="auto"/>
        </w:rPr>
        <w:t>The first patients have been dosed in the proof-of-concept trial in CS. Phase 3 trial for brepocitinib in NIU is actively enrolling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track for topline readout in the first half of calendar year 2027.</w:t>
      </w:r>
    </w:p>
    <w:p>
      <w:pPr>
        <w:spacing w:after="0" w:line="154" w:lineRule="exact"/>
        <w:rPr>
          <w:rFonts w:ascii="Times New Roman" w:cs="Times New Roman" w:eastAsia="Times New Roman" w:hAnsi="Times New Roman"/>
          <w:sz w:val="18"/>
          <w:szCs w:val="18"/>
          <w:color w:val="auto"/>
        </w:rPr>
      </w:pPr>
    </w:p>
    <w:p>
      <w:pPr>
        <w:ind w:left="660" w:right="1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Immunovant: </w:t>
      </w:r>
      <w:r>
        <w:rPr>
          <w:rFonts w:ascii="Times New Roman" w:cs="Times New Roman" w:eastAsia="Times New Roman" w:hAnsi="Times New Roman"/>
          <w:sz w:val="18"/>
          <w:szCs w:val="18"/>
          <w:color w:val="auto"/>
        </w:rPr>
        <w:t>In April 2025, Immunovant announced changes to its leadership team as part of a broader strategic transition with Roivant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operational involvement and oversight of Immunovant. Eric Venker, M.D. was appointed as CEO of Immunovant, and Tiago Girao as CFO of Immunovant. Given the strength of its potential best-in-class profile, IMVT-1402 is being developed in six announced indications, including potentially registrational trials in Graves’ disease (GD), difficult-to-treat rheumatoid arthritis (D2T RA), myasthenia gravis (MG), chronic inflammatory demyelinating polyneuropathy (CIDP) and Sjögren’s disease (SjD), and a proof-of-concept trial in cutaneous lupus erythematosus (CLE).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660"/>
        <w:spacing w:after="0" w:line="254" w:lineRule="auto"/>
        <w:rPr>
          <w:sz w:val="20"/>
          <w:szCs w:val="20"/>
          <w:color w:val="auto"/>
        </w:rPr>
      </w:pPr>
      <w:r>
        <w:rPr>
          <w:rFonts w:ascii="Times New Roman" w:cs="Times New Roman" w:eastAsia="Times New Roman" w:hAnsi="Times New Roman"/>
          <w:sz w:val="18"/>
          <w:szCs w:val="18"/>
          <w:color w:val="auto"/>
        </w:rPr>
        <w:t>In March 2025, Immunovant announced positive results from its batoclimab MG and CIDP studies. The potentially registrational study in MG met its primary endpoint of change from baseline in Myasthenia Gravis Activities of Daily Living (MG-ADL) score in the AChR+ population at week 12, with the higher dose arm achieving a 5.6-point improvement (with 74% mean IgG reduction) and the lower dose arm achieving a 4.7-point improvement (with 64% mean IgG reduction). Initial results from week 12 of Phase 2b CIDP study, demonstrated a mean improvement in the adjusted Inflammatory Neuropathy Cause and Treatment (INCAT) disability score of 1.8 across batoclimab arms and an 84% responder rate in those patients who achieved an IgG lowering greater than 70%. In both batoclimab studies, deeper IgG reductions correlated with improved clinical outcomes across a range of assessments and timepoints. Potentially registrational trials for IMVT-1402 in both MG and CIDP are actively enrolling.</w:t>
      </w:r>
    </w:p>
    <w:p>
      <w:pPr>
        <w:spacing w:after="0" w:line="19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In March 2025, Immunovant initiated a potentially registrational trial of IMVT-1402 in adult participants with active, anti-citrullinated protein autoantibody (ACPA) positive D2T RA and a proof-of-concept study in CLE. Both indications represent potential first-in-class and best-in-class opportunities based on positive in-class competitor data (D2T RA) and promising efficacy data from patients dosed with IMVT-1402 as part of an open-label case study program (CLE). Immunovant also announced that its IND cleared for a potentially registrational trial of IMVT-1402 in SjD, a potentially best-in-class indication. The trial is expected to initiate in summer 2025.</w:t>
      </w:r>
    </w:p>
    <w:p>
      <w:pPr>
        <w:spacing w:after="0" w:line="179" w:lineRule="exact"/>
        <w:rPr>
          <w:sz w:val="20"/>
          <w:szCs w:val="20"/>
          <w:color w:val="auto"/>
        </w:rPr>
      </w:pPr>
    </w:p>
    <w:p>
      <w:pPr>
        <w:ind w:left="660" w:right="8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Genevant: </w:t>
      </w:r>
      <w:r>
        <w:rPr>
          <w:rFonts w:ascii="Times New Roman" w:cs="Times New Roman" w:eastAsia="Times New Roman" w:hAnsi="Times New Roman"/>
          <w:sz w:val="18"/>
          <w:szCs w:val="18"/>
          <w:color w:val="auto"/>
        </w:rPr>
        <w:t>In March 2025, Genevant and Arbutus filed five international lawsuits in Canada, Japan, Switzerland and the UPC, seeking to enforce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protecting their innovative LNP technology against Moderna, Inc. and certain affiliates. Together, the enforcement actions target alleged infringing activities in 30 countries.</w:t>
      </w:r>
    </w:p>
    <w:p>
      <w:pPr>
        <w:spacing w:after="0" w:line="170"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Roivant: </w:t>
      </w:r>
      <w:r>
        <w:rPr>
          <w:rFonts w:ascii="Times New Roman" w:cs="Times New Roman" w:eastAsia="Times New Roman" w:hAnsi="Times New Roman"/>
          <w:sz w:val="18"/>
          <w:szCs w:val="18"/>
          <w:color w:val="auto"/>
        </w:rPr>
        <w:t>Roivant reported consolidated cash, cash equivalents, restricted cash and marketable securities of $4.9B at March 31, 2025. Roivant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$1.3B of the company’s shares as of March 31, 2025, reducing outstanding shares by 14% from March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Upcoming Milestones</w:t>
      </w:r>
    </w:p>
    <w:p>
      <w:pPr>
        <w:spacing w:after="0" w:line="225" w:lineRule="exact"/>
        <w:rPr>
          <w:sz w:val="20"/>
          <w:szCs w:val="20"/>
          <w:color w:val="auto"/>
        </w:rPr>
      </w:pPr>
    </w:p>
    <w:p>
      <w:pPr>
        <w:ind w:left="660" w:right="20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Priovant </w:t>
      </w:r>
      <w:r>
        <w:rPr>
          <w:rFonts w:ascii="Times New Roman" w:cs="Times New Roman" w:eastAsia="Times New Roman" w:hAnsi="Times New Roman"/>
          <w:sz w:val="18"/>
          <w:szCs w:val="18"/>
          <w:color w:val="auto"/>
        </w:rPr>
        <w:t>plans to report topline data from the ongoing Phase 3 trial of brepocitinib in DM in the second half of calendar year 2025 and topline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from the ongoing Phase 3 trial of brepocitinib in NIU in the first half of calendar year 2027. Topline results for the Phase 2 trial in CS are expected in the second half of calendar year 2026. Roivant and Priovant will be hosting an upcoming investor event on brepocitinib at 1:00 p.m. ET on Tuesday, June 17, 2025.</w:t>
      </w:r>
    </w:p>
    <w:p>
      <w:pPr>
        <w:spacing w:after="0" w:line="176" w:lineRule="exact"/>
        <w:rPr>
          <w:rFonts w:ascii="Times New Roman" w:cs="Times New Roman" w:eastAsia="Times New Roman" w:hAnsi="Times New Roman"/>
          <w:sz w:val="18"/>
          <w:szCs w:val="18"/>
          <w:color w:val="auto"/>
        </w:rPr>
      </w:pPr>
    </w:p>
    <w:p>
      <w:pPr>
        <w:jc w:val="both"/>
        <w:ind w:left="660" w:right="20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Immunovant </w:t>
      </w:r>
      <w:r>
        <w:rPr>
          <w:rFonts w:ascii="Times New Roman" w:cs="Times New Roman" w:eastAsia="Times New Roman" w:hAnsi="Times New Roman"/>
          <w:sz w:val="18"/>
          <w:szCs w:val="18"/>
          <w:color w:val="auto"/>
        </w:rPr>
        <w:t>expects to report batoclimab six-month remission data from the proof-of-concept study in GD in the summer of 2025 and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thyroid eye disease (TED) data in the second half of calendar year 2025. Immunovant plans to initiate a potentially registrational trial evaluating IMVT-1402 in SjD and a second potentially registrational trial in GD in the summer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right="18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Pulmovant </w:t>
      </w:r>
      <w:r>
        <w:rPr>
          <w:rFonts w:ascii="Times New Roman" w:cs="Times New Roman" w:eastAsia="Times New Roman" w:hAnsi="Times New Roman"/>
          <w:sz w:val="18"/>
          <w:szCs w:val="18"/>
          <w:color w:val="auto"/>
        </w:rPr>
        <w:t>plans to report topline data from the ongoing Phase 2 trial of mosliciguat in pulmonary hypertension associated with interstitial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in the second half of calendar year 2026.</w:t>
      </w:r>
    </w:p>
    <w:p>
      <w:pPr>
        <w:spacing w:after="0" w:line="154" w:lineRule="exact"/>
        <w:rPr>
          <w:rFonts w:ascii="Times New Roman" w:cs="Times New Roman" w:eastAsia="Times New Roman" w:hAnsi="Times New Roman"/>
          <w:sz w:val="18"/>
          <w:szCs w:val="18"/>
          <w:color w:val="auto"/>
        </w:rPr>
      </w:pPr>
    </w:p>
    <w:p>
      <w:pPr>
        <w:ind w:left="660" w:right="220" w:hanging="328"/>
        <w:spacing w:after="0" w:line="317"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Genevant </w:t>
      </w:r>
      <w:r>
        <w:rPr>
          <w:rFonts w:ascii="Times New Roman" w:cs="Times New Roman" w:eastAsia="Times New Roman" w:hAnsi="Times New Roman"/>
          <w:sz w:val="17"/>
          <w:szCs w:val="17"/>
          <w:color w:val="auto"/>
        </w:rPr>
        <w:t>litigation against Moderna continues to progress; the court has informed the parties that it plans to update the timing for the summary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judgment phase and jury trial, previously scheduled for the second or third quarter of calendar year 2025 and September 2025,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Fiscal Year Ended March 31, 2025 Financial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Position and 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had cash, cash equivalents, restricted cash and marketable securities of approximately $4.9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by $37.7 million to $145.2 million for the three months ended March 31, 2025, compared to $107.6 million for the three months ended March 31, 2024. This increase was primarily driven by increase in program-specific costs of $25.8 million and personnel-related expenses of $10.4 million.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of $25.8 million in program-specific costs was primarily driven by an increase of $14.5 million related to the anti-FcRn franchise and $3.8 million related to mosliciguat.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$10.4 million in personnel-related expenses was primarily driven by higher personnel-related expenses at Immunovant.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Non-GAAP R&amp;D expenses were $135.1 million for the three months ended March 31, 2025, compared to $96.9 million for the three months ended March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$110.5 million to $550.4 million for the year ended March 31, 2025, compared to $439.9 million for the year ended March 31, 2024, primarily due to increases in program-specific costs of $78.5 million, personnel-related expenses of $22.9 million, share-based compensation of $7.4 million and other expenses of $1.7 million.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of $78.5 million in program-specific costs was primarily driven by increases of $91.1 million related to the anti-FcRn franchise, reflecting the progression of our programs, and $15.4 million related to mosliciguat, which was acquired during the year ended March 31, 2024. These increases were partially offset by a decrease in expense of $35.1 million related to RVT-3101, which was sold to Roche in December 2023.</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of $22.9 million in personnel-related expenses was primarily driven by higher personnel-related expenses at Immunovant as a result of higher headcount and enhancement of capabilities to support Immunovant’s strategic objectives as clinical activities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Non-GAAP R&amp;D expenses were $508.0 million for the year ended March 31, 2025, compared to $402.9 million for the year ended March 31, 2024. The non-GAAP R&amp;D expense includes the expense related to the Cash Bonus Program of $5.8 million for the year ended March 31, 2025 and $9.9 million for the year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increased by $39.0 million to $147.1 million for the three months ended March 31, 2025, compared to $108.1 million for the three months ended March 31, 2024. The increase was primarily driven by an increase in share-based compensation expense of $39.9 million, primarily due to the long-term equity incentive awards granted in July 2024 pursuant to the 2024 Senior Executive Compensation Program.</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Non-GAAP G&amp;A expenses were $72.3 million for the three months ended March 31, 2025, compared to $72.9 million for the three months ended March 31, 2024.</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$175.3 million to $591.4 million for the year ended March 31, 2025, compared to $416.1 million for the year ended March 31, 2024. This increase was primarily due to increases in share-based compensation expense of $84.6 million and personnel-related expenses of $79.6 million, largely as a result of long-term equity and one-time cash retention awards from the 2024 Senior Executive Compensation Program.</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Non-GAAP G&amp;A expenses were $347.7 million for the year ended March 31, 2025, compared to $256.4 million for the year ended March 31, 2024. The non-GAAP G&amp;A expense includes the expense related to the Cash Bonus and 2024 Senior Executive Compensation Programs of $107.6 million for the year ended March 31, 2025 and $35.6 million for the year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discontinued operations, net of tax</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from discontinued operations, net of tax was $373.0 million for the year ended March 31, 2025 and reflects the gain on sale of subsidiary interests resulting from the sale of our entire equity interest in our majority-owned subsidiary, Dermavant, to Organon in October 2024, partially offset by Dermavant’s net losses. Losses from discontinued operations, net of tax were $87.5 million for the three months ended March 31, 2024 and $315.1 million for the year ended March 31, 2024, representing the financial results of Dermavant.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continuing operations, net of tax</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Loss from continuing operations, net of tax was $252.4 million for the three months ended March 31, 2025, compared to $95.0 million for the three months ended March 31, 2024. On a per common share basis, loss from continuing operations, net of tax was $0.29 and $0.08 for the three months ended March 31, 2025 and 2024, respectively. Non-GAAP loss from continuing operations, net of tax was $154.4 million for the three months ended March 31, 2025, compared to $99.8 million for the three months ended March 31, 2024.</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Loss from continuing operations, net of tax was $729.8 million for the year ended March 31, 2025, compared to income from continuing operations, net of tax of approximately $4.5 billion for the year ended March 31, 2024. On a per common share basis, loss from continuing operations, net of tax was $0.75 for the year ended March 31, 2025. On a basic and diluted per common share basis, income from continuing operations, net of tax was $5.95 and $5.61, respectively, for the year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right="120"/>
        <w:spacing w:after="0" w:line="282" w:lineRule="auto"/>
        <w:rPr>
          <w:sz w:val="20"/>
          <w:szCs w:val="20"/>
          <w:color w:val="auto"/>
        </w:rPr>
      </w:pPr>
      <w:r>
        <w:rPr>
          <w:rFonts w:ascii="Times New Roman" w:cs="Times New Roman" w:eastAsia="Times New Roman" w:hAnsi="Times New Roman"/>
          <w:sz w:val="18"/>
          <w:szCs w:val="18"/>
          <w:color w:val="auto"/>
        </w:rPr>
        <w:t>Non-GAAP loss from continuing operations was $623.9 million for the year ended March 31, 2025, compared to $541.9 million for the year ended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0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ROIVANT SCIENCES LTD.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502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Selected Balance Sheet Data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502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0"/>
                <w:szCs w:val="2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50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2,725,661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6,506,189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2,171,480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5,436,940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7,222,482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249,742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773,953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5,187,198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6,448,529</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5,436,940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7,222,482</w:t>
            </w:r>
          </w:p>
        </w:tc>
        <w:tc>
          <w:tcPr>
            <w:tcW w:w="0" w:type="dxa"/>
            <w:vAlign w:val="bottom"/>
          </w:tcPr>
          <w:p>
            <w:pPr>
              <w:spacing w:after="0"/>
              <w:rPr>
                <w:sz w:val="1"/>
                <w:szCs w:val="1"/>
                <w:color w:val="auto"/>
              </w:rPr>
            </w:pPr>
          </w:p>
        </w:tc>
      </w:tr>
      <w:tr>
        <w:trPr>
          <w:trHeight w:val="380"/>
        </w:trPr>
        <w:tc>
          <w:tcPr>
            <w:tcW w:w="37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4"/>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8"/>
              </w:rPr>
              <w:t>ROIVANT SCIENCES LTD.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60" w:type="dxa"/>
            <w:vAlign w:val="bottom"/>
            <w:gridSpan w:val="4"/>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700" w:type="dxa"/>
            <w:vAlign w:val="bottom"/>
            <w:gridSpan w:val="7"/>
          </w:tcPr>
          <w:p>
            <w:pPr>
              <w:jc w:val="center"/>
              <w:ind w:left="24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$9,652 and $9,761 of share-based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 for the three months ended March 31, 2025 and 2024,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and $39,780 and $32,400 for the years ended March 31, 2025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107,555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550,413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439,909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26,450</w:t>
            </w: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(includes $73,835 and $33,982 of share-based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 for the three months ended March 31, 2025 and 2024,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and $239,505 and $154,873 for the years ended March 31, 2025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108,103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591,410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416,133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292,535</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884,091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5,348,410</w:t>
            </w:r>
          </w:p>
        </w:tc>
      </w:t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(284,965)</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(1,003,294)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(14,124)</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(54,624)</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(83,458)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(258,375)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13,562</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(203,054)</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(681,590)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4,567,856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49,321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21,503</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(252,375)</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(94,958)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(729,764)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4,546,353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373,030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(315,147)</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(252,375)</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(182,496)</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(356,734)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4,231,206</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(45,900)</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(206,475)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(151,115)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4,348,926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attributable to Roivant Sciences Ltd.: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(545,166)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4,662,703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(87,136)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373,185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(313,777)</w:t>
            </w: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Roivant Sciences Ltd.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(206,475)</w:t>
            </w:r>
          </w:p>
        </w:tc>
        <w:tc>
          <w:tcPr>
            <w:tcW w:w="24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(151,115)</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4,348,926</w:t>
            </w:r>
          </w:p>
        </w:tc>
        <w:tc>
          <w:tcPr>
            <w:tcW w:w="100" w:type="dxa"/>
            <w:vAlign w:val="bottom"/>
            <w:shd w:val="clear" w:color="auto" w:fill="CCEEFF"/>
          </w:tcPr>
          <w:p>
            <w:pPr>
              <w:spacing w:after="0"/>
              <w:rPr>
                <w:sz w:val="22"/>
                <w:szCs w:val="22"/>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continuing operations,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707,298,861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802,859,062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725,395,624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783,248,906</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707,298,861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802,859,062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725,395,624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831,049,444</w:t>
            </w:r>
          </w:p>
        </w:tc>
      </w:tr>
      <w:tr>
        <w:trPr>
          <w:trHeight w:val="380"/>
        </w:trPr>
        <w:tc>
          <w:tcPr>
            <w:tcW w:w="5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1"/>
                <w:szCs w:val="21"/>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223"/>
        </w:trPr>
        <w:tc>
          <w:tcPr>
            <w:tcW w:w="4620" w:type="dxa"/>
            <w:vAlign w:val="bottom"/>
          </w:tcPr>
          <w:p>
            <w:pPr>
              <w:spacing w:after="0"/>
              <w:rPr>
                <w:sz w:val="19"/>
                <w:szCs w:val="19"/>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500" w:type="dxa"/>
            <w:vAlign w:val="bottom"/>
            <w:gridSpan w:val="2"/>
          </w:tcPr>
          <w:p>
            <w:pPr>
              <w:spacing w:after="0"/>
              <w:rPr>
                <w:sz w:val="18"/>
                <w:szCs w:val="18"/>
                <w:color w:val="auto"/>
              </w:rPr>
            </w:pPr>
          </w:p>
        </w:tc>
        <w:tc>
          <w:tcPr>
            <w:tcW w:w="7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continuing operations, net of tax</w:t>
            </w: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(252,375)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(94,958)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(729,764)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4,546,353</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32,400</w:t>
            </w: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154,873</w:t>
            </w: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Telavant net assets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(5,348,410)</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47,973</w:t>
            </w: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46,838</w:t>
            </w: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deconsolidation of subsidiaries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(32,772)</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43,237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23"/>
        </w:trPr>
        <w:tc>
          <w:tcPr>
            <w:tcW w:w="550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5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loss from continuing operations, net of tax (Non-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500" w:type="dxa"/>
            <w:vAlign w:val="bottom"/>
            <w:gridSpan w:val="2"/>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(154,399)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(99,778)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(623,858)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(541,910)</w:t>
            </w:r>
          </w:p>
        </w:tc>
      </w:tr>
      <w:tr>
        <w:trPr>
          <w:trHeight w:val="21"/>
        </w:trPr>
        <w:tc>
          <w:tcPr>
            <w:tcW w:w="4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223"/>
        </w:trPr>
        <w:tc>
          <w:tcPr>
            <w:tcW w:w="4620" w:type="dxa"/>
            <w:vAlign w:val="bottom"/>
          </w:tcPr>
          <w:p>
            <w:pPr>
              <w:spacing w:after="0"/>
              <w:rPr>
                <w:sz w:val="19"/>
                <w:szCs w:val="19"/>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500" w:type="dxa"/>
            <w:vAlign w:val="bottom"/>
            <w:gridSpan w:val="2"/>
          </w:tcPr>
          <w:p>
            <w:pPr>
              <w:spacing w:after="0"/>
              <w:rPr>
                <w:sz w:val="18"/>
                <w:szCs w:val="18"/>
                <w:color w:val="auto"/>
              </w:rPr>
            </w:pPr>
          </w:p>
        </w:tc>
        <w:tc>
          <w:tcPr>
            <w:tcW w:w="7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145,238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107,555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550,413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439,909</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32,400</w:t>
            </w:r>
          </w:p>
        </w:tc>
      </w:tr>
      <w:tr>
        <w:trPr>
          <w:trHeight w:val="22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r>
      <w:tr>
        <w:trPr>
          <w:trHeight w:val="194"/>
        </w:trPr>
        <w:tc>
          <w:tcPr>
            <w:tcW w:w="55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research and development expenses (Non-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9"/>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135,140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96,921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508,040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402,919</w:t>
            </w:r>
          </w:p>
        </w:tc>
      </w:tr>
      <w:tr>
        <w:trPr>
          <w:trHeight w:val="392"/>
        </w:trPr>
        <w:tc>
          <w:tcPr>
            <w:tcW w:w="46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1"/>
                <w:szCs w:val="21"/>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March 31,</w:t>
            </w:r>
          </w:p>
        </w:tc>
      </w:tr>
      <w:tr>
        <w:trPr>
          <w:trHeight w:val="223"/>
        </w:trPr>
        <w:tc>
          <w:tcPr>
            <w:tcW w:w="4620" w:type="dxa"/>
            <w:vAlign w:val="bottom"/>
          </w:tcPr>
          <w:p>
            <w:pPr>
              <w:spacing w:after="0"/>
              <w:rPr>
                <w:sz w:val="19"/>
                <w:szCs w:val="19"/>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500" w:type="dxa"/>
            <w:vAlign w:val="bottom"/>
            <w:gridSpan w:val="2"/>
          </w:tcPr>
          <w:p>
            <w:pPr>
              <w:spacing w:after="0"/>
              <w:rPr>
                <w:sz w:val="18"/>
                <w:szCs w:val="18"/>
                <w:color w:val="auto"/>
              </w:rPr>
            </w:pPr>
          </w:p>
        </w:tc>
        <w:tc>
          <w:tcPr>
            <w:tcW w:w="7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7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147,092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108,103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591,410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416,133</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154,873</w:t>
            </w:r>
          </w:p>
        </w:tc>
      </w:tr>
      <w:tr>
        <w:trPr>
          <w:trHeight w:val="223"/>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r>
      <w:tr>
        <w:trPr>
          <w:trHeight w:val="194"/>
        </w:trPr>
        <w:tc>
          <w:tcPr>
            <w:tcW w:w="55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general and administrative expenses (Non-</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50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72,320</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72,945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347,701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256,400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non-GAAP financial measures:</w:t>
      </w:r>
    </w:p>
    <w:p>
      <w:pPr>
        <w:spacing w:after="0" w:line="27" w:lineRule="exact"/>
        <w:rPr>
          <w:sz w:val="20"/>
          <w:szCs w:val="20"/>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depreciation and amortization expense.</w:t>
      </w:r>
    </w:p>
    <w:p>
      <w:pPr>
        <w:spacing w:after="0" w:line="9" w:lineRule="exact"/>
        <w:rPr>
          <w:rFonts w:ascii="Times New Roman" w:cs="Times New Roman" w:eastAsia="Times New Roman" w:hAnsi="Times New Roman"/>
          <w:sz w:val="18"/>
          <w:szCs w:val="18"/>
          <w:color w:val="auto"/>
        </w:rPr>
      </w:pPr>
    </w:p>
    <w:p>
      <w:pPr>
        <w:ind w:left="660" w:right="680" w:hanging="4"/>
        <w:spacing w:after="0" w:line="250"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gain on the sale of Telavant net assets to Roche in December 2023 and a gain on the achievement of a one-time milestone in June 2024.</w:t>
      </w:r>
    </w:p>
    <w:p>
      <w:pPr>
        <w:ind w:left="660" w:right="60" w:hanging="4"/>
        <w:spacing w:after="0" w:line="250"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unrealized (gain) loss on equity investments in unconsolidated entities that are accounted for at fair value with changes in value reported in earnings.</w:t>
      </w:r>
    </w:p>
    <w:p>
      <w:pPr>
        <w:ind w:left="660" w:right="160" w:hanging="4"/>
        <w:spacing w:after="0" w:line="250"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of liability instruments, which is non-cash and primarily includes the unrealized (gain) loss relating to the measurement and recognition of fair value on a recurring basis of certain liabilities.</w:t>
      </w: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one-time gain on deconsolidation of subsidiaries.</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tax effect of the adjustments.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Information</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Roivant will host a live conference call and webcast at 8:00 a.m. ET on Thursday, May 29, 2025, to report its financial results for the fourth quarter and fiscal year ended March 31, 2025, and provide a corporate update.</w:t>
      </w:r>
    </w:p>
    <w:p>
      <w:pPr>
        <w:spacing w:after="0" w:line="1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access the conference call by phone, please register online using this registration link. The presentation and webcast details will also be available under “Events &amp; Presentations” in the Investors section of the Roivant website at https://investor.roivant.com/news-events/events. The archived webcast will be available on Roivant’s website after the conference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Roivant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Roivant (Nasdaq: ROIV)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 For more information, visit </w:t>
      </w:r>
      <w:r>
        <w:rPr>
          <w:rFonts w:ascii="Times New Roman" w:cs="Times New Roman" w:eastAsia="Times New Roman" w:hAnsi="Times New Roman"/>
          <w:sz w:val="18"/>
          <w:szCs w:val="18"/>
          <w:u w:val="single" w:color="auto"/>
          <w:color w:val="auto"/>
        </w:rPr>
        <w:t>https://roivant.com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Roivant Forward-Looking Statements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candidates, the availability and success of topline results from our ongoing clinical trials and any commercial potential of our product candidates following applicable regulatory approvals.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our filings with the U.S. Securities and Exchange Commission. 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Keyur Parekh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keyur.parekh@roivant.com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stephanie.lee@roivant.com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0"/>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2025-05-29T06:37:37Z</dcterms:created>
  <dcterms:modified xsi:type="dcterms:W3CDTF">2025-05-29T06:37:37Z</dcterms:modified>
</cp:coreProperties>
</file>